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9A80FD4">
      <w:pPr>
        <w:pStyle w:val="8"/>
        <w:jc w:val="center"/>
        <w:rPr>
          <w:rFonts w:hint="eastAsia" w:cs="宋体" w:asciiTheme="minorEastAsia" w:hAnsiTheme="minorEastAsia"/>
          <w:color w:val="auto"/>
          <w:sz w:val="48"/>
          <w:szCs w:val="48"/>
          <w:highlight w:val="none"/>
          <w:u w:val="single"/>
        </w:rPr>
      </w:pPr>
    </w:p>
    <w:p w14:paraId="779CA489">
      <w:pPr>
        <w:pStyle w:val="8"/>
        <w:jc w:val="center"/>
        <w:rPr>
          <w:rFonts w:hint="eastAsia" w:cs="宋体" w:asciiTheme="minorEastAsia" w:hAnsiTheme="minorEastAsia"/>
          <w:color w:val="auto"/>
          <w:sz w:val="48"/>
          <w:szCs w:val="48"/>
          <w:highlight w:val="none"/>
          <w:u w:val="single"/>
        </w:rPr>
      </w:pPr>
    </w:p>
    <w:p w14:paraId="5EB9923E">
      <w:pPr>
        <w:pStyle w:val="8"/>
        <w:jc w:val="center"/>
        <w:rPr>
          <w:rFonts w:hint="eastAsia" w:cs="宋体" w:asciiTheme="minorEastAsia" w:hAnsiTheme="minorEastAsia"/>
          <w:color w:val="auto"/>
          <w:sz w:val="48"/>
          <w:szCs w:val="48"/>
          <w:highlight w:val="none"/>
          <w:u w:val="single"/>
        </w:rPr>
      </w:pPr>
    </w:p>
    <w:p w14:paraId="0776E5DA">
      <w:pPr>
        <w:pStyle w:val="8"/>
        <w:jc w:val="center"/>
        <w:rPr>
          <w:rFonts w:hint="eastAsia" w:cs="宋体" w:asciiTheme="minorEastAsia" w:hAnsiTheme="minorEastAsia"/>
          <w:color w:val="auto"/>
          <w:sz w:val="48"/>
          <w:szCs w:val="48"/>
          <w:highlight w:val="none"/>
          <w:u w:val="single"/>
        </w:rPr>
      </w:pPr>
    </w:p>
    <w:p w14:paraId="36BB2EEC">
      <w:pPr>
        <w:pStyle w:val="8"/>
        <w:jc w:val="center"/>
        <w:rPr>
          <w:rFonts w:hint="eastAsia" w:cs="宋体" w:asciiTheme="minorEastAsia" w:hAnsiTheme="minorEastAsia"/>
          <w:color w:val="auto"/>
          <w:sz w:val="48"/>
          <w:szCs w:val="48"/>
          <w:highlight w:val="none"/>
          <w:u w:val="single"/>
        </w:rPr>
      </w:pPr>
    </w:p>
    <w:p w14:paraId="7D38BC5C">
      <w:pPr>
        <w:pStyle w:val="8"/>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2025-2026年供应链管理平台系统采购项目（第二次）</w:t>
      </w:r>
    </w:p>
    <w:p w14:paraId="0DE411BF">
      <w:pPr>
        <w:adjustRightInd w:val="0"/>
        <w:snapToGrid w:val="0"/>
        <w:spacing w:line="360" w:lineRule="auto"/>
        <w:jc w:val="center"/>
        <w:rPr>
          <w:rFonts w:hint="eastAsia" w:cs="宋体" w:asciiTheme="minorEastAsia" w:hAnsiTheme="minorEastAsia"/>
          <w:color w:val="auto"/>
          <w:sz w:val="48"/>
          <w:szCs w:val="48"/>
          <w:highlight w:val="none"/>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202510027-1</w:t>
      </w:r>
    </w:p>
    <w:p w14:paraId="2358ED6D">
      <w:pPr>
        <w:spacing w:line="360" w:lineRule="auto"/>
        <w:jc w:val="center"/>
        <w:rPr>
          <w:rFonts w:cs="仿宋" w:asciiTheme="minorEastAsia" w:hAnsiTheme="minorEastAsia"/>
          <w:b/>
          <w:bCs/>
          <w:color w:val="auto"/>
          <w:sz w:val="72"/>
          <w:szCs w:val="72"/>
          <w:highlight w:val="none"/>
        </w:rPr>
      </w:pPr>
    </w:p>
    <w:p w14:paraId="442F4773">
      <w:pPr>
        <w:pStyle w:val="6"/>
        <w:rPr>
          <w:rFonts w:asciiTheme="minorEastAsia" w:hAnsiTheme="minorEastAsia"/>
          <w:color w:val="auto"/>
          <w:highlight w:val="none"/>
        </w:rPr>
      </w:pPr>
    </w:p>
    <w:p w14:paraId="38BCEC86">
      <w:pPr>
        <w:spacing w:line="360" w:lineRule="auto"/>
        <w:jc w:val="center"/>
        <w:rPr>
          <w:rFonts w:cs="仿宋" w:asciiTheme="minorEastAsia" w:hAnsiTheme="minorEastAsia"/>
          <w:b/>
          <w:bCs/>
          <w:color w:val="auto"/>
          <w:sz w:val="72"/>
          <w:szCs w:val="72"/>
          <w:highlight w:val="none"/>
        </w:rPr>
      </w:pPr>
    </w:p>
    <w:p w14:paraId="4069627A">
      <w:pPr>
        <w:pStyle w:val="8"/>
        <w:rPr>
          <w:color w:val="auto"/>
          <w:highlight w:val="none"/>
        </w:rPr>
      </w:pPr>
    </w:p>
    <w:p w14:paraId="743DEDE1">
      <w:pPr>
        <w:rPr>
          <w:color w:val="auto"/>
          <w:highlight w:val="none"/>
        </w:rPr>
      </w:pPr>
    </w:p>
    <w:p w14:paraId="735F61A0">
      <w:pPr>
        <w:pStyle w:val="8"/>
        <w:rPr>
          <w:color w:val="auto"/>
          <w:highlight w:val="none"/>
        </w:rPr>
      </w:pPr>
    </w:p>
    <w:p w14:paraId="47A47B1F">
      <w:pPr>
        <w:rPr>
          <w:color w:val="auto"/>
          <w:highlight w:val="none"/>
        </w:rPr>
      </w:pPr>
    </w:p>
    <w:p w14:paraId="0CD5074A">
      <w:pPr>
        <w:spacing w:line="360" w:lineRule="auto"/>
        <w:rPr>
          <w:rFonts w:cs="仿宋" w:asciiTheme="minorEastAsia" w:hAnsiTheme="minorEastAsia"/>
          <w:color w:val="auto"/>
          <w:sz w:val="24"/>
          <w:highlight w:val="none"/>
        </w:rPr>
      </w:pPr>
    </w:p>
    <w:p w14:paraId="61E39F90">
      <w:pPr>
        <w:pStyle w:val="8"/>
        <w:rPr>
          <w:rFonts w:cs="仿宋" w:asciiTheme="minorEastAsia" w:hAnsiTheme="minorEastAsia"/>
          <w:color w:val="auto"/>
          <w:sz w:val="24"/>
          <w:szCs w:val="24"/>
          <w:highlight w:val="none"/>
        </w:rPr>
      </w:pPr>
    </w:p>
    <w:p w14:paraId="079F01E4">
      <w:pPr>
        <w:pStyle w:val="8"/>
        <w:jc w:val="center"/>
        <w:rPr>
          <w:rFonts w:cs="仿宋" w:asciiTheme="minorEastAsia" w:hAnsiTheme="minorEastAsia"/>
          <w:color w:val="auto"/>
          <w:sz w:val="24"/>
          <w:szCs w:val="24"/>
          <w:highlight w:val="none"/>
        </w:rPr>
      </w:pPr>
    </w:p>
    <w:p w14:paraId="727586C5">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highlight w:val="none"/>
        </w:rPr>
      </w:pPr>
    </w:p>
    <w:p w14:paraId="5E37C6A8">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F514F8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4A07F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6A1AC2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7B31CDD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57ED7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6F4521FC">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2025-2026年供应链管理平台系统采购项目（第二次）</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202510027-1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2025-2026年供应链管理平台系统采购项目（第二次）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29.5万元（不含运维费），每年运维服务价格不得高于4.5万元。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rPr>
        <w:t xml:space="preserve"> </w:t>
      </w:r>
      <w:r>
        <w:rPr>
          <w:rFonts w:hint="eastAsia" w:cs="仿宋" w:asciiTheme="minorEastAsia" w:hAnsiTheme="minorEastAsia"/>
          <w:color w:val="auto"/>
          <w:sz w:val="24"/>
          <w:highlight w:val="none"/>
          <w:u w:val="single"/>
          <w:lang w:val="en-US" w:eastAsia="zh-CN"/>
        </w:rPr>
        <w:t>供应链管理平台主要包含供应商管理、需求管理、计划管理、在线报价及评审管理、合同管理、采购订单管理、到货管理、验收管理、仓库管理、付款管理、报表管理等功能</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自合同签订后6个月内一次性交付系统成果。</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35393623"/>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eastAsia="zh-CN"/>
        </w:rPr>
        <w:t>供应商提供自2023年1月1日起至少完成过1例供应链管理</w:t>
      </w:r>
      <w:r>
        <w:rPr>
          <w:rFonts w:hint="eastAsia" w:cs="仿宋" w:asciiTheme="minorEastAsia" w:hAnsiTheme="minorEastAsia"/>
          <w:bCs/>
          <w:color w:val="auto"/>
          <w:sz w:val="24"/>
          <w:highlight w:val="none"/>
          <w:u w:val="single"/>
          <w:lang w:val="en-US" w:eastAsia="zh-CN"/>
        </w:rPr>
        <w:t>系统</w:t>
      </w:r>
      <w:r>
        <w:rPr>
          <w:rFonts w:hint="eastAsia" w:cs="仿宋" w:asciiTheme="minorEastAsia" w:hAnsiTheme="minorEastAsia"/>
          <w:bCs/>
          <w:color w:val="auto"/>
          <w:sz w:val="24"/>
          <w:highlight w:val="none"/>
          <w:u w:val="single"/>
          <w:lang w:eastAsia="zh-CN"/>
        </w:rPr>
        <w:t>平台系统或商城平台开发或企业ERP系统</w:t>
      </w:r>
      <w:r>
        <w:rPr>
          <w:rFonts w:hint="eastAsia" w:cs="仿宋" w:asciiTheme="minorEastAsia" w:hAnsiTheme="minorEastAsia"/>
          <w:bCs/>
          <w:color w:val="auto"/>
          <w:sz w:val="24"/>
          <w:highlight w:val="none"/>
          <w:u w:val="single"/>
          <w:lang w:val="en-US" w:eastAsia="zh-CN"/>
        </w:rPr>
        <w:t>或招采系统或者仓库管理系统</w:t>
      </w:r>
      <w:r>
        <w:rPr>
          <w:rFonts w:hint="eastAsia" w:cs="仿宋" w:asciiTheme="minorEastAsia" w:hAnsiTheme="minorEastAsia"/>
          <w:bCs/>
          <w:color w:val="auto"/>
          <w:sz w:val="24"/>
          <w:highlight w:val="none"/>
          <w:u w:val="single"/>
          <w:lang w:eastAsia="zh-CN"/>
        </w:rPr>
        <w:t>的开发</w:t>
      </w:r>
      <w:r>
        <w:rPr>
          <w:rFonts w:hint="eastAsia" w:cs="仿宋" w:asciiTheme="minorEastAsia" w:hAnsiTheme="minorEastAsia"/>
          <w:bCs/>
          <w:color w:val="auto"/>
          <w:sz w:val="24"/>
          <w:highlight w:val="none"/>
          <w:u w:val="single"/>
          <w:lang w:val="en-US" w:eastAsia="zh-CN"/>
        </w:rPr>
        <w:t>或实施</w:t>
      </w:r>
      <w:r>
        <w:rPr>
          <w:rFonts w:hint="eastAsia" w:cs="仿宋" w:asciiTheme="minorEastAsia" w:hAnsiTheme="minorEastAsia"/>
          <w:bCs/>
          <w:color w:val="auto"/>
          <w:sz w:val="24"/>
          <w:highlight w:val="none"/>
          <w:u w:val="single"/>
          <w:lang w:eastAsia="zh-CN"/>
        </w:rPr>
        <w:t>业绩（同时提供合同复印件）</w:t>
      </w:r>
      <w:r>
        <w:rPr>
          <w:rFonts w:hint="eastAsia" w:cs="仿宋" w:asciiTheme="minorEastAsia" w:hAnsiTheme="minorEastAsia"/>
          <w:bCs/>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2025-2026年供应链管理平台系统采购项目（第二次）询价保证金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15700099079</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11月11</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4"/>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4"/>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4"/>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4"/>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449823C8">
      <w:pPr>
        <w:spacing w:line="460" w:lineRule="exact"/>
        <w:jc w:val="center"/>
        <w:rPr>
          <w:rFonts w:hint="eastAsia" w:cs="仿宋" w:asciiTheme="minorEastAsia" w:hAnsiTheme="minorEastAsia"/>
          <w:b/>
          <w:bCs/>
          <w:color w:val="auto"/>
          <w:sz w:val="36"/>
          <w:szCs w:val="36"/>
          <w:highlight w:val="none"/>
        </w:rPr>
      </w:pPr>
    </w:p>
    <w:p w14:paraId="236E063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2B3CE2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F392C4">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有关本项目</w:t>
            </w:r>
            <w:r>
              <w:rPr>
                <w:rFonts w:hint="eastAsia" w:ascii="宋体" w:hAnsi="宋体" w:eastAsia="宋体" w:cs="宋体"/>
                <w:color w:val="0000FF"/>
                <w:szCs w:val="21"/>
                <w:highlight w:val="none"/>
                <w:lang w:val="en-US" w:eastAsia="zh-CN"/>
              </w:rPr>
              <w:t>供应链管理平台系统</w:t>
            </w:r>
            <w:r>
              <w:rPr>
                <w:rFonts w:hint="eastAsia" w:ascii="宋体" w:hAnsi="宋体" w:eastAsia="宋体" w:cs="宋体"/>
                <w:color w:val="auto"/>
                <w:kern w:val="0"/>
                <w:szCs w:val="21"/>
                <w:highlight w:val="none"/>
                <w:lang w:val="zh-CN"/>
              </w:rPr>
              <w:t>实施所需的所有费用（含税费）均计入报价，</w:t>
            </w:r>
            <w:r>
              <w:rPr>
                <w:rFonts w:hint="eastAsia" w:ascii="宋体" w:hAnsi="宋体" w:eastAsia="宋体" w:cs="宋体"/>
                <w:color w:val="0000FF"/>
                <w:kern w:val="0"/>
                <w:szCs w:val="21"/>
                <w:highlight w:val="none"/>
                <w:lang w:val="en-US" w:eastAsia="zh-CN"/>
              </w:rPr>
              <w:t>本报价金额中不含运维费，但运维费纳入评审细则，</w:t>
            </w:r>
            <w:r>
              <w:rPr>
                <w:rFonts w:hint="eastAsia" w:ascii="宋体" w:hAnsi="宋体" w:eastAsia="宋体" w:cs="宋体"/>
                <w:b/>
                <w:color w:val="auto"/>
                <w:kern w:val="0"/>
                <w:szCs w:val="21"/>
                <w:highlight w:val="none"/>
                <w:lang w:val="zh-CN"/>
              </w:rPr>
              <w:t>详见</w:t>
            </w:r>
            <w:r>
              <w:rPr>
                <w:rFonts w:hint="eastAsia"/>
                <w:color w:val="auto"/>
                <w:highlight w:val="none"/>
              </w:rPr>
              <w:t>“第四部分 《评审方法》”</w:t>
            </w:r>
            <w:r>
              <w:rPr>
                <w:rFonts w:hint="eastAsia" w:ascii="宋体" w:hAnsi="宋体" w:eastAsia="宋体" w:cs="宋体"/>
                <w:color w:val="auto"/>
                <w:kern w:val="0"/>
                <w:szCs w:val="21"/>
                <w:highlight w:val="none"/>
                <w:lang w:val="zh-CN"/>
              </w:rPr>
              <w:t>。</w:t>
            </w:r>
          </w:p>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w:t>
            </w:r>
            <w:r>
              <w:rPr>
                <w:rFonts w:hint="eastAsia" w:ascii="宋体" w:hAnsi="宋体" w:eastAsia="宋体" w:cs="宋体"/>
                <w:color w:val="0000FF"/>
                <w:szCs w:val="21"/>
                <w:highlight w:val="none"/>
                <w:lang w:val="en-US" w:eastAsia="zh-CN"/>
              </w:rPr>
              <w:t>供应链管理平台系统的软件费用</w:t>
            </w:r>
            <w:r>
              <w:rPr>
                <w:rFonts w:hint="eastAsia" w:ascii="宋体" w:hAnsi="宋体" w:eastAsia="宋体" w:cs="宋体"/>
                <w:color w:val="0000FF"/>
                <w:szCs w:val="21"/>
                <w:highlight w:val="none"/>
              </w:rPr>
              <w:t>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lang w:val="en-US" w:eastAsia="zh-CN"/>
              </w:rPr>
              <w:t>中的</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highlight w:val="none"/>
        </w:rPr>
      </w:pPr>
    </w:p>
    <w:p w14:paraId="65221BF6">
      <w:pPr>
        <w:spacing w:line="360" w:lineRule="auto"/>
        <w:jc w:val="center"/>
        <w:outlineLvl w:val="0"/>
        <w:rPr>
          <w:rFonts w:hint="eastAsia" w:cs="仿宋" w:asciiTheme="minorEastAsia" w:hAnsiTheme="minorEastAsia"/>
          <w:b/>
          <w:color w:val="auto"/>
          <w:sz w:val="32"/>
          <w:szCs w:val="20"/>
          <w:highlight w:val="none"/>
        </w:rPr>
      </w:pPr>
    </w:p>
    <w:p w14:paraId="5D7DEB0C">
      <w:pPr>
        <w:spacing w:line="360" w:lineRule="auto"/>
        <w:jc w:val="center"/>
        <w:outlineLvl w:val="0"/>
        <w:rPr>
          <w:rFonts w:hint="eastAsia" w:cs="仿宋" w:asciiTheme="minorEastAsia" w:hAnsiTheme="minorEastAsia"/>
          <w:b/>
          <w:color w:val="auto"/>
          <w:sz w:val="32"/>
          <w:szCs w:val="20"/>
          <w:highlight w:val="none"/>
        </w:rPr>
      </w:pPr>
    </w:p>
    <w:p w14:paraId="7A9F858E">
      <w:pPr>
        <w:pStyle w:val="15"/>
        <w:ind w:left="0" w:leftChars="0" w:firstLine="0" w:firstLineChars="0"/>
        <w:rPr>
          <w:rFonts w:hint="eastAsia" w:cs="仿宋" w:asciiTheme="minorEastAsia" w:hAnsiTheme="minorEastAsia"/>
          <w:b/>
          <w:color w:val="auto"/>
          <w:sz w:val="32"/>
          <w:szCs w:val="20"/>
          <w:highlight w:val="none"/>
        </w:rPr>
      </w:pPr>
    </w:p>
    <w:p w14:paraId="08A39AFF">
      <w:pPr>
        <w:pStyle w:val="12"/>
        <w:rPr>
          <w:rFonts w:hint="eastAsia" w:cs="仿宋" w:asciiTheme="minorEastAsia" w:hAnsiTheme="minorEastAsia"/>
          <w:b/>
          <w:color w:val="auto"/>
          <w:sz w:val="32"/>
          <w:szCs w:val="20"/>
          <w:highlight w:val="none"/>
        </w:rPr>
      </w:pPr>
    </w:p>
    <w:p w14:paraId="0B0B199C">
      <w:pPr>
        <w:rPr>
          <w:rFonts w:hint="eastAsia" w:cs="仿宋" w:asciiTheme="minorEastAsia" w:hAnsiTheme="minorEastAsia"/>
          <w:b/>
          <w:color w:val="auto"/>
          <w:sz w:val="32"/>
          <w:szCs w:val="20"/>
          <w:highlight w:val="none"/>
        </w:rPr>
      </w:pPr>
    </w:p>
    <w:p w14:paraId="5C82FA27">
      <w:pPr>
        <w:rPr>
          <w:rFonts w:hint="eastAsia" w:cs="仿宋" w:asciiTheme="minorEastAsia" w:hAnsiTheme="minorEastAsia"/>
          <w:b/>
          <w:color w:val="auto"/>
          <w:sz w:val="32"/>
          <w:szCs w:val="20"/>
          <w:highlight w:val="none"/>
        </w:rPr>
      </w:pPr>
    </w:p>
    <w:p w14:paraId="0D7EBDCE">
      <w:pPr>
        <w:rPr>
          <w:rFonts w:hint="eastAsia" w:cs="仿宋" w:asciiTheme="minorEastAsia" w:hAnsiTheme="minorEastAsia"/>
          <w:b/>
          <w:color w:val="auto"/>
          <w:sz w:val="32"/>
          <w:szCs w:val="20"/>
          <w:highlight w:val="none"/>
        </w:rPr>
      </w:pPr>
    </w:p>
    <w:p w14:paraId="196655BC">
      <w:pPr>
        <w:rPr>
          <w:rFonts w:hint="eastAsia" w:cs="仿宋" w:asciiTheme="minorEastAsia" w:hAnsiTheme="minorEastAsia"/>
          <w:b/>
          <w:color w:val="auto"/>
          <w:sz w:val="32"/>
          <w:szCs w:val="20"/>
          <w:highlight w:val="none"/>
        </w:rPr>
      </w:pPr>
    </w:p>
    <w:p w14:paraId="52568360">
      <w:pPr>
        <w:rPr>
          <w:rFonts w:hint="eastAsia" w:cs="仿宋" w:asciiTheme="minorEastAsia" w:hAnsiTheme="minorEastAsia"/>
          <w:b/>
          <w:color w:val="auto"/>
          <w:sz w:val="32"/>
          <w:szCs w:val="20"/>
          <w:highlight w:val="none"/>
        </w:rPr>
      </w:pPr>
    </w:p>
    <w:p w14:paraId="2DF9D66B">
      <w:pPr>
        <w:rPr>
          <w:rFonts w:hint="eastAsia" w:cs="仿宋" w:asciiTheme="minorEastAsia" w:hAnsiTheme="minorEastAsia"/>
          <w:b/>
          <w:color w:val="auto"/>
          <w:sz w:val="32"/>
          <w:szCs w:val="20"/>
          <w:highlight w:val="none"/>
        </w:rPr>
      </w:pPr>
    </w:p>
    <w:p w14:paraId="6A135A74">
      <w:pPr>
        <w:rPr>
          <w:rFonts w:hint="eastAsia" w:cs="仿宋" w:asciiTheme="minorEastAsia" w:hAnsiTheme="minorEastAsia"/>
          <w:b/>
          <w:color w:val="auto"/>
          <w:sz w:val="32"/>
          <w:szCs w:val="20"/>
          <w:highlight w:val="none"/>
        </w:rPr>
      </w:pPr>
    </w:p>
    <w:p w14:paraId="53ECD8A7">
      <w:pPr>
        <w:rPr>
          <w:rFonts w:hint="eastAsia" w:cs="仿宋" w:asciiTheme="minorEastAsia" w:hAnsiTheme="minorEastAsia"/>
          <w:b/>
          <w:color w:val="auto"/>
          <w:sz w:val="32"/>
          <w:szCs w:val="20"/>
          <w:highlight w:val="none"/>
        </w:rPr>
      </w:pPr>
    </w:p>
    <w:p w14:paraId="6E70BFA3">
      <w:pPr>
        <w:rPr>
          <w:rFonts w:hint="eastAsia" w:cs="仿宋" w:asciiTheme="minorEastAsia" w:hAnsiTheme="minorEastAsia"/>
          <w:b/>
          <w:color w:val="auto"/>
          <w:sz w:val="32"/>
          <w:szCs w:val="20"/>
          <w:highlight w:val="none"/>
        </w:rPr>
      </w:pPr>
    </w:p>
    <w:p w14:paraId="1B57F888">
      <w:pPr>
        <w:rPr>
          <w:rFonts w:hint="eastAsia" w:cs="仿宋" w:asciiTheme="minorEastAsia" w:hAnsiTheme="minorEastAsia"/>
          <w:b/>
          <w:color w:val="auto"/>
          <w:sz w:val="32"/>
          <w:szCs w:val="20"/>
          <w:highlight w:val="none"/>
        </w:rPr>
      </w:pPr>
    </w:p>
    <w:p w14:paraId="00E6C14A">
      <w:pPr>
        <w:rPr>
          <w:rFonts w:hint="eastAsia" w:cs="仿宋" w:asciiTheme="minorEastAsia" w:hAnsiTheme="minorEastAsia"/>
          <w:b/>
          <w:color w:val="auto"/>
          <w:sz w:val="32"/>
          <w:szCs w:val="20"/>
          <w:highlight w:val="none"/>
        </w:rPr>
      </w:pPr>
    </w:p>
    <w:p w14:paraId="01CB08F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BD8F376">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FAD0FA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E7F5C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AF9A98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DEC76C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8A8A012">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966E537">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3114781C">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5736724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72226CA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6EFF8B7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BF1D0FF">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0512025">
      <w:pPr>
        <w:pStyle w:val="6"/>
        <w:rPr>
          <w:rFonts w:cs="仿宋" w:asciiTheme="minorEastAsia" w:hAnsiTheme="minorEastAsia"/>
          <w:color w:val="auto"/>
          <w:sz w:val="18"/>
          <w:szCs w:val="18"/>
          <w:highlight w:val="none"/>
          <w:lang w:val="en-US"/>
        </w:rPr>
      </w:pPr>
    </w:p>
    <w:p w14:paraId="7166E491">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537F82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6108EF8">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4B7CE86E">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5867143">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D4296DC">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A52FC7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4D416A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ACA0EF0">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05E6993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72133E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5C0775B1">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931094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A468766">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A172510">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04B4D4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EAE593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C16483C">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highlight w:val="none"/>
        </w:rPr>
      </w:pPr>
    </w:p>
    <w:p w14:paraId="6D3BDBEA">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65D1B7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1B8175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D8DE95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EC02AD">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5AD4A65">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0C05E6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FA57AD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highlight w:val="none"/>
        </w:rPr>
      </w:pPr>
    </w:p>
    <w:p w14:paraId="4D2A645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63444BC">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2E6E8851">
      <w:pPr>
        <w:spacing w:line="360" w:lineRule="auto"/>
        <w:rPr>
          <w:rFonts w:cs="仿宋" w:asciiTheme="minorEastAsia" w:hAnsiTheme="minorEastAsia"/>
          <w:b/>
          <w:color w:val="auto"/>
          <w:sz w:val="24"/>
          <w:highlight w:val="none"/>
        </w:rPr>
      </w:pPr>
    </w:p>
    <w:p w14:paraId="04DFB3D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5440C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13350F9">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56B6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ADFC6A7">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40EC55F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A0C02A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4C5168C">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F9224CD">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3E23438B">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473E0C4">
      <w:pPr>
        <w:tabs>
          <w:tab w:val="left" w:pos="0"/>
        </w:tabs>
        <w:spacing w:line="360" w:lineRule="auto"/>
        <w:ind w:firstLine="480"/>
        <w:rPr>
          <w:rFonts w:cs="仿宋" w:asciiTheme="minorEastAsia" w:hAnsiTheme="minorEastAsia"/>
          <w:color w:val="auto"/>
          <w:sz w:val="24"/>
          <w:highlight w:val="none"/>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726E269">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EC262C8">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highlight w:val="none"/>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33F48B7">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92A4E89">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6678D29E">
      <w:pPr>
        <w:pageBreakBefore w:val="0"/>
        <w:widowControl w:val="0"/>
        <w:shd w:val="clear" w:color="auto" w:fill="auto"/>
        <w:kinsoku/>
        <w:wordWrap/>
        <w:overflowPunct/>
        <w:topLinePunct w:val="0"/>
        <w:autoSpaceDE/>
        <w:autoSpaceDN/>
        <w:bidi w:val="0"/>
        <w:spacing w:line="360" w:lineRule="auto"/>
        <w:ind w:right="74" w:firstLine="480" w:firstLineChars="200"/>
        <w:contextualSpacing/>
        <w:textAlignment w:val="auto"/>
        <w:rPr>
          <w:rFonts w:hint="default" w:ascii="宋体" w:hAnsi="Arial" w:cs="Arial" w:eastAsiaTheme="minorEastAsia"/>
          <w:b/>
          <w:bCs/>
          <w:snapToGrid w:val="0"/>
          <w:color w:val="auto"/>
          <w:kern w:val="2"/>
          <w:sz w:val="24"/>
          <w:szCs w:val="21"/>
          <w:highlight w:val="none"/>
          <w:u w:val="single"/>
          <w:lang w:val="en-US" w:eastAsia="zh-CN" w:bidi="ar-SA"/>
        </w:rPr>
      </w:pPr>
      <w:r>
        <w:rPr>
          <w:rFonts w:hint="eastAsia" w:ascii="宋体"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计划采购一套供应链管理平台</w:t>
      </w:r>
      <w:r>
        <w:rPr>
          <w:rFonts w:hint="eastAsia" w:ascii="宋体" w:hAnsi="Arial" w:cs="Arial"/>
          <w:snapToGrid w:val="0"/>
          <w:color w:val="auto"/>
          <w:kern w:val="2"/>
          <w:sz w:val="24"/>
          <w:szCs w:val="21"/>
          <w:highlight w:val="none"/>
          <w:lang w:val="en-US" w:eastAsia="zh-CN" w:bidi="ar-SA"/>
        </w:rPr>
        <w:t>系统</w:t>
      </w:r>
      <w:r>
        <w:rPr>
          <w:rFonts w:hint="eastAsia" w:ascii="宋体" w:hAnsi="Arial" w:cs="Arial" w:eastAsiaTheme="minorEastAsia"/>
          <w:snapToGrid w:val="0"/>
          <w:color w:val="auto"/>
          <w:kern w:val="2"/>
          <w:sz w:val="24"/>
          <w:szCs w:val="21"/>
          <w:highlight w:val="none"/>
          <w:lang w:val="en-US" w:eastAsia="zh-CN" w:bidi="ar-SA"/>
        </w:rPr>
        <w:t>，供应链管理平台</w:t>
      </w:r>
      <w:r>
        <w:rPr>
          <w:rFonts w:hint="eastAsia" w:ascii="宋体" w:hAnsi="Arial" w:cs="Arial"/>
          <w:snapToGrid w:val="0"/>
          <w:color w:val="auto"/>
          <w:kern w:val="2"/>
          <w:sz w:val="24"/>
          <w:szCs w:val="21"/>
          <w:highlight w:val="none"/>
          <w:lang w:val="en-US" w:eastAsia="zh-CN" w:bidi="ar-SA"/>
        </w:rPr>
        <w:t>系统（以下简称系统）</w:t>
      </w:r>
      <w:r>
        <w:rPr>
          <w:rFonts w:hint="eastAsia" w:ascii="宋体" w:hAnsi="Arial" w:cs="Arial" w:eastAsiaTheme="minorEastAsia"/>
          <w:snapToGrid w:val="0"/>
          <w:color w:val="auto"/>
          <w:kern w:val="2"/>
          <w:sz w:val="24"/>
          <w:szCs w:val="21"/>
          <w:highlight w:val="none"/>
          <w:lang w:val="en-US" w:eastAsia="zh-CN" w:bidi="ar-SA"/>
        </w:rPr>
        <w:t>主要包含供应商管理、需求管理、计划管理、在线报价及评审管理、合同管理、采购订单管理、到货管理、验收管理、仓库管理、付款管理、报表管理等功能。本项目涉及的硬件</w:t>
      </w:r>
      <w:r>
        <w:rPr>
          <w:rFonts w:hint="eastAsia" w:ascii="宋体" w:hAnsi="Arial" w:cs="Arial"/>
          <w:snapToGrid w:val="0"/>
          <w:color w:val="auto"/>
          <w:kern w:val="2"/>
          <w:sz w:val="24"/>
          <w:szCs w:val="21"/>
          <w:highlight w:val="none"/>
          <w:lang w:val="en-US" w:eastAsia="zh-CN" w:bidi="ar-SA"/>
        </w:rPr>
        <w:t>及</w:t>
      </w:r>
      <w:r>
        <w:rPr>
          <w:rFonts w:hint="eastAsia" w:ascii="宋体" w:hAnsi="Arial" w:cs="Arial" w:eastAsiaTheme="minorEastAsia"/>
          <w:snapToGrid w:val="0"/>
          <w:color w:val="auto"/>
          <w:kern w:val="2"/>
          <w:sz w:val="24"/>
          <w:szCs w:val="21"/>
          <w:highlight w:val="none"/>
          <w:lang w:val="en-US" w:eastAsia="zh-CN" w:bidi="ar-SA"/>
        </w:rPr>
        <w:t>硬件</w:t>
      </w:r>
      <w:r>
        <w:rPr>
          <w:rFonts w:hint="eastAsia" w:ascii="宋体" w:hAnsi="Arial" w:cs="Arial"/>
          <w:snapToGrid w:val="0"/>
          <w:color w:val="auto"/>
          <w:kern w:val="2"/>
          <w:sz w:val="24"/>
          <w:szCs w:val="21"/>
          <w:highlight w:val="none"/>
          <w:lang w:val="en-US" w:eastAsia="zh-CN" w:bidi="ar-SA"/>
        </w:rPr>
        <w:t>配套的软件</w:t>
      </w:r>
      <w:r>
        <w:rPr>
          <w:rFonts w:hint="eastAsia" w:ascii="宋体" w:hAnsi="Arial" w:cs="Arial" w:eastAsiaTheme="minorEastAsia"/>
          <w:snapToGrid w:val="0"/>
          <w:color w:val="auto"/>
          <w:kern w:val="2"/>
          <w:sz w:val="24"/>
          <w:szCs w:val="21"/>
          <w:highlight w:val="none"/>
          <w:lang w:val="en-US" w:eastAsia="zh-CN" w:bidi="ar-SA"/>
        </w:rPr>
        <w:t>由供应商负责提供清单，采购人另外提供</w:t>
      </w:r>
      <w:r>
        <w:rPr>
          <w:rFonts w:hint="eastAsia" w:ascii="宋体" w:hAnsi="Arial" w:cs="Arial"/>
          <w:snapToGrid w:val="0"/>
          <w:color w:val="auto"/>
          <w:kern w:val="2"/>
          <w:sz w:val="24"/>
          <w:szCs w:val="21"/>
          <w:highlight w:val="none"/>
          <w:lang w:val="en-US" w:eastAsia="zh-CN" w:bidi="ar-SA"/>
        </w:rPr>
        <w:t>，采购人负责安装布置就位和调试</w:t>
      </w:r>
      <w:r>
        <w:rPr>
          <w:rFonts w:hint="eastAsia" w:ascii="宋体" w:hAnsi="Arial" w:cs="Arial" w:eastAsiaTheme="minorEastAsia"/>
          <w:snapToGrid w:val="0"/>
          <w:color w:val="auto"/>
          <w:kern w:val="2"/>
          <w:sz w:val="24"/>
          <w:szCs w:val="21"/>
          <w:highlight w:val="none"/>
          <w:lang w:val="en-US" w:eastAsia="zh-CN" w:bidi="ar-SA"/>
        </w:rPr>
        <w:t>，不含在本次采购范围内</w:t>
      </w:r>
      <w:r>
        <w:rPr>
          <w:rFonts w:hint="eastAsia" w:ascii="宋体" w:hAnsi="Arial" w:cs="Arial"/>
          <w:snapToGrid w:val="0"/>
          <w:color w:val="auto"/>
          <w:kern w:val="2"/>
          <w:sz w:val="24"/>
          <w:szCs w:val="21"/>
          <w:highlight w:val="none"/>
          <w:lang w:val="en-US" w:eastAsia="zh-CN" w:bidi="ar-SA"/>
        </w:rPr>
        <w:t>；</w:t>
      </w:r>
      <w:r>
        <w:rPr>
          <w:rFonts w:hint="eastAsia" w:ascii="宋体" w:hAnsi="Arial" w:cs="Arial"/>
          <w:b/>
          <w:bCs/>
          <w:snapToGrid w:val="0"/>
          <w:color w:val="auto"/>
          <w:kern w:val="2"/>
          <w:sz w:val="24"/>
          <w:szCs w:val="21"/>
          <w:highlight w:val="none"/>
          <w:u w:val="single"/>
          <w:lang w:val="en-US" w:eastAsia="zh-CN" w:bidi="ar-SA"/>
        </w:rPr>
        <w:t>本项目涉及软件及整体调试服务均含在本次采购范围内，采购人不另外支付费用。</w:t>
      </w:r>
    </w:p>
    <w:p w14:paraId="7F6E3965">
      <w:pPr>
        <w:pageBreakBefore w:val="0"/>
        <w:widowControl w:val="0"/>
        <w:shd w:val="clear" w:color="auto" w:fill="auto"/>
        <w:kinsoku/>
        <w:wordWrap/>
        <w:overflowPunct/>
        <w:topLinePunct w:val="0"/>
        <w:autoSpaceDE/>
        <w:autoSpaceDN/>
        <w:bidi w:val="0"/>
        <w:spacing w:line="360" w:lineRule="auto"/>
        <w:ind w:right="74" w:firstLine="480" w:firstLineChars="200"/>
        <w:contextualSpacing/>
        <w:textAlignment w:val="auto"/>
        <w:rPr>
          <w:rFonts w:hint="default" w:ascii="宋体"/>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系统具有系统管理功能模块，可自定义组织架构、系统用户、系统角色等，可自定义配置页面浏览权限、系统操作权限和数据操作权限，能够筛选查看操作日志。</w:t>
      </w:r>
      <w:r>
        <w:rPr>
          <w:rFonts w:hint="eastAsia" w:ascii="宋体" w:hAnsi="Arial" w:cs="Arial"/>
          <w:snapToGrid w:val="0"/>
          <w:color w:val="auto"/>
          <w:kern w:val="2"/>
          <w:sz w:val="24"/>
          <w:szCs w:val="21"/>
          <w:highlight w:val="none"/>
          <w:lang w:val="en-US" w:eastAsia="zh-CN" w:bidi="ar-SA"/>
        </w:rPr>
        <w:t>以下供应商直指在本平台上实施采购项目的响应单位，而非指本项目的供应商。</w:t>
      </w:r>
    </w:p>
    <w:p w14:paraId="1285C316">
      <w:pPr>
        <w:pStyle w:val="6"/>
        <w:numPr>
          <w:ilvl w:val="0"/>
          <w:numId w:val="2"/>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平台要求</w:t>
      </w:r>
    </w:p>
    <w:p w14:paraId="3542445B">
      <w:pPr>
        <w:pStyle w:val="6"/>
        <w:numPr>
          <w:ilvl w:val="0"/>
          <w:numId w:val="0"/>
        </w:numPr>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（一）系统总要求</w:t>
      </w:r>
    </w:p>
    <w:p w14:paraId="1ADF555E">
      <w:pPr>
        <w:pStyle w:val="6"/>
        <w:numPr>
          <w:ilvl w:val="0"/>
          <w:numId w:val="0"/>
        </w:numPr>
        <w:ind w:firstLine="480" w:firstLineChars="200"/>
        <w:rPr>
          <w:rFonts w:hint="eastAsia" w:ascii="宋体"/>
          <w:color w:val="auto"/>
          <w:highlight w:val="none"/>
          <w:lang w:val="en-US" w:eastAsia="zh-CN"/>
        </w:rPr>
      </w:pPr>
      <w:bookmarkStart w:id="19" w:name="_Toc5347"/>
      <w:r>
        <w:rPr>
          <w:rFonts w:hint="default" w:ascii="宋体"/>
          <w:color w:val="auto"/>
          <w:highlight w:val="none"/>
          <w:lang w:val="en-US" w:eastAsia="zh-CN"/>
        </w:rPr>
        <w:t>1.</w:t>
      </w:r>
      <w:r>
        <w:rPr>
          <w:rFonts w:hint="eastAsia" w:ascii="宋体"/>
          <w:color w:val="auto"/>
          <w:highlight w:val="none"/>
          <w:lang w:val="en-US" w:eastAsia="zh-CN"/>
        </w:rPr>
        <w:t>系统架构</w:t>
      </w:r>
      <w:bookmarkEnd w:id="19"/>
    </w:p>
    <w:p w14:paraId="7BD8EC5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系统采用B/S架构（Browser/Server，浏览器/服务器模式）本地化部署。</w:t>
      </w:r>
      <w:r>
        <w:rPr>
          <w:rFonts w:hint="eastAsia" w:ascii="宋体" w:hAnsi="宋体" w:cs="宋体"/>
          <w:bCs/>
          <w:color w:val="auto"/>
          <w:kern w:val="0"/>
          <w:szCs w:val="21"/>
          <w:highlight w:val="none"/>
          <w:lang w:bidi="ar"/>
        </w:rPr>
        <w:t>系统需满足用户访问需求，要求能够支持日常1000并发用户</w:t>
      </w:r>
      <w:r>
        <w:rPr>
          <w:rFonts w:hint="eastAsia" w:hAnsi="宋体" w:cs="宋体"/>
          <w:bCs/>
          <w:color w:val="auto"/>
          <w:kern w:val="0"/>
          <w:szCs w:val="21"/>
          <w:highlight w:val="none"/>
          <w:lang w:eastAsia="zh-CN" w:bidi="ar"/>
        </w:rPr>
        <w:t>。</w:t>
      </w:r>
    </w:p>
    <w:p w14:paraId="7E2FDF49">
      <w:pPr>
        <w:pStyle w:val="6"/>
        <w:numPr>
          <w:ilvl w:val="0"/>
          <w:numId w:val="0"/>
        </w:numPr>
        <w:ind w:firstLine="480" w:firstLineChars="200"/>
        <w:rPr>
          <w:rFonts w:hint="eastAsia" w:ascii="宋体"/>
          <w:color w:val="auto"/>
          <w:highlight w:val="none"/>
          <w:lang w:val="en-US" w:eastAsia="zh-CN"/>
        </w:rPr>
      </w:pPr>
      <w:bookmarkStart w:id="20" w:name="_Toc6502"/>
      <w:r>
        <w:rPr>
          <w:rFonts w:hint="default" w:ascii="宋体"/>
          <w:color w:val="auto"/>
          <w:highlight w:val="none"/>
          <w:lang w:val="en-US" w:eastAsia="zh-CN"/>
        </w:rPr>
        <w:t>2.</w:t>
      </w:r>
      <w:r>
        <w:rPr>
          <w:rFonts w:hint="eastAsia" w:ascii="宋体"/>
          <w:color w:val="auto"/>
          <w:highlight w:val="none"/>
          <w:lang w:val="en-US" w:eastAsia="zh-CN"/>
        </w:rPr>
        <w:t>系统运行环境</w:t>
      </w:r>
      <w:bookmarkEnd w:id="20"/>
    </w:p>
    <w:p w14:paraId="0E724E8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所有服务器端软件应用配置为开机自动启动无需人工介入，服务器网络端口要求最少暴露。</w:t>
      </w:r>
    </w:p>
    <w:p w14:paraId="4754848F">
      <w:pPr>
        <w:pStyle w:val="6"/>
        <w:numPr>
          <w:ilvl w:val="0"/>
          <w:numId w:val="0"/>
        </w:numPr>
        <w:ind w:firstLine="480" w:firstLineChars="200"/>
        <w:rPr>
          <w:rFonts w:hint="eastAsia" w:ascii="宋体"/>
          <w:color w:val="auto"/>
          <w:highlight w:val="none"/>
          <w:lang w:val="en-US" w:eastAsia="zh-CN"/>
        </w:rPr>
      </w:pPr>
      <w:bookmarkStart w:id="21" w:name="_Toc1945"/>
      <w:r>
        <w:rPr>
          <w:rFonts w:hint="default" w:ascii="宋体"/>
          <w:color w:val="auto"/>
          <w:highlight w:val="none"/>
          <w:lang w:val="en-US" w:eastAsia="zh-CN"/>
        </w:rPr>
        <w:t>3.</w:t>
      </w:r>
      <w:r>
        <w:rPr>
          <w:rFonts w:hint="eastAsia" w:ascii="宋体"/>
          <w:color w:val="auto"/>
          <w:highlight w:val="none"/>
          <w:lang w:val="en-US" w:eastAsia="zh-CN"/>
        </w:rPr>
        <w:t>浏览器要求</w:t>
      </w:r>
      <w:bookmarkEnd w:id="21"/>
    </w:p>
    <w:p w14:paraId="56FEB577">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系统的所有功能操作要求可在基于</w:t>
      </w:r>
      <w:r>
        <w:rPr>
          <w:rFonts w:hint="eastAsia" w:ascii="宋体"/>
          <w:color w:val="auto"/>
          <w:highlight w:val="none"/>
          <w:lang w:val="en-US" w:eastAsia="zh-CN"/>
        </w:rPr>
        <w:fldChar w:fldCharType="begin"/>
      </w:r>
      <w:r>
        <w:rPr>
          <w:rFonts w:hint="eastAsia" w:ascii="宋体"/>
          <w:color w:val="auto"/>
          <w:highlight w:val="none"/>
          <w:lang w:val="en-US" w:eastAsia="zh-CN"/>
        </w:rPr>
        <w:instrText xml:space="preserve"> HYPERLINK "http://chromep.com/new/chrome129/" \t "https://cn.bing.com/_blank" </w:instrText>
      </w:r>
      <w:r>
        <w:rPr>
          <w:rFonts w:hint="eastAsia" w:ascii="宋体"/>
          <w:color w:val="auto"/>
          <w:highlight w:val="none"/>
          <w:lang w:val="en-US" w:eastAsia="zh-CN"/>
        </w:rPr>
        <w:fldChar w:fldCharType="separate"/>
      </w:r>
      <w:r>
        <w:rPr>
          <w:rFonts w:hint="eastAsia" w:ascii="宋体"/>
          <w:color w:val="auto"/>
          <w:highlight w:val="none"/>
          <w:lang w:val="en-US" w:eastAsia="zh-CN"/>
        </w:rPr>
        <w:t>Chromium 129</w:t>
      </w:r>
      <w:r>
        <w:rPr>
          <w:rFonts w:hint="eastAsia" w:ascii="宋体"/>
          <w:color w:val="auto"/>
          <w:highlight w:val="none"/>
          <w:lang w:val="en-US" w:eastAsia="zh-CN"/>
        </w:rPr>
        <w:fldChar w:fldCharType="end"/>
      </w:r>
      <w:r>
        <w:rPr>
          <w:rFonts w:hint="eastAsia" w:ascii="宋体"/>
          <w:color w:val="auto"/>
          <w:highlight w:val="none"/>
          <w:lang w:val="en-US" w:eastAsia="zh-CN"/>
        </w:rPr>
        <w:t>内核的最新版浏览器无插件运行，分辨率自适应。</w:t>
      </w:r>
    </w:p>
    <w:p w14:paraId="6BFF2C46">
      <w:pPr>
        <w:pStyle w:val="6"/>
        <w:numPr>
          <w:ilvl w:val="0"/>
          <w:numId w:val="0"/>
        </w:numPr>
        <w:ind w:firstLine="480" w:firstLineChars="200"/>
        <w:rPr>
          <w:rFonts w:hint="eastAsia" w:ascii="宋体"/>
          <w:color w:val="auto"/>
          <w:highlight w:val="none"/>
          <w:lang w:val="en-US" w:eastAsia="zh-CN"/>
        </w:rPr>
      </w:pPr>
      <w:bookmarkStart w:id="22" w:name="_Toc63"/>
      <w:r>
        <w:rPr>
          <w:rFonts w:hint="default" w:ascii="宋体"/>
          <w:color w:val="auto"/>
          <w:highlight w:val="none"/>
          <w:lang w:val="en-US" w:eastAsia="zh-CN"/>
        </w:rPr>
        <w:t>4.</w:t>
      </w:r>
      <w:r>
        <w:rPr>
          <w:rFonts w:hint="eastAsia" w:ascii="宋体"/>
          <w:color w:val="auto"/>
          <w:highlight w:val="none"/>
          <w:lang w:val="en-US" w:eastAsia="zh-CN"/>
        </w:rPr>
        <w:t>使用界面</w:t>
      </w:r>
      <w:bookmarkEnd w:id="22"/>
    </w:p>
    <w:p w14:paraId="0A7351AB">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提供友好的使用界面，便于操作。页面操作响应时间≤3秒。</w:t>
      </w:r>
    </w:p>
    <w:p w14:paraId="4EBE906D">
      <w:pPr>
        <w:pStyle w:val="6"/>
        <w:numPr>
          <w:ilvl w:val="0"/>
          <w:numId w:val="0"/>
        </w:numPr>
        <w:ind w:firstLine="480" w:firstLineChars="200"/>
        <w:rPr>
          <w:rFonts w:hint="eastAsia" w:ascii="宋体"/>
          <w:color w:val="auto"/>
          <w:highlight w:val="none"/>
          <w:lang w:val="en-US" w:eastAsia="zh-CN"/>
        </w:rPr>
      </w:pPr>
      <w:bookmarkStart w:id="23" w:name="_Toc26942"/>
      <w:r>
        <w:rPr>
          <w:rFonts w:hint="default" w:ascii="宋体"/>
          <w:color w:val="auto"/>
          <w:highlight w:val="none"/>
          <w:lang w:val="en-US" w:eastAsia="zh-CN"/>
        </w:rPr>
        <w:t>5.</w:t>
      </w:r>
      <w:r>
        <w:rPr>
          <w:rFonts w:hint="eastAsia" w:ascii="宋体"/>
          <w:color w:val="auto"/>
          <w:highlight w:val="none"/>
          <w:lang w:val="en-US" w:eastAsia="zh-CN"/>
        </w:rPr>
        <w:t>系统稳定性</w:t>
      </w:r>
      <w:bookmarkEnd w:id="23"/>
    </w:p>
    <w:p w14:paraId="1C162B0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系统要求做好Web服务器中间件的负载均衡和集群功能和系统连续稳定运行的保障措施。</w:t>
      </w:r>
    </w:p>
    <w:p w14:paraId="5CA31891">
      <w:pPr>
        <w:pStyle w:val="6"/>
        <w:numPr>
          <w:ilvl w:val="0"/>
          <w:numId w:val="0"/>
        </w:numPr>
        <w:ind w:firstLine="480" w:firstLineChars="200"/>
        <w:rPr>
          <w:rFonts w:hint="eastAsia" w:ascii="宋体"/>
          <w:color w:val="auto"/>
          <w:highlight w:val="none"/>
          <w:lang w:val="en-US" w:eastAsia="zh-CN"/>
        </w:rPr>
      </w:pPr>
      <w:bookmarkStart w:id="24" w:name="_Toc8028"/>
      <w:r>
        <w:rPr>
          <w:rFonts w:hint="default" w:ascii="宋体"/>
          <w:color w:val="auto"/>
          <w:highlight w:val="none"/>
          <w:lang w:val="en-US" w:eastAsia="zh-CN"/>
        </w:rPr>
        <w:t>6.</w:t>
      </w:r>
      <w:r>
        <w:rPr>
          <w:rFonts w:hint="eastAsia" w:ascii="宋体"/>
          <w:color w:val="auto"/>
          <w:highlight w:val="none"/>
          <w:lang w:val="en-US" w:eastAsia="zh-CN"/>
        </w:rPr>
        <w:t>系统设计</w:t>
      </w:r>
      <w:bookmarkEnd w:id="24"/>
    </w:p>
    <w:p w14:paraId="61D2BBE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系统的架构、模块、数据接口进行统一合理规划，提高系统的性能。充分考虑系统的可靠性、稳定性以及系统的运行效率。</w:t>
      </w:r>
    </w:p>
    <w:p w14:paraId="7E43F614">
      <w:pPr>
        <w:pStyle w:val="6"/>
        <w:numPr>
          <w:ilvl w:val="0"/>
          <w:numId w:val="0"/>
        </w:numPr>
        <w:ind w:firstLine="480" w:firstLineChars="200"/>
        <w:rPr>
          <w:rFonts w:hint="eastAsia" w:ascii="宋体"/>
          <w:color w:val="auto"/>
          <w:highlight w:val="none"/>
          <w:lang w:val="en-US" w:eastAsia="zh-CN"/>
        </w:rPr>
      </w:pPr>
      <w:bookmarkStart w:id="25" w:name="_Toc11234"/>
      <w:r>
        <w:rPr>
          <w:rFonts w:hint="default" w:ascii="宋体"/>
          <w:color w:val="auto"/>
          <w:highlight w:val="none"/>
          <w:lang w:val="en-US" w:eastAsia="zh-CN"/>
        </w:rPr>
        <w:t>7.</w:t>
      </w:r>
      <w:r>
        <w:rPr>
          <w:rFonts w:hint="eastAsia" w:ascii="宋体"/>
          <w:color w:val="auto"/>
          <w:highlight w:val="none"/>
          <w:lang w:val="en-US" w:eastAsia="zh-CN"/>
        </w:rPr>
        <w:t>安全性要求</w:t>
      </w:r>
      <w:bookmarkEnd w:id="25"/>
    </w:p>
    <w:p w14:paraId="36A4162B">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系统安全：系统应确保信息不暴露给未授权用户，只有得到允许的用户才能进入系统对数据进行基础操作，并确保系统中的数据在存储和传输过程中不被篡改、损坏或丢失。用户登录和操作日志可查询。</w:t>
      </w:r>
    </w:p>
    <w:p w14:paraId="0A8D0E0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系统登录：系统支持用户名+密码+动态验证码登录。</w:t>
      </w:r>
    </w:p>
    <w:p w14:paraId="6A619BA4">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数据备份与恢复：定期对重要数据进行备份，并确保备份数据的安全性和完整性。同时，建立灾难恢复机制，以应对可能发生的系统故障和灾害，保障业务的连续性和稳定性。</w:t>
      </w:r>
    </w:p>
    <w:p w14:paraId="10ECEFED">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加密与访问控制：采用数据加密技术保护敏感数据的安全，同时严格控制用户访问权限，避免未经授权的访问和数据泄露。</w:t>
      </w:r>
    </w:p>
    <w:p w14:paraId="3737645B">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系统设计符合国家信息安全等级保护2.0二级防护标准。</w:t>
      </w:r>
    </w:p>
    <w:p w14:paraId="3E33E3AD">
      <w:pPr>
        <w:pStyle w:val="6"/>
        <w:numPr>
          <w:ilvl w:val="0"/>
          <w:numId w:val="0"/>
        </w:numPr>
        <w:ind w:firstLine="480" w:firstLineChars="200"/>
        <w:rPr>
          <w:rFonts w:hint="eastAsia" w:ascii="宋体"/>
          <w:color w:val="auto"/>
          <w:highlight w:val="none"/>
          <w:lang w:val="en-US" w:eastAsia="zh-CN"/>
        </w:rPr>
      </w:pPr>
      <w:r>
        <w:rPr>
          <w:rFonts w:hint="default" w:ascii="宋体"/>
          <w:color w:val="auto"/>
          <w:highlight w:val="none"/>
          <w:lang w:val="en-US" w:eastAsia="zh-CN"/>
        </w:rPr>
        <w:t>8.</w:t>
      </w:r>
      <w:r>
        <w:rPr>
          <w:rFonts w:hint="eastAsia" w:ascii="宋体"/>
          <w:color w:val="auto"/>
          <w:highlight w:val="none"/>
          <w:lang w:val="en-US" w:eastAsia="zh-CN"/>
        </w:rPr>
        <w:t>数据规范</w:t>
      </w:r>
    </w:p>
    <w:p w14:paraId="0B0126C3">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做好数据分类与分级，根据数据的重要性、敏感性及用途，对数据进行分类和分级，以便后续采取不同的管理和保护措施。</w:t>
      </w:r>
    </w:p>
    <w:p w14:paraId="02611C62">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9.系统设置两个财务组织，分别为第三固废处置中心和杭州临江环境能源有限公司，两个财务组织之间独立核算，从采购订单、物资入库、出库、供应商开票、结算付款等环节独立。</w:t>
      </w:r>
    </w:p>
    <w:p w14:paraId="31EB6516">
      <w:pPr>
        <w:pStyle w:val="6"/>
        <w:numPr>
          <w:ilvl w:val="0"/>
          <w:numId w:val="0"/>
        </w:numPr>
        <w:ind w:firstLine="480" w:firstLineChars="200"/>
        <w:rPr>
          <w:rFonts w:hint="default" w:ascii="宋体"/>
          <w:b/>
          <w:bCs/>
          <w:color w:val="auto"/>
          <w:highlight w:val="none"/>
          <w:lang w:val="en-US" w:eastAsia="zh-CN"/>
        </w:rPr>
      </w:pPr>
      <w:r>
        <w:rPr>
          <w:rFonts w:hint="eastAsia" w:ascii="宋体"/>
          <w:color w:val="auto"/>
          <w:highlight w:val="none"/>
          <w:lang w:val="en-US" w:eastAsia="zh-CN"/>
        </w:rPr>
        <w:t>10.</w:t>
      </w:r>
      <w:r>
        <w:rPr>
          <w:rFonts w:hint="eastAsia" w:ascii="宋体"/>
          <w:color w:val="auto"/>
          <w:highlight w:val="none"/>
          <w:lang w:val="en-US" w:eastAsia="zh"/>
        </w:rPr>
        <w:t>采购</w:t>
      </w:r>
      <w:r>
        <w:rPr>
          <w:rFonts w:hint="eastAsia"/>
          <w:color w:val="auto"/>
          <w:highlight w:val="none"/>
          <w:lang w:val="en-US" w:eastAsia="zh-CN"/>
        </w:rPr>
        <w:t>经办人</w:t>
      </w:r>
      <w:r>
        <w:rPr>
          <w:rFonts w:hint="eastAsia" w:ascii="宋体"/>
          <w:color w:val="auto"/>
          <w:highlight w:val="none"/>
          <w:lang w:val="en-US" w:eastAsia="zh"/>
        </w:rPr>
        <w:t>、供应商、评标专家等用户登录平台后，进入个人工作台。个人工作台包括待办提醒、信息通知、开标日历、项目进度一览表、异常预警、账户管理等功能；同时不同的角色用户可以进入平台完成对应的业务操作。</w:t>
      </w:r>
    </w:p>
    <w:p w14:paraId="71A92F51">
      <w:pPr>
        <w:pStyle w:val="6"/>
        <w:numPr>
          <w:ilvl w:val="0"/>
          <w:numId w:val="0"/>
        </w:numPr>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（二）功能需求</w:t>
      </w:r>
    </w:p>
    <w:p w14:paraId="41DC9506">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1.供应商管理</w:t>
      </w:r>
    </w:p>
    <w:p w14:paraId="32D9F2B0">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1.1 供应商在平台上自行注册、登记。主要包含供应商名称、法人代表姓名及联系方式、授权代表人姓名及联系方式、</w:t>
      </w:r>
      <w:r>
        <w:rPr>
          <w:rFonts w:hint="eastAsia"/>
          <w:color w:val="auto"/>
          <w:highlight w:val="none"/>
          <w:lang w:val="en-US" w:eastAsia="zh-CN"/>
        </w:rPr>
        <w:t>地址、</w:t>
      </w:r>
      <w:r>
        <w:rPr>
          <w:rFonts w:hint="eastAsia" w:ascii="宋体"/>
          <w:color w:val="auto"/>
          <w:highlight w:val="none"/>
          <w:lang w:val="en-US" w:eastAsia="zh-CN"/>
        </w:rPr>
        <w:t>注册资本金、营业范围、开户行信息、电子邮箱等。允许一个供应商多个授权人代表。允许法人代表变更、公司名称变更等情况，调整后系统自动调整其他关联的相关信息。</w:t>
      </w:r>
    </w:p>
    <w:p w14:paraId="6C520F8D">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1.2</w:t>
      </w:r>
      <w:r>
        <w:rPr>
          <w:rFonts w:hint="eastAsia"/>
          <w:color w:val="auto"/>
          <w:highlight w:val="none"/>
          <w:lang w:val="en-US" w:eastAsia="zh-CN"/>
        </w:rPr>
        <w:t>有供应商工作台界面，</w:t>
      </w:r>
      <w:r>
        <w:rPr>
          <w:rFonts w:hint="eastAsia" w:ascii="宋体"/>
          <w:color w:val="auto"/>
          <w:highlight w:val="none"/>
          <w:lang w:val="en-US" w:eastAsia="zh-CN"/>
        </w:rPr>
        <w:t>具有上传营业</w:t>
      </w:r>
      <w:r>
        <w:rPr>
          <w:rFonts w:hint="eastAsia"/>
          <w:color w:val="auto"/>
          <w:highlight w:val="none"/>
          <w:lang w:val="en-US" w:eastAsia="zh-CN"/>
        </w:rPr>
        <w:t>执照</w:t>
      </w:r>
      <w:r>
        <w:rPr>
          <w:rFonts w:hint="eastAsia" w:ascii="宋体"/>
          <w:color w:val="auto"/>
          <w:highlight w:val="none"/>
          <w:lang w:val="en-US" w:eastAsia="zh-CN"/>
        </w:rPr>
        <w:t>、法人代表身份证</w:t>
      </w:r>
      <w:r>
        <w:rPr>
          <w:rFonts w:hint="eastAsia"/>
          <w:color w:val="auto"/>
          <w:highlight w:val="none"/>
          <w:lang w:val="en-US" w:eastAsia="zh-CN"/>
        </w:rPr>
        <w:t>、上传报价文件等实际</w:t>
      </w:r>
      <w:r>
        <w:rPr>
          <w:rFonts w:hint="eastAsia" w:ascii="宋体"/>
          <w:color w:val="auto"/>
          <w:highlight w:val="none"/>
          <w:lang w:val="en-US" w:eastAsia="zh-CN"/>
        </w:rPr>
        <w:t>功能。</w:t>
      </w:r>
    </w:p>
    <w:p w14:paraId="3A45AF7A">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1.3在对应合同中增加供应商评价功能（按固定模板格式），对供应商进行动态评价，同时</w:t>
      </w:r>
      <w:r>
        <w:rPr>
          <w:rFonts w:hint="eastAsia" w:ascii="宋体"/>
          <w:color w:val="auto"/>
          <w:highlight w:val="none"/>
          <w:lang w:val="en-US" w:eastAsia="zh"/>
        </w:rPr>
        <w:t>增加不合格供应商和合格供应商标记</w:t>
      </w:r>
      <w:r>
        <w:rPr>
          <w:rFonts w:hint="eastAsia"/>
          <w:color w:val="auto"/>
          <w:highlight w:val="none"/>
          <w:lang w:val="en-US" w:eastAsia="zh-CN"/>
        </w:rPr>
        <w:t>，按模板生成不合格、黑名单供应商告知函。</w:t>
      </w:r>
    </w:p>
    <w:p w14:paraId="1173B9E1">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1.4 动态管理供应商合格库、不合格库、黑名单库。不合格或者黑名单供应商在到期后自动解除。</w:t>
      </w:r>
      <w:r>
        <w:rPr>
          <w:rFonts w:hint="eastAsia"/>
          <w:color w:val="auto"/>
          <w:highlight w:val="none"/>
          <w:lang w:val="en-US" w:eastAsia="zh-CN"/>
        </w:rPr>
        <w:t>在期限内，禁止</w:t>
      </w:r>
      <w:r>
        <w:rPr>
          <w:rFonts w:hint="eastAsia" w:ascii="宋体"/>
          <w:color w:val="auto"/>
          <w:highlight w:val="none"/>
          <w:lang w:val="en-US" w:eastAsia="zh-CN"/>
        </w:rPr>
        <w:t>不合格或者黑名单供应商</w:t>
      </w:r>
      <w:r>
        <w:rPr>
          <w:rFonts w:hint="eastAsia"/>
          <w:color w:val="auto"/>
          <w:highlight w:val="none"/>
          <w:lang w:val="en-US" w:eastAsia="zh-CN"/>
        </w:rPr>
        <w:t>参与采购项目。</w:t>
      </w:r>
    </w:p>
    <w:p w14:paraId="1982F08A">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2.</w:t>
      </w:r>
      <w:r>
        <w:rPr>
          <w:rFonts w:hint="eastAsia"/>
          <w:b/>
          <w:bCs/>
          <w:color w:val="auto"/>
          <w:highlight w:val="none"/>
          <w:lang w:val="en-US" w:eastAsia="zh-CN"/>
        </w:rPr>
        <w:t>需求管理</w:t>
      </w:r>
    </w:p>
    <w:p w14:paraId="79171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firstLineChars="200"/>
        <w:rPr>
          <w:rFonts w:hint="default" w:ascii="宋体" w:hAnsi="Arial" w:cs="Arial" w:eastAsiaTheme="minorEastAsia"/>
          <w:b w:val="0"/>
          <w:bCs w:val="0"/>
          <w:snapToGrid w:val="0"/>
          <w:color w:val="auto"/>
          <w:kern w:val="2"/>
          <w:sz w:val="24"/>
          <w:szCs w:val="21"/>
          <w:highlight w:val="none"/>
          <w:lang w:val="en-US" w:eastAsia="zh-CN" w:bidi="ar-SA"/>
        </w:rPr>
      </w:pPr>
      <w:r>
        <w:rPr>
          <w:rFonts w:hint="eastAsia" w:ascii="宋体" w:hAnsi="Arial" w:cs="Arial" w:eastAsiaTheme="minorEastAsia"/>
          <w:b w:val="0"/>
          <w:bCs w:val="0"/>
          <w:snapToGrid w:val="0"/>
          <w:color w:val="auto"/>
          <w:kern w:val="2"/>
          <w:sz w:val="24"/>
          <w:szCs w:val="21"/>
          <w:highlight w:val="none"/>
          <w:lang w:val="en-US" w:eastAsia="zh-CN" w:bidi="ar-SA"/>
        </w:rPr>
        <w:t>2.1</w:t>
      </w:r>
      <w:r>
        <w:rPr>
          <w:rFonts w:hint="eastAsia" w:ascii="宋体" w:hAnsi="Arial" w:cs="Arial" w:eastAsiaTheme="minorEastAsia"/>
          <w:b w:val="0"/>
          <w:bCs w:val="0"/>
          <w:snapToGrid w:val="0"/>
          <w:color w:val="auto"/>
          <w:kern w:val="2"/>
          <w:sz w:val="24"/>
          <w:szCs w:val="21"/>
          <w:highlight w:val="none"/>
          <w:lang w:val="en-US" w:eastAsia="zh" w:bidi="ar-SA"/>
        </w:rPr>
        <w:t>建立物资编码库，</w:t>
      </w:r>
      <w:r>
        <w:rPr>
          <w:rFonts w:hint="eastAsia" w:ascii="宋体" w:hAnsi="Arial" w:cs="Arial" w:eastAsiaTheme="minorEastAsia"/>
          <w:b w:val="0"/>
          <w:bCs w:val="0"/>
          <w:snapToGrid w:val="0"/>
          <w:color w:val="auto"/>
          <w:kern w:val="2"/>
          <w:sz w:val="24"/>
          <w:szCs w:val="21"/>
          <w:highlight w:val="none"/>
          <w:lang w:val="en-US" w:eastAsia="zh-CN" w:bidi="ar-SA"/>
        </w:rPr>
        <w:t>按</w:t>
      </w:r>
      <w:r>
        <w:rPr>
          <w:rFonts w:hint="default" w:ascii="宋体" w:hAnsi="Arial" w:cs="Arial" w:eastAsiaTheme="minorEastAsia"/>
          <w:b w:val="0"/>
          <w:bCs w:val="0"/>
          <w:snapToGrid w:val="0"/>
          <w:color w:val="auto"/>
          <w:kern w:val="2"/>
          <w:sz w:val="24"/>
          <w:szCs w:val="21"/>
          <w:highlight w:val="none"/>
          <w:lang w:val="en-US" w:eastAsia="zh" w:bidi="ar-SA"/>
        </w:rPr>
        <w:t>GB/T 45309-2025企业采购物资分类编码指南</w:t>
      </w:r>
      <w:r>
        <w:rPr>
          <w:rFonts w:hint="eastAsia" w:ascii="宋体" w:hAnsi="Arial" w:cs="Arial" w:eastAsiaTheme="minorEastAsia"/>
          <w:b w:val="0"/>
          <w:bCs w:val="0"/>
          <w:snapToGrid w:val="0"/>
          <w:color w:val="auto"/>
          <w:kern w:val="2"/>
          <w:sz w:val="24"/>
          <w:szCs w:val="21"/>
          <w:highlight w:val="none"/>
          <w:lang w:val="en-US" w:eastAsia="zh-CN" w:bidi="ar-SA"/>
        </w:rPr>
        <w:t>编码，</w:t>
      </w:r>
      <w:r>
        <w:rPr>
          <w:rFonts w:hint="eastAsia" w:ascii="宋体" w:hAnsi="Arial" w:cs="Arial" w:eastAsiaTheme="minorEastAsia"/>
          <w:b w:val="0"/>
          <w:bCs w:val="0"/>
          <w:snapToGrid w:val="0"/>
          <w:color w:val="auto"/>
          <w:kern w:val="2"/>
          <w:sz w:val="24"/>
          <w:szCs w:val="21"/>
          <w:highlight w:val="none"/>
          <w:lang w:val="en-US" w:eastAsia="zh" w:bidi="ar-SA"/>
        </w:rPr>
        <w:t>含计量单位、规格型号、国家标准等信息</w:t>
      </w:r>
      <w:r>
        <w:rPr>
          <w:rFonts w:hint="eastAsia" w:ascii="宋体" w:hAnsi="Arial" w:cs="Arial" w:eastAsiaTheme="minorEastAsia"/>
          <w:b w:val="0"/>
          <w:bCs w:val="0"/>
          <w:snapToGrid w:val="0"/>
          <w:color w:val="auto"/>
          <w:kern w:val="2"/>
          <w:sz w:val="24"/>
          <w:szCs w:val="21"/>
          <w:highlight w:val="none"/>
          <w:lang w:val="en-US" w:eastAsia="zh-CN" w:bidi="ar-SA"/>
        </w:rPr>
        <w:t>，支持自定义标签</w:t>
      </w:r>
      <w:r>
        <w:rPr>
          <w:rFonts w:hint="eastAsia" w:ascii="宋体" w:hAnsi="Arial" w:cs="Arial" w:eastAsiaTheme="minorEastAsia"/>
          <w:b w:val="0"/>
          <w:bCs w:val="0"/>
          <w:snapToGrid w:val="0"/>
          <w:color w:val="auto"/>
          <w:kern w:val="2"/>
          <w:sz w:val="24"/>
          <w:szCs w:val="21"/>
          <w:highlight w:val="none"/>
          <w:lang w:val="en-US" w:eastAsia="zh" w:bidi="ar-SA"/>
        </w:rPr>
        <w:t>；</w:t>
      </w:r>
      <w:r>
        <w:rPr>
          <w:rFonts w:hint="eastAsia" w:ascii="宋体" w:hAnsi="Arial" w:cs="Arial"/>
          <w:b w:val="0"/>
          <w:bCs w:val="0"/>
          <w:snapToGrid w:val="0"/>
          <w:color w:val="auto"/>
          <w:kern w:val="2"/>
          <w:sz w:val="24"/>
          <w:szCs w:val="21"/>
          <w:highlight w:val="none"/>
          <w:lang w:val="en-US" w:eastAsia="zh-CN" w:bidi="ar-SA"/>
        </w:rPr>
        <w:t>具有编码审核和查重功能，减少或者避免一物多码。</w:t>
      </w:r>
    </w:p>
    <w:p w14:paraId="7BEB7C58">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2.2建立</w:t>
      </w:r>
      <w:r>
        <w:rPr>
          <w:rFonts w:hint="eastAsia" w:ascii="宋体"/>
          <w:color w:val="auto"/>
          <w:highlight w:val="none"/>
          <w:lang w:val="en-US" w:eastAsia="zh"/>
        </w:rPr>
        <w:t>物资库位</w:t>
      </w:r>
      <w:r>
        <w:rPr>
          <w:rFonts w:hint="eastAsia" w:ascii="宋体"/>
          <w:color w:val="auto"/>
          <w:highlight w:val="none"/>
          <w:lang w:val="en-US" w:eastAsia="zh-CN"/>
        </w:rPr>
        <w:t>信息库，</w:t>
      </w:r>
      <w:r>
        <w:rPr>
          <w:rFonts w:hint="eastAsia" w:ascii="宋体"/>
          <w:color w:val="auto"/>
          <w:highlight w:val="none"/>
          <w:lang w:val="en-US" w:eastAsia="zh"/>
        </w:rPr>
        <w:t>扫描物资编码和库位定位标签后，数据自动集成到物资编码信息中。允许手工调整库位信息，库位有模糊搜索功能。</w:t>
      </w:r>
    </w:p>
    <w:p w14:paraId="7FAA3150">
      <w:pPr>
        <w:pStyle w:val="6"/>
        <w:numPr>
          <w:ilvl w:val="0"/>
          <w:numId w:val="0"/>
        </w:numPr>
        <w:ind w:firstLine="480" w:firstLineChars="200"/>
        <w:rPr>
          <w:rFonts w:hint="default" w:ascii="宋体"/>
          <w:color w:val="auto"/>
          <w:highlight w:val="none"/>
          <w:lang w:val="en-US" w:eastAsia="zh"/>
        </w:rPr>
      </w:pPr>
      <w:r>
        <w:rPr>
          <w:rFonts w:hint="eastAsia" w:ascii="宋体"/>
          <w:color w:val="auto"/>
          <w:highlight w:val="none"/>
          <w:lang w:val="en-US" w:eastAsia="zh-CN"/>
        </w:rPr>
        <w:t>2.3</w:t>
      </w:r>
      <w:r>
        <w:rPr>
          <w:rFonts w:hint="eastAsia" w:ascii="宋体"/>
          <w:color w:val="auto"/>
          <w:highlight w:val="none"/>
          <w:lang w:val="en-US" w:eastAsia="zh"/>
        </w:rPr>
        <w:t>从</w:t>
      </w:r>
      <w:r>
        <w:rPr>
          <w:rFonts w:hint="eastAsia" w:ascii="宋体" w:hAnsi="Arial" w:cs="Arial" w:eastAsiaTheme="minorEastAsia"/>
          <w:b w:val="0"/>
          <w:bCs w:val="0"/>
          <w:snapToGrid w:val="0"/>
          <w:color w:val="auto"/>
          <w:kern w:val="2"/>
          <w:sz w:val="24"/>
          <w:szCs w:val="21"/>
          <w:highlight w:val="none"/>
          <w:lang w:val="en-US" w:eastAsia="zh" w:bidi="ar-SA"/>
        </w:rPr>
        <w:t>物资</w:t>
      </w:r>
      <w:r>
        <w:rPr>
          <w:rFonts w:hint="eastAsia" w:ascii="宋体"/>
          <w:color w:val="auto"/>
          <w:highlight w:val="none"/>
          <w:lang w:val="en-US" w:eastAsia="zh"/>
        </w:rPr>
        <w:t>编码库中选择需求，生成需求清单，自动显示近三年采购单价及平均价；需求清单增加合并、拆分功能</w:t>
      </w:r>
      <w:r>
        <w:rPr>
          <w:rFonts w:hint="eastAsia" w:ascii="宋体"/>
          <w:color w:val="auto"/>
          <w:highlight w:val="none"/>
          <w:lang w:val="en-US" w:eastAsia="zh-CN"/>
        </w:rPr>
        <w:t>；</w:t>
      </w:r>
      <w:r>
        <w:rPr>
          <w:rFonts w:hint="eastAsia" w:ascii="宋体"/>
          <w:color w:val="auto"/>
          <w:highlight w:val="none"/>
          <w:lang w:val="en-US" w:eastAsia="zh"/>
        </w:rPr>
        <w:t>分别显示不同部门需求，自动合并同一个编码的总量。</w:t>
      </w:r>
      <w:r>
        <w:rPr>
          <w:rFonts w:hint="eastAsia"/>
          <w:color w:val="auto"/>
          <w:highlight w:val="none"/>
          <w:lang w:val="en-US" w:eastAsia="zh-CN"/>
        </w:rPr>
        <w:t>按格式配置需求书，填写相关要求。</w:t>
      </w:r>
      <w:r>
        <w:rPr>
          <w:rFonts w:hint="eastAsia" w:ascii="宋体"/>
          <w:color w:val="auto"/>
          <w:highlight w:val="none"/>
          <w:lang w:val="en-US" w:eastAsia="zh-CN"/>
        </w:rPr>
        <w:t>需求</w:t>
      </w:r>
      <w:r>
        <w:rPr>
          <w:rFonts w:hint="eastAsia"/>
          <w:color w:val="auto"/>
          <w:highlight w:val="none"/>
          <w:lang w:val="en-US" w:eastAsia="zh-CN"/>
        </w:rPr>
        <w:t>书</w:t>
      </w:r>
      <w:r>
        <w:rPr>
          <w:rFonts w:hint="eastAsia" w:ascii="宋体"/>
          <w:color w:val="auto"/>
          <w:highlight w:val="none"/>
          <w:lang w:val="en-US" w:eastAsia="zh-CN"/>
        </w:rPr>
        <w:t>审批至部门级，暂不审批至公司级（</w:t>
      </w:r>
      <w:r>
        <w:rPr>
          <w:rFonts w:hint="eastAsia" w:ascii="宋体"/>
          <w:b/>
          <w:bCs/>
          <w:color w:val="auto"/>
          <w:highlight w:val="none"/>
          <w:lang w:val="en-US" w:eastAsia="zh-CN"/>
        </w:rPr>
        <w:t>公司级审批由采购人在另外平台实施，与本项目无关联</w:t>
      </w:r>
      <w:r>
        <w:rPr>
          <w:rFonts w:hint="eastAsia" w:ascii="宋体"/>
          <w:color w:val="auto"/>
          <w:highlight w:val="none"/>
          <w:lang w:val="en-US" w:eastAsia="zh-CN"/>
        </w:rPr>
        <w:t>），</w:t>
      </w:r>
      <w:r>
        <w:rPr>
          <w:rFonts w:hint="eastAsia" w:ascii="宋体"/>
          <w:b/>
          <w:bCs/>
          <w:color w:val="auto"/>
          <w:highlight w:val="none"/>
          <w:lang w:val="en-US" w:eastAsia="zh-CN"/>
        </w:rPr>
        <w:t>主要流程为：各需求部门经办人提报-各部门负责人审批-需求管理部门汇总（增加标记，在其他平台是否开始流程）-采购实施部门。要求合并后的需求</w:t>
      </w:r>
      <w:r>
        <w:rPr>
          <w:rFonts w:hint="eastAsia"/>
          <w:b/>
          <w:bCs/>
          <w:color w:val="auto"/>
          <w:highlight w:val="none"/>
          <w:lang w:val="en-US" w:eastAsia="zh-CN"/>
        </w:rPr>
        <w:t>导</w:t>
      </w:r>
      <w:r>
        <w:rPr>
          <w:rFonts w:hint="eastAsia" w:ascii="宋体"/>
          <w:b/>
          <w:bCs/>
          <w:color w:val="auto"/>
          <w:highlight w:val="none"/>
          <w:lang w:val="en-US" w:eastAsia="zh-CN"/>
        </w:rPr>
        <w:t>出EXCEL表格，审批流程导出为PDF版本，本地保存。</w:t>
      </w:r>
    </w:p>
    <w:p w14:paraId="231B05B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2.4具有</w:t>
      </w:r>
      <w:r>
        <w:rPr>
          <w:rFonts w:hint="eastAsia" w:ascii="宋体"/>
          <w:color w:val="auto"/>
          <w:highlight w:val="none"/>
          <w:lang w:val="en-US" w:eastAsia="zh"/>
        </w:rPr>
        <w:t>需求清单查重</w:t>
      </w:r>
      <w:r>
        <w:rPr>
          <w:rFonts w:hint="eastAsia" w:ascii="宋体"/>
          <w:color w:val="auto"/>
          <w:highlight w:val="none"/>
          <w:lang w:val="en-US" w:eastAsia="zh-CN"/>
        </w:rPr>
        <w:t>功能</w:t>
      </w:r>
      <w:r>
        <w:rPr>
          <w:rFonts w:hint="eastAsia" w:ascii="宋体"/>
          <w:color w:val="auto"/>
          <w:highlight w:val="none"/>
          <w:lang w:val="en-US" w:eastAsia="zh"/>
        </w:rPr>
        <w:t>，在一个清单不能出现重复性内容</w:t>
      </w:r>
      <w:r>
        <w:rPr>
          <w:rFonts w:hint="eastAsia" w:ascii="宋体"/>
          <w:color w:val="auto"/>
          <w:highlight w:val="none"/>
          <w:lang w:val="en-US" w:eastAsia="zh-CN"/>
        </w:rPr>
        <w:t>；能与有效期内的</w:t>
      </w:r>
      <w:r>
        <w:rPr>
          <w:rFonts w:hint="eastAsia" w:ascii="宋体"/>
          <w:color w:val="auto"/>
          <w:highlight w:val="none"/>
          <w:lang w:val="en-US" w:eastAsia="zh"/>
        </w:rPr>
        <w:t>合同清单内需求匹配，若在有效期内的某个合同清单内有相同编码，具体提醒功能；同时在6个月内有相同需求提报，具备提醒功能。</w:t>
      </w:r>
    </w:p>
    <w:p w14:paraId="440E854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5</w:t>
      </w:r>
      <w:r>
        <w:rPr>
          <w:rFonts w:hint="eastAsia" w:ascii="宋体"/>
          <w:color w:val="auto"/>
          <w:highlight w:val="none"/>
          <w:lang w:val="en-US" w:eastAsia="zh-CN"/>
        </w:rPr>
        <w:t>具有从</w:t>
      </w:r>
      <w:r>
        <w:rPr>
          <w:rFonts w:hint="eastAsia" w:ascii="宋体"/>
          <w:color w:val="auto"/>
          <w:highlight w:val="none"/>
          <w:lang w:val="en-US" w:eastAsia="zh"/>
        </w:rPr>
        <w:t>合同清单复制</w:t>
      </w:r>
      <w:r>
        <w:rPr>
          <w:rFonts w:hint="eastAsia" w:ascii="宋体"/>
          <w:color w:val="auto"/>
          <w:highlight w:val="none"/>
          <w:lang w:val="en-US" w:eastAsia="zh-CN"/>
        </w:rPr>
        <w:t>成需求清单内容</w:t>
      </w:r>
      <w:r>
        <w:rPr>
          <w:rFonts w:hint="eastAsia"/>
          <w:color w:val="auto"/>
          <w:highlight w:val="none"/>
          <w:lang w:val="en-US" w:eastAsia="zh-CN"/>
        </w:rPr>
        <w:t>功能</w:t>
      </w:r>
      <w:r>
        <w:rPr>
          <w:rFonts w:hint="eastAsia" w:ascii="宋体"/>
          <w:color w:val="auto"/>
          <w:highlight w:val="none"/>
          <w:lang w:val="en-US" w:eastAsia="zh"/>
        </w:rPr>
        <w:t>，减少清单录入工作</w:t>
      </w:r>
      <w:r>
        <w:rPr>
          <w:rFonts w:hint="eastAsia" w:ascii="宋体"/>
          <w:color w:val="auto"/>
          <w:highlight w:val="none"/>
          <w:lang w:val="en-US" w:eastAsia="zh-CN"/>
        </w:rPr>
        <w:t>。</w:t>
      </w:r>
    </w:p>
    <w:p w14:paraId="236FB98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6</w:t>
      </w:r>
      <w:r>
        <w:rPr>
          <w:rFonts w:hint="eastAsia" w:ascii="宋体"/>
          <w:color w:val="auto"/>
          <w:highlight w:val="none"/>
          <w:lang w:val="en-US" w:eastAsia="zh-CN"/>
        </w:rPr>
        <w:t>对服务类的采购内容单独编码，与物资类分开，便于后续在线报价。</w:t>
      </w:r>
    </w:p>
    <w:p w14:paraId="32349983">
      <w:pPr>
        <w:pStyle w:val="6"/>
        <w:numPr>
          <w:ilvl w:val="0"/>
          <w:numId w:val="0"/>
        </w:numPr>
        <w:ind w:firstLine="482" w:firstLineChars="200"/>
        <w:rPr>
          <w:rFonts w:hint="default" w:ascii="宋体" w:hAnsi="Arial" w:cs="Arial" w:eastAsiaTheme="minorEastAsia"/>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2.7本系统不设置公司级采购需求审批流程，但需按格式配置表格，在表格中手工录入相关信息，保证整个数据流完整，同时允许上传附件。</w:t>
      </w:r>
    </w:p>
    <w:p w14:paraId="4D1DD7C4">
      <w:pPr>
        <w:pStyle w:val="6"/>
        <w:numPr>
          <w:ilvl w:val="0"/>
          <w:numId w:val="0"/>
        </w:numPr>
        <w:ind w:firstLine="482" w:firstLineChars="200"/>
        <w:rPr>
          <w:rFonts w:hint="default" w:ascii="宋体" w:hAnsi="Arial" w:cs="Arial" w:eastAsiaTheme="minorEastAsia"/>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2.8本系统采购需求的类型为：生产经营货物、非生产经营货物、生产经营服务、非生产经营服务、工程施工、工程货物、工程服务等，在统计表格中体现。</w:t>
      </w:r>
    </w:p>
    <w:p w14:paraId="0586C23B">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3.</w:t>
      </w:r>
      <w:r>
        <w:rPr>
          <w:rFonts w:hint="eastAsia"/>
          <w:b/>
          <w:bCs/>
          <w:color w:val="auto"/>
          <w:highlight w:val="none"/>
          <w:lang w:val="en-US" w:eastAsia="zh-CN"/>
        </w:rPr>
        <w:t>计划管理</w:t>
      </w:r>
    </w:p>
    <w:p w14:paraId="289A8E96">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3.1</w:t>
      </w:r>
      <w:r>
        <w:rPr>
          <w:rFonts w:hint="eastAsia" w:ascii="宋体"/>
          <w:color w:val="auto"/>
          <w:highlight w:val="none"/>
          <w:lang w:val="en-US" w:eastAsia="zh"/>
        </w:rPr>
        <w:t>年度计划</w:t>
      </w:r>
    </w:p>
    <w:p w14:paraId="2FE3223E">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3.1.1配置年度计划管理模块，按格式设置年度计划申报表格，年度计划的基本流程是：各部门自行申报-需求管理部门汇总合并-提交至采购计划管理部门-最终汇总成年度采购计划，暂不是设置审批流程；具体每年的年度计划如何启动申报，由供应商自行配置方案；</w:t>
      </w:r>
    </w:p>
    <w:p w14:paraId="5713617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3.1.2每年的年度计划需要匹配近三年的采购信息（手动或者自动另外协商），如申报2026年采购计划，匹配2023、2024、2025年采购结果信息；另外单独配置生产药剂的需求表主要统计药剂单耗；</w:t>
      </w:r>
    </w:p>
    <w:p w14:paraId="7B76D6E2">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3.1.3根据</w:t>
      </w:r>
      <w:r>
        <w:rPr>
          <w:rFonts w:hint="eastAsia" w:ascii="宋体"/>
          <w:color w:val="auto"/>
          <w:highlight w:val="none"/>
          <w:lang w:val="en-US" w:eastAsia="zh"/>
        </w:rPr>
        <w:t>月度计划匹配年度计划，生成年度计划完成率</w:t>
      </w:r>
      <w:r>
        <w:rPr>
          <w:rFonts w:hint="eastAsia"/>
          <w:color w:val="auto"/>
          <w:highlight w:val="none"/>
          <w:lang w:val="en-US" w:eastAsia="zh-CN"/>
        </w:rPr>
        <w:t>；</w:t>
      </w:r>
    </w:p>
    <w:p w14:paraId="4D3560D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3.1.4</w:t>
      </w:r>
      <w:r>
        <w:rPr>
          <w:rFonts w:hint="eastAsia" w:ascii="宋体"/>
          <w:color w:val="auto"/>
          <w:highlight w:val="none"/>
          <w:lang w:val="en-US" w:eastAsia="zh"/>
        </w:rPr>
        <w:t>同时允许新增年度计划</w:t>
      </w:r>
      <w:r>
        <w:rPr>
          <w:rFonts w:hint="eastAsia"/>
          <w:color w:val="auto"/>
          <w:highlight w:val="none"/>
          <w:lang w:val="en-US" w:eastAsia="zh-CN"/>
        </w:rPr>
        <w:t>；</w:t>
      </w:r>
    </w:p>
    <w:p w14:paraId="791D03B5">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3.1.5</w:t>
      </w:r>
      <w:r>
        <w:rPr>
          <w:rFonts w:hint="eastAsia" w:ascii="宋体"/>
          <w:color w:val="auto"/>
          <w:highlight w:val="none"/>
          <w:lang w:val="en-US" w:eastAsia="zh"/>
        </w:rPr>
        <w:t>生成年度计划完成报表，报表内区分原计划和新增计划。</w:t>
      </w:r>
    </w:p>
    <w:p w14:paraId="38CB6BB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 xml:space="preserve">3.2 </w:t>
      </w:r>
      <w:r>
        <w:rPr>
          <w:rFonts w:hint="eastAsia" w:ascii="宋体"/>
          <w:color w:val="auto"/>
          <w:highlight w:val="none"/>
          <w:lang w:val="en-US" w:eastAsia="zh"/>
        </w:rPr>
        <w:t>月度计划</w:t>
      </w:r>
    </w:p>
    <w:p w14:paraId="1A43EA9D">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3.2.1</w:t>
      </w:r>
      <w:r>
        <w:rPr>
          <w:rFonts w:hint="eastAsia"/>
          <w:color w:val="auto"/>
          <w:highlight w:val="none"/>
          <w:lang w:val="en-US" w:eastAsia="zh-CN"/>
        </w:rPr>
        <w:t>配置月度计划管理模块，</w:t>
      </w:r>
      <w:r>
        <w:rPr>
          <w:rFonts w:hint="eastAsia" w:ascii="宋体"/>
          <w:color w:val="auto"/>
          <w:highlight w:val="none"/>
          <w:lang w:val="en-US" w:eastAsia="zh"/>
        </w:rPr>
        <w:t>根据需求生成次月采购计划，可以实现多个需求合并成一个采购计划</w:t>
      </w:r>
      <w:r>
        <w:rPr>
          <w:rFonts w:hint="eastAsia" w:ascii="宋体"/>
          <w:color w:val="auto"/>
          <w:highlight w:val="none"/>
          <w:lang w:val="en-US" w:eastAsia="zh-CN"/>
        </w:rPr>
        <w:t>，同时系统自动生成采购项目编号，项目编号具有唯一性，采购计划手动分配至具体项目经办人</w:t>
      </w:r>
      <w:r>
        <w:rPr>
          <w:rFonts w:hint="eastAsia" w:ascii="宋体"/>
          <w:color w:val="auto"/>
          <w:highlight w:val="none"/>
          <w:lang w:val="en-US" w:eastAsia="zh"/>
        </w:rPr>
        <w:t>。根据每月采购计划生成采购工作完成可视化表，可以显示每个节点完成情况与当前操作执行人；</w:t>
      </w:r>
      <w:r>
        <w:rPr>
          <w:rFonts w:hint="eastAsia" w:ascii="宋体"/>
          <w:color w:val="auto"/>
          <w:highlight w:val="none"/>
          <w:lang w:val="en-US" w:eastAsia="zh-CN"/>
        </w:rPr>
        <w:t>采购计划和完成情况均需具备导出</w:t>
      </w:r>
      <w:r>
        <w:rPr>
          <w:rFonts w:hint="eastAsia" w:ascii="宋体"/>
          <w:b w:val="0"/>
          <w:bCs w:val="0"/>
          <w:color w:val="auto"/>
          <w:highlight w:val="none"/>
          <w:lang w:val="en-US" w:eastAsia="zh-CN"/>
        </w:rPr>
        <w:t>EXCEL表格，本地保存。</w:t>
      </w:r>
    </w:p>
    <w:p w14:paraId="2CDEFD13">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3.2.2</w:t>
      </w:r>
      <w:r>
        <w:rPr>
          <w:rFonts w:hint="eastAsia" w:ascii="宋体"/>
          <w:color w:val="auto"/>
          <w:highlight w:val="none"/>
          <w:lang w:val="en-US" w:eastAsia="zh"/>
        </w:rPr>
        <w:t>允许手工增加采购计划。</w:t>
      </w:r>
    </w:p>
    <w:p w14:paraId="0649565C">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3.2.3</w:t>
      </w:r>
      <w:r>
        <w:rPr>
          <w:rFonts w:hint="eastAsia" w:ascii="宋体"/>
          <w:color w:val="auto"/>
          <w:highlight w:val="none"/>
          <w:lang w:val="en-US" w:eastAsia="zh"/>
        </w:rPr>
        <w:t>紧急采购需求纳入次月采购计划</w:t>
      </w:r>
      <w:r>
        <w:rPr>
          <w:rFonts w:hint="eastAsia" w:ascii="宋体"/>
          <w:color w:val="auto"/>
          <w:highlight w:val="none"/>
          <w:lang w:val="en-US" w:eastAsia="zh-CN"/>
        </w:rPr>
        <w:t>。</w:t>
      </w:r>
    </w:p>
    <w:p w14:paraId="3088E3B3">
      <w:pPr>
        <w:pStyle w:val="6"/>
        <w:numPr>
          <w:ilvl w:val="0"/>
          <w:numId w:val="0"/>
        </w:numPr>
        <w:ind w:firstLine="482" w:firstLineChars="200"/>
        <w:rPr>
          <w:rFonts w:hint="eastAsia" w:ascii="宋体"/>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4.</w:t>
      </w:r>
      <w:r>
        <w:rPr>
          <w:rFonts w:hint="eastAsia" w:ascii="宋体"/>
          <w:b/>
          <w:bCs/>
          <w:color w:val="auto"/>
          <w:highlight w:val="none"/>
          <w:lang w:val="en-US" w:eastAsia="zh-CN"/>
        </w:rPr>
        <w:t>在线报价及评审管理</w:t>
      </w:r>
    </w:p>
    <w:p w14:paraId="538F7972">
      <w:pPr>
        <w:pStyle w:val="6"/>
        <w:numPr>
          <w:ilvl w:val="0"/>
          <w:numId w:val="0"/>
        </w:numPr>
        <w:ind w:firstLine="480" w:firstLineChars="200"/>
        <w:rPr>
          <w:rFonts w:hint="default"/>
          <w:b w:val="0"/>
          <w:bCs w:val="0"/>
          <w:color w:val="auto"/>
          <w:highlight w:val="none"/>
          <w:u w:val="single"/>
          <w:lang w:val="en-US" w:eastAsia="zh-CN"/>
        </w:rPr>
      </w:pPr>
      <w:r>
        <w:rPr>
          <w:rFonts w:hint="eastAsia"/>
          <w:b w:val="0"/>
          <w:bCs w:val="0"/>
          <w:color w:val="auto"/>
          <w:highlight w:val="none"/>
          <w:lang w:val="en-US" w:eastAsia="zh-CN"/>
        </w:rPr>
        <w:t>本项目涉及的采购方式为公开招标、邀请招标、公开询价、邀请询价、单一来源采购、竞争性谈判、竞争性磋商、比价、简易采购。本环节均需允许下载PDF，本地保存。</w:t>
      </w:r>
      <w:r>
        <w:rPr>
          <w:rFonts w:hint="eastAsia"/>
          <w:b w:val="0"/>
          <w:bCs w:val="0"/>
          <w:color w:val="auto"/>
          <w:highlight w:val="none"/>
          <w:u w:val="single"/>
          <w:lang w:val="en-US" w:eastAsia="zh-CN"/>
        </w:rPr>
        <w:t>所有采购项目不设置报名环节，在系统自动解密前不显示响应供应商名称和报价。</w:t>
      </w:r>
      <w:r>
        <w:rPr>
          <w:rFonts w:hint="eastAsia"/>
          <w:b/>
          <w:bCs/>
          <w:color w:val="auto"/>
          <w:highlight w:val="none"/>
          <w:u w:val="single"/>
          <w:lang w:val="en-US" w:eastAsia="zh-CN"/>
        </w:rPr>
        <w:t>若采购失败后，只显示供应商名称，但不显示供应商报价。本平台具有发布采购公告和下载采购文件的功能。</w:t>
      </w:r>
    </w:p>
    <w:p w14:paraId="7AD770F0">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4.1本项目暂不配置采购文件、答疑、采购结果审批流程，由采购人在另外平台实施，与本项目无关联；</w:t>
      </w:r>
      <w:r>
        <w:rPr>
          <w:rFonts w:hint="eastAsia" w:cs="Arial"/>
          <w:b/>
          <w:bCs/>
          <w:snapToGrid w:val="0"/>
          <w:color w:val="auto"/>
          <w:kern w:val="2"/>
          <w:sz w:val="24"/>
          <w:szCs w:val="21"/>
          <w:highlight w:val="none"/>
          <w:lang w:val="en-US" w:eastAsia="zh-CN" w:bidi="ar-SA"/>
        </w:rPr>
        <w:t>但需按格式配置表格，在表格中手工录入相关信息，保证整个数据流完整，同时允许上传附件。</w:t>
      </w:r>
    </w:p>
    <w:p w14:paraId="679B493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color w:val="auto"/>
          <w:highlight w:val="none"/>
          <w:lang w:val="en-US" w:eastAsia="zh-CN"/>
        </w:rPr>
        <w:t>2</w:t>
      </w:r>
      <w:r>
        <w:rPr>
          <w:rFonts w:hint="eastAsia" w:ascii="宋体"/>
          <w:color w:val="auto"/>
          <w:highlight w:val="none"/>
          <w:lang w:val="en-US" w:eastAsia="zh"/>
        </w:rPr>
        <w:t>供应商根据清单编制报价清单（备注报价品牌信息，但物资编码时不增加品牌信息），</w:t>
      </w:r>
      <w:r>
        <w:rPr>
          <w:rFonts w:hint="eastAsia"/>
          <w:color w:val="auto"/>
          <w:highlight w:val="none"/>
          <w:lang w:val="en-US" w:eastAsia="zh-CN"/>
        </w:rPr>
        <w:t>按格式模板</w:t>
      </w:r>
      <w:r>
        <w:rPr>
          <w:rFonts w:hint="eastAsia" w:ascii="宋体"/>
          <w:color w:val="auto"/>
          <w:highlight w:val="none"/>
          <w:lang w:val="en-US" w:eastAsia="zh"/>
        </w:rPr>
        <w:t>自动生成报价函；</w:t>
      </w:r>
    </w:p>
    <w:p w14:paraId="2AC14D6B">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3</w:t>
      </w:r>
      <w:r>
        <w:rPr>
          <w:rFonts w:hint="eastAsia" w:ascii="宋体"/>
          <w:color w:val="auto"/>
          <w:highlight w:val="none"/>
          <w:lang w:val="en-US" w:eastAsia="zh-CN"/>
        </w:rPr>
        <w:t>供应商</w:t>
      </w:r>
      <w:r>
        <w:rPr>
          <w:rFonts w:hint="eastAsia" w:ascii="宋体"/>
          <w:color w:val="auto"/>
          <w:highlight w:val="none"/>
          <w:lang w:val="en-US" w:eastAsia="zh"/>
        </w:rPr>
        <w:t>上传PDF报价文件；</w:t>
      </w:r>
      <w:r>
        <w:rPr>
          <w:rFonts w:hint="eastAsia"/>
          <w:color w:val="auto"/>
          <w:highlight w:val="none"/>
          <w:lang w:val="en-US" w:eastAsia="zh-CN"/>
        </w:rPr>
        <w:t>响应保证金不设置与银行系统对接功能，仅配置上传附件功能及选项。</w:t>
      </w:r>
    </w:p>
    <w:p w14:paraId="064147DB">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color w:val="auto"/>
          <w:highlight w:val="none"/>
          <w:lang w:val="en-US" w:eastAsia="zh-CN"/>
        </w:rPr>
        <w:t>4</w:t>
      </w:r>
      <w:r>
        <w:rPr>
          <w:rFonts w:hint="eastAsia" w:ascii="宋体"/>
          <w:color w:val="auto"/>
          <w:highlight w:val="none"/>
          <w:lang w:val="en-US" w:eastAsia="zh"/>
        </w:rPr>
        <w:t>根据采购文件要求，逐项上传资料</w:t>
      </w:r>
      <w:r>
        <w:rPr>
          <w:rFonts w:hint="eastAsia"/>
          <w:color w:val="auto"/>
          <w:highlight w:val="none"/>
          <w:lang w:val="en-US" w:eastAsia="zh-CN"/>
        </w:rPr>
        <w:t>，最终形成加密文件</w:t>
      </w:r>
      <w:r>
        <w:rPr>
          <w:rFonts w:hint="eastAsia" w:ascii="宋体"/>
          <w:color w:val="auto"/>
          <w:highlight w:val="none"/>
          <w:lang w:val="en-US" w:eastAsia="zh"/>
        </w:rPr>
        <w:t>；</w:t>
      </w:r>
    </w:p>
    <w:p w14:paraId="6FE7DAA4">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5</w:t>
      </w:r>
      <w:r>
        <w:rPr>
          <w:rFonts w:hint="eastAsia" w:ascii="宋体"/>
          <w:color w:val="auto"/>
          <w:highlight w:val="none"/>
          <w:lang w:val="en-US" w:eastAsia="zh-CN"/>
        </w:rPr>
        <w:t>系统</w:t>
      </w:r>
      <w:r>
        <w:rPr>
          <w:rFonts w:hint="eastAsia"/>
          <w:color w:val="auto"/>
          <w:highlight w:val="none"/>
          <w:lang w:val="en-US" w:eastAsia="zh-CN"/>
        </w:rPr>
        <w:t>根据提交的响应文件的供应商名称，</w:t>
      </w:r>
      <w:r>
        <w:rPr>
          <w:rFonts w:hint="eastAsia" w:ascii="宋体"/>
          <w:color w:val="auto"/>
          <w:highlight w:val="none"/>
          <w:lang w:val="en-US" w:eastAsia="zh"/>
        </w:rPr>
        <w:t>自动生成供应商签到表</w:t>
      </w:r>
      <w:r>
        <w:rPr>
          <w:rFonts w:hint="eastAsia"/>
          <w:color w:val="auto"/>
          <w:highlight w:val="none"/>
          <w:lang w:val="en-US" w:eastAsia="zh-CN"/>
        </w:rPr>
        <w:t>，签到表中包含供应商名称、授权人姓名、电话等信息</w:t>
      </w:r>
      <w:r>
        <w:rPr>
          <w:rFonts w:hint="eastAsia" w:ascii="宋体"/>
          <w:color w:val="auto"/>
          <w:highlight w:val="none"/>
          <w:lang w:val="en-US" w:eastAsia="zh"/>
        </w:rPr>
        <w:t>；</w:t>
      </w:r>
    </w:p>
    <w:p w14:paraId="5E7F3FF9">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6</w:t>
      </w:r>
      <w:r>
        <w:rPr>
          <w:rFonts w:hint="eastAsia" w:ascii="宋体"/>
          <w:color w:val="auto"/>
          <w:highlight w:val="none"/>
          <w:lang w:val="en-US" w:eastAsia="zh"/>
        </w:rPr>
        <w:t>增加开标大厅，允许供应商参与</w:t>
      </w:r>
      <w:r>
        <w:rPr>
          <w:rFonts w:hint="eastAsia"/>
          <w:color w:val="auto"/>
          <w:highlight w:val="none"/>
          <w:lang w:val="en-US" w:eastAsia="zh-CN"/>
        </w:rPr>
        <w:t>线上</w:t>
      </w:r>
      <w:r>
        <w:rPr>
          <w:rFonts w:hint="eastAsia" w:ascii="宋体"/>
          <w:color w:val="auto"/>
          <w:highlight w:val="none"/>
          <w:lang w:val="en-US" w:eastAsia="zh"/>
        </w:rPr>
        <w:t>开标</w:t>
      </w:r>
      <w:r>
        <w:rPr>
          <w:rFonts w:hint="eastAsia" w:ascii="宋体"/>
          <w:color w:val="auto"/>
          <w:highlight w:val="none"/>
          <w:lang w:val="en-US" w:eastAsia="zh-CN"/>
        </w:rPr>
        <w:t>；</w:t>
      </w:r>
      <w:r>
        <w:rPr>
          <w:rFonts w:hint="eastAsia" w:ascii="宋体"/>
          <w:color w:val="auto"/>
          <w:highlight w:val="none"/>
          <w:lang w:val="en-US" w:eastAsia="zh"/>
        </w:rPr>
        <w:t>开标大厅</w:t>
      </w:r>
      <w:r>
        <w:rPr>
          <w:rFonts w:hint="eastAsia"/>
          <w:color w:val="auto"/>
          <w:highlight w:val="none"/>
          <w:lang w:val="en-US" w:eastAsia="zh-CN"/>
        </w:rPr>
        <w:t>显示具体项目名称，开标/开启时间倒计时等；</w:t>
      </w:r>
    </w:p>
    <w:p w14:paraId="2705C52D">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7</w:t>
      </w:r>
      <w:r>
        <w:rPr>
          <w:rFonts w:hint="eastAsia" w:ascii="宋体"/>
          <w:color w:val="auto"/>
          <w:highlight w:val="none"/>
          <w:lang w:val="en-US" w:eastAsia="zh-CN"/>
        </w:rPr>
        <w:t>在</w:t>
      </w:r>
      <w:r>
        <w:rPr>
          <w:rFonts w:hint="eastAsia" w:ascii="宋体"/>
          <w:color w:val="auto"/>
          <w:highlight w:val="none"/>
          <w:lang w:val="en-US" w:eastAsia="zh"/>
        </w:rPr>
        <w:t>规定时间</w:t>
      </w:r>
      <w:r>
        <w:rPr>
          <w:rFonts w:hint="eastAsia" w:ascii="宋体"/>
          <w:color w:val="auto"/>
          <w:highlight w:val="none"/>
          <w:lang w:val="en-US" w:eastAsia="zh-CN"/>
        </w:rPr>
        <w:t>系统</w:t>
      </w:r>
      <w:r>
        <w:rPr>
          <w:rFonts w:hint="eastAsia" w:ascii="宋体"/>
          <w:color w:val="auto"/>
          <w:highlight w:val="none"/>
          <w:lang w:val="en-US" w:eastAsia="zh"/>
        </w:rPr>
        <w:t>自动解密</w:t>
      </w:r>
      <w:r>
        <w:rPr>
          <w:rFonts w:hint="eastAsia" w:ascii="宋体"/>
          <w:color w:val="auto"/>
          <w:highlight w:val="none"/>
          <w:lang w:val="en-US" w:eastAsia="zh-CN"/>
        </w:rPr>
        <w:t>；</w:t>
      </w:r>
    </w:p>
    <w:p w14:paraId="202E0C48">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4.8</w:t>
      </w:r>
      <w:r>
        <w:rPr>
          <w:rFonts w:hint="eastAsia" w:ascii="宋体"/>
          <w:color w:val="auto"/>
          <w:highlight w:val="none"/>
          <w:lang w:val="en-US" w:eastAsia="zh"/>
        </w:rPr>
        <w:t>自动生成标录及排序；</w:t>
      </w:r>
      <w:r>
        <w:rPr>
          <w:rFonts w:hint="eastAsia"/>
          <w:color w:val="auto"/>
          <w:highlight w:val="none"/>
          <w:lang w:val="en-US" w:eastAsia="zh-CN"/>
        </w:rPr>
        <w:t>自动生成响应保证金缴纳明细一览表，包含供应商名称、开户行信息、缴纳金额、缴纳时间等信息，采购人线下核对信息；</w:t>
      </w:r>
    </w:p>
    <w:p w14:paraId="3358E11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4.9</w:t>
      </w:r>
      <w:r>
        <w:rPr>
          <w:rFonts w:hint="eastAsia"/>
          <w:color w:val="auto"/>
          <w:highlight w:val="none"/>
          <w:lang w:val="en-US" w:eastAsia="zh-CN"/>
        </w:rPr>
        <w:t>建立专家库和业主代表库，可以动态调整专家名单；采购项目评审专家是在</w:t>
      </w:r>
      <w:r>
        <w:rPr>
          <w:rFonts w:hint="eastAsia" w:ascii="宋体"/>
          <w:color w:val="auto"/>
          <w:highlight w:val="none"/>
          <w:lang w:val="en-US" w:eastAsia="zh"/>
        </w:rPr>
        <w:t>专家库中自动抽取专家</w:t>
      </w:r>
      <w:r>
        <w:rPr>
          <w:rFonts w:hint="eastAsia"/>
          <w:color w:val="auto"/>
          <w:highlight w:val="none"/>
          <w:lang w:val="en-US" w:eastAsia="zh-CN"/>
        </w:rPr>
        <w:t>，形成专家或者业主代表抽取表</w:t>
      </w:r>
      <w:r>
        <w:rPr>
          <w:rFonts w:hint="eastAsia" w:ascii="宋体"/>
          <w:color w:val="auto"/>
          <w:highlight w:val="none"/>
          <w:lang w:val="en-US" w:eastAsia="zh"/>
        </w:rPr>
        <w:t>；</w:t>
      </w:r>
    </w:p>
    <w:p w14:paraId="68B5CE3E">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4.10</w:t>
      </w:r>
      <w:r>
        <w:rPr>
          <w:rFonts w:hint="eastAsia" w:ascii="宋体"/>
          <w:color w:val="auto"/>
          <w:highlight w:val="none"/>
          <w:lang w:val="en-US" w:eastAsia="zh"/>
        </w:rPr>
        <w:t>根据表格制作各个模板，现场打印，签字后上传</w:t>
      </w:r>
      <w:r>
        <w:rPr>
          <w:rFonts w:hint="eastAsia"/>
          <w:color w:val="auto"/>
          <w:highlight w:val="none"/>
          <w:lang w:val="en-US" w:eastAsia="zh-CN"/>
        </w:rPr>
        <w:t>，如廉洁承诺书、评审报告、谈判记录表、专家意见表等；若是采用综合评分的采购项目，需要设置对应评审专家的打分表和最终统计表；</w:t>
      </w:r>
    </w:p>
    <w:p w14:paraId="3A2EDA85">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4.11</w:t>
      </w:r>
      <w:r>
        <w:rPr>
          <w:rFonts w:hint="eastAsia" w:ascii="宋体"/>
          <w:color w:val="auto"/>
          <w:highlight w:val="none"/>
          <w:lang w:val="en-US" w:eastAsia="zh"/>
        </w:rPr>
        <w:t>根据指定邮箱发送往来质询函等函件</w:t>
      </w:r>
      <w:r>
        <w:rPr>
          <w:rFonts w:hint="eastAsia"/>
          <w:color w:val="auto"/>
          <w:highlight w:val="none"/>
          <w:lang w:val="en-US" w:eastAsia="zh-CN"/>
        </w:rPr>
        <w:t>（可选）</w:t>
      </w:r>
      <w:r>
        <w:rPr>
          <w:rFonts w:hint="eastAsia" w:ascii="宋体"/>
          <w:color w:val="auto"/>
          <w:highlight w:val="none"/>
          <w:lang w:val="en-US" w:eastAsia="zh-CN"/>
        </w:rPr>
        <w:t>；</w:t>
      </w:r>
    </w:p>
    <w:p w14:paraId="5C1B65A0">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4.12</w:t>
      </w:r>
      <w:r>
        <w:rPr>
          <w:rFonts w:hint="eastAsia"/>
          <w:color w:val="auto"/>
          <w:highlight w:val="none"/>
          <w:lang w:val="en-US" w:eastAsia="zh-CN"/>
        </w:rPr>
        <w:t>采购项目采购失败</w:t>
      </w:r>
      <w:r>
        <w:rPr>
          <w:rFonts w:hint="eastAsia" w:ascii="宋体"/>
          <w:color w:val="auto"/>
          <w:highlight w:val="none"/>
          <w:lang w:val="en-US" w:eastAsia="zh"/>
        </w:rPr>
        <w:t>后</w:t>
      </w:r>
      <w:r>
        <w:rPr>
          <w:rFonts w:hint="eastAsia"/>
          <w:color w:val="auto"/>
          <w:highlight w:val="none"/>
          <w:lang w:val="en-US" w:eastAsia="zh-CN"/>
        </w:rPr>
        <w:t>直接终止，自动变成一个新的项目，项目名称变更成“**采购项目（第*次），新编号为原编号-*”，但</w:t>
      </w:r>
      <w:r>
        <w:rPr>
          <w:rFonts w:hint="eastAsia" w:ascii="宋体"/>
          <w:color w:val="auto"/>
          <w:highlight w:val="none"/>
          <w:lang w:val="en-US" w:eastAsia="zh"/>
        </w:rPr>
        <w:t>项目</w:t>
      </w:r>
      <w:r>
        <w:rPr>
          <w:rFonts w:hint="eastAsia"/>
          <w:color w:val="auto"/>
          <w:highlight w:val="none"/>
          <w:lang w:val="en-US" w:eastAsia="zh-CN"/>
        </w:rPr>
        <w:t>数量</w:t>
      </w:r>
      <w:r>
        <w:rPr>
          <w:rFonts w:hint="eastAsia" w:ascii="宋体"/>
          <w:color w:val="auto"/>
          <w:highlight w:val="none"/>
          <w:lang w:val="en-US" w:eastAsia="zh"/>
        </w:rPr>
        <w:t>按一个采购项目统计，不额外新增采购项目数量</w:t>
      </w:r>
      <w:r>
        <w:rPr>
          <w:rFonts w:hint="eastAsia" w:ascii="宋体"/>
          <w:color w:val="auto"/>
          <w:highlight w:val="none"/>
          <w:lang w:val="en-US" w:eastAsia="zh-CN"/>
        </w:rPr>
        <w:t>；</w:t>
      </w:r>
    </w:p>
    <w:p w14:paraId="3354A50D">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4.13具备基本的异常情况</w:t>
      </w:r>
      <w:r>
        <w:rPr>
          <w:rFonts w:hint="eastAsia"/>
          <w:color w:val="auto"/>
          <w:highlight w:val="none"/>
          <w:lang w:val="en-US" w:eastAsia="zh-CN"/>
        </w:rPr>
        <w:t>预警</w:t>
      </w:r>
      <w:r>
        <w:rPr>
          <w:rFonts w:hint="eastAsia" w:ascii="宋体"/>
          <w:color w:val="auto"/>
          <w:highlight w:val="none"/>
          <w:lang w:val="en-US" w:eastAsia="zh-CN"/>
        </w:rPr>
        <w:t>，</w:t>
      </w:r>
      <w:r>
        <w:rPr>
          <w:rFonts w:hint="eastAsia"/>
          <w:color w:val="auto"/>
          <w:highlight w:val="none"/>
          <w:lang w:val="en-US" w:eastAsia="zh-CN"/>
        </w:rPr>
        <w:t>提示</w:t>
      </w:r>
      <w:r>
        <w:rPr>
          <w:rFonts w:hint="eastAsia" w:ascii="宋体"/>
          <w:color w:val="auto"/>
          <w:highlight w:val="none"/>
          <w:lang w:val="en-US" w:eastAsia="zh-CN"/>
        </w:rPr>
        <w:t>疑似围串标</w:t>
      </w:r>
      <w:r>
        <w:rPr>
          <w:rFonts w:hint="eastAsia"/>
          <w:color w:val="auto"/>
          <w:highlight w:val="none"/>
          <w:lang w:val="en-US" w:eastAsia="zh-CN"/>
        </w:rPr>
        <w:t>的情形，如</w:t>
      </w:r>
      <w:r>
        <w:rPr>
          <w:rFonts w:hint="eastAsia" w:ascii="宋体"/>
          <w:color w:val="auto"/>
          <w:highlight w:val="none"/>
          <w:lang w:val="en-US" w:eastAsia="zh-CN"/>
        </w:rPr>
        <w:t>信息雷同、</w:t>
      </w:r>
      <w:r>
        <w:rPr>
          <w:rFonts w:hint="eastAsia"/>
          <w:color w:val="auto"/>
          <w:highlight w:val="none"/>
          <w:lang w:val="en-US" w:eastAsia="zh-CN"/>
        </w:rPr>
        <w:t>上传文件电脑IP地址相同、</w:t>
      </w:r>
      <w:r>
        <w:rPr>
          <w:rFonts w:hint="eastAsia" w:ascii="宋体"/>
          <w:color w:val="auto"/>
          <w:highlight w:val="none"/>
          <w:lang w:val="en-US" w:eastAsia="zh-CN"/>
        </w:rPr>
        <w:t>有规律报价</w:t>
      </w:r>
      <w:r>
        <w:rPr>
          <w:rFonts w:hint="eastAsia"/>
          <w:color w:val="auto"/>
          <w:highlight w:val="none"/>
          <w:lang w:val="en-US" w:eastAsia="zh-CN"/>
        </w:rPr>
        <w:t>、手机号码相同、姓名相同、MAC地址相同</w:t>
      </w:r>
      <w:r>
        <w:rPr>
          <w:rFonts w:hint="eastAsia" w:ascii="宋体"/>
          <w:color w:val="auto"/>
          <w:highlight w:val="none"/>
          <w:lang w:val="en-US" w:eastAsia="zh-CN"/>
        </w:rPr>
        <w:t>等情形；</w:t>
      </w:r>
    </w:p>
    <w:p w14:paraId="375FCE6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4.14对经办人具有提醒功能，如抽取专家、开评标时间等。</w:t>
      </w:r>
    </w:p>
    <w:p w14:paraId="6C1859A8">
      <w:pPr>
        <w:pStyle w:val="6"/>
        <w:numPr>
          <w:ilvl w:val="0"/>
          <w:numId w:val="0"/>
        </w:numPr>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4.15特殊项目的评审规则：</w:t>
      </w:r>
    </w:p>
    <w:p w14:paraId="73D7CDB0">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4.15.1比价项目不设置评审</w:t>
      </w:r>
      <w:r>
        <w:rPr>
          <w:rFonts w:hint="eastAsia"/>
          <w:color w:val="auto"/>
          <w:highlight w:val="none"/>
          <w:lang w:val="en-US" w:eastAsia="zh-CN"/>
        </w:rPr>
        <w:t>环节</w:t>
      </w:r>
      <w:r>
        <w:rPr>
          <w:rFonts w:hint="eastAsia" w:ascii="宋体"/>
          <w:color w:val="auto"/>
          <w:highlight w:val="none"/>
          <w:lang w:val="en-US" w:eastAsia="zh-CN"/>
        </w:rPr>
        <w:t>，直接生成比价结果；</w:t>
      </w:r>
      <w:r>
        <w:rPr>
          <w:rFonts w:hint="eastAsia"/>
          <w:color w:val="auto"/>
          <w:highlight w:val="none"/>
          <w:lang w:val="en-US" w:eastAsia="zh-CN"/>
        </w:rPr>
        <w:t>增加二次竞价页面，若有多家供应商报价一致，允许二次竞价；</w:t>
      </w:r>
    </w:p>
    <w:p w14:paraId="33CAEC82">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4.15.1询价项目，第二次不足三家的，可以直接转成竞争性谈判。</w:t>
      </w:r>
      <w:r>
        <w:rPr>
          <w:rFonts w:hint="eastAsia"/>
          <w:color w:val="auto"/>
          <w:highlight w:val="none"/>
          <w:lang w:val="en-US" w:eastAsia="zh-CN"/>
        </w:rPr>
        <w:t>增加二次竞价页面，若有多家供应商报价一致，允许二次竞价；</w:t>
      </w:r>
    </w:p>
    <w:p w14:paraId="1C4A6BAE">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4.16支持手工录入报价信息</w:t>
      </w:r>
      <w:r>
        <w:rPr>
          <w:rFonts w:hint="eastAsia"/>
          <w:color w:val="auto"/>
          <w:highlight w:val="none"/>
          <w:lang w:val="en-US" w:eastAsia="zh-CN"/>
        </w:rPr>
        <w:t>，如在其他平台实施的项目，可以手工录入信息</w:t>
      </w:r>
      <w:r>
        <w:rPr>
          <w:rFonts w:hint="eastAsia" w:ascii="宋体"/>
          <w:color w:val="auto"/>
          <w:highlight w:val="none"/>
          <w:lang w:val="en-US" w:eastAsia="zh-CN"/>
        </w:rPr>
        <w:t>。</w:t>
      </w:r>
    </w:p>
    <w:p w14:paraId="57F77B2F">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4.17供应商在成交后放弃成交或中标资格，</w:t>
      </w:r>
      <w:r>
        <w:rPr>
          <w:rFonts w:hint="eastAsia"/>
          <w:color w:val="auto"/>
          <w:highlight w:val="none"/>
          <w:lang w:val="en-US" w:eastAsia="zh-CN"/>
        </w:rPr>
        <w:t>按格式生成函件，供应商上传后附件后</w:t>
      </w:r>
      <w:r>
        <w:rPr>
          <w:rFonts w:hint="eastAsia" w:ascii="宋体"/>
          <w:color w:val="auto"/>
          <w:highlight w:val="none"/>
          <w:lang w:val="en-US" w:eastAsia="zh-CN"/>
        </w:rPr>
        <w:t>自动跳转至供应商评价。</w:t>
      </w:r>
    </w:p>
    <w:p w14:paraId="1E8B4F98">
      <w:pPr>
        <w:pStyle w:val="6"/>
        <w:numPr>
          <w:ilvl w:val="0"/>
          <w:numId w:val="0"/>
        </w:numPr>
        <w:ind w:firstLine="480" w:firstLineChars="200"/>
        <w:rPr>
          <w:rFonts w:hint="default" w:ascii="宋体" w:hAnsi="Arial" w:cs="Arial" w:eastAsiaTheme="minorEastAsia"/>
          <w:b w:val="0"/>
          <w:bCs w:val="0"/>
          <w:snapToGrid w:val="0"/>
          <w:color w:val="auto"/>
          <w:kern w:val="2"/>
          <w:sz w:val="24"/>
          <w:szCs w:val="21"/>
          <w:highlight w:val="none"/>
          <w:lang w:val="en-US" w:eastAsia="zh-CN" w:bidi="ar-SA"/>
        </w:rPr>
      </w:pPr>
      <w:r>
        <w:rPr>
          <w:rFonts w:hint="eastAsia" w:cs="Arial"/>
          <w:b w:val="0"/>
          <w:bCs w:val="0"/>
          <w:snapToGrid w:val="0"/>
          <w:color w:val="auto"/>
          <w:kern w:val="2"/>
          <w:sz w:val="24"/>
          <w:szCs w:val="21"/>
          <w:highlight w:val="none"/>
          <w:lang w:val="en-US" w:eastAsia="zh-CN" w:bidi="ar-SA"/>
        </w:rPr>
        <w:t>4.18采购项目资料归档功能，允许上传附件，补充其他环节资料，招采环节结束后选择对应下个环节工作人员，自动流转至合同签订环节。</w:t>
      </w:r>
    </w:p>
    <w:p w14:paraId="534BAD4C">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5.</w:t>
      </w:r>
      <w:r>
        <w:rPr>
          <w:rFonts w:hint="eastAsia"/>
          <w:b/>
          <w:bCs/>
          <w:color w:val="auto"/>
          <w:highlight w:val="none"/>
          <w:lang w:val="en-US" w:eastAsia="zh-CN"/>
        </w:rPr>
        <w:t>合同管理</w:t>
      </w:r>
    </w:p>
    <w:p w14:paraId="082E80B8">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5.1</w:t>
      </w:r>
      <w:r>
        <w:rPr>
          <w:rFonts w:hint="eastAsia" w:ascii="宋体"/>
          <w:color w:val="auto"/>
          <w:highlight w:val="none"/>
          <w:lang w:val="en-US" w:eastAsia="zh"/>
        </w:rPr>
        <w:t>根据成交供应商信息生成合同基本信息，根据报价明细生成合同明细表；根据申报需求部门清单，</w:t>
      </w:r>
      <w:r>
        <w:rPr>
          <w:rFonts w:hint="eastAsia" w:ascii="宋体"/>
          <w:b/>
          <w:bCs/>
          <w:color w:val="auto"/>
          <w:highlight w:val="none"/>
          <w:lang w:val="en-US" w:eastAsia="zh-CN"/>
        </w:rPr>
        <w:t>初步形成</w:t>
      </w:r>
      <w:r>
        <w:rPr>
          <w:rFonts w:hint="eastAsia" w:ascii="宋体"/>
          <w:b/>
          <w:bCs/>
          <w:color w:val="auto"/>
          <w:highlight w:val="none"/>
          <w:lang w:val="en-US" w:eastAsia="zh"/>
        </w:rPr>
        <w:t>两个财务组织合同金额</w:t>
      </w:r>
      <w:r>
        <w:rPr>
          <w:rFonts w:hint="eastAsia" w:ascii="宋体"/>
          <w:color w:val="auto"/>
          <w:highlight w:val="none"/>
          <w:lang w:val="en-US" w:eastAsia="zh-CN"/>
        </w:rPr>
        <w:t>；</w:t>
      </w:r>
    </w:p>
    <w:p w14:paraId="3E95EAB4">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5.2手动</w:t>
      </w:r>
      <w:r>
        <w:rPr>
          <w:rFonts w:hint="eastAsia" w:ascii="宋体"/>
          <w:color w:val="auto"/>
          <w:highlight w:val="none"/>
          <w:lang w:val="en-US" w:eastAsia="zh"/>
        </w:rPr>
        <w:t>录入合同编号及有效期；允许没有采购过程的项目，可以生成采购合同</w:t>
      </w:r>
      <w:r>
        <w:rPr>
          <w:rFonts w:hint="eastAsia" w:ascii="宋体"/>
          <w:color w:val="auto"/>
          <w:highlight w:val="none"/>
          <w:lang w:val="en-US" w:eastAsia="zh-CN"/>
        </w:rPr>
        <w:t>；</w:t>
      </w:r>
    </w:p>
    <w:p w14:paraId="52850F3F">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5.3</w:t>
      </w:r>
      <w:r>
        <w:rPr>
          <w:rFonts w:hint="eastAsia" w:ascii="宋体"/>
          <w:color w:val="auto"/>
          <w:highlight w:val="none"/>
          <w:lang w:val="en-US" w:eastAsia="zh"/>
        </w:rPr>
        <w:t>合同异常登记及处理登记</w:t>
      </w:r>
      <w:r>
        <w:rPr>
          <w:rFonts w:hint="eastAsia"/>
          <w:color w:val="auto"/>
          <w:highlight w:val="none"/>
          <w:lang w:val="en-US" w:eastAsia="zh-CN"/>
        </w:rPr>
        <w:t>，主要</w:t>
      </w:r>
      <w:r>
        <w:rPr>
          <w:rFonts w:hint="eastAsia" w:ascii="宋体"/>
          <w:color w:val="auto"/>
          <w:highlight w:val="none"/>
          <w:lang w:val="en-US" w:eastAsia="zh"/>
        </w:rPr>
        <w:t>记录各个合同增加履行异常情况及处理情况</w:t>
      </w:r>
      <w:r>
        <w:rPr>
          <w:rFonts w:hint="eastAsia" w:ascii="宋体"/>
          <w:color w:val="auto"/>
          <w:highlight w:val="none"/>
          <w:lang w:val="en-US" w:eastAsia="zh-CN"/>
        </w:rPr>
        <w:t>；</w:t>
      </w:r>
    </w:p>
    <w:p w14:paraId="49853689">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4</w:t>
      </w:r>
      <w:r>
        <w:rPr>
          <w:rFonts w:hint="eastAsia" w:ascii="宋体"/>
          <w:color w:val="auto"/>
          <w:highlight w:val="none"/>
          <w:lang w:val="en-US" w:eastAsia="zh-CN"/>
        </w:rPr>
        <w:t>根据固定模板格式，生成</w:t>
      </w:r>
      <w:r>
        <w:rPr>
          <w:rFonts w:hint="eastAsia" w:ascii="宋体"/>
          <w:color w:val="auto"/>
          <w:highlight w:val="none"/>
          <w:lang w:val="en-US" w:eastAsia="zh"/>
        </w:rPr>
        <w:t>合同验收方案</w:t>
      </w:r>
      <w:r>
        <w:rPr>
          <w:rFonts w:hint="eastAsia" w:ascii="宋体"/>
          <w:color w:val="auto"/>
          <w:highlight w:val="none"/>
          <w:lang w:val="en-US" w:eastAsia="zh-CN"/>
        </w:rPr>
        <w:t>，经部门负责人审批。可以导出PDF本地保存；</w:t>
      </w:r>
    </w:p>
    <w:p w14:paraId="7D6D94C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5</w:t>
      </w:r>
      <w:r>
        <w:rPr>
          <w:rFonts w:hint="eastAsia" w:ascii="宋体"/>
          <w:color w:val="auto"/>
          <w:highlight w:val="none"/>
          <w:lang w:val="en-US" w:eastAsia="zh-CN"/>
        </w:rPr>
        <w:t>暂不配置合同审批流程</w:t>
      </w:r>
      <w:r>
        <w:rPr>
          <w:rFonts w:hint="eastAsia"/>
          <w:color w:val="auto"/>
          <w:highlight w:val="none"/>
          <w:lang w:val="en-US" w:eastAsia="zh-CN"/>
        </w:rPr>
        <w:t>，</w:t>
      </w:r>
      <w:r>
        <w:rPr>
          <w:rFonts w:hint="eastAsia" w:cs="Arial"/>
          <w:b/>
          <w:bCs/>
          <w:snapToGrid w:val="0"/>
          <w:color w:val="auto"/>
          <w:kern w:val="2"/>
          <w:sz w:val="24"/>
          <w:szCs w:val="21"/>
          <w:highlight w:val="none"/>
          <w:lang w:val="en-US" w:eastAsia="zh-CN" w:bidi="ar-SA"/>
        </w:rPr>
        <w:t>但需按格式配置表格，在表格中手工录入相关信息，保证整个数据流完整，同时允许上传附件</w:t>
      </w:r>
      <w:r>
        <w:rPr>
          <w:rFonts w:hint="eastAsia" w:ascii="宋体"/>
          <w:color w:val="auto"/>
          <w:highlight w:val="none"/>
          <w:lang w:val="en-US" w:eastAsia="zh-CN"/>
        </w:rPr>
        <w:t>；</w:t>
      </w:r>
    </w:p>
    <w:p w14:paraId="220BE01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6</w:t>
      </w:r>
      <w:r>
        <w:rPr>
          <w:rFonts w:hint="eastAsia" w:ascii="宋体"/>
          <w:color w:val="auto"/>
          <w:highlight w:val="none"/>
          <w:lang w:val="en-US" w:eastAsia="zh-CN"/>
        </w:rPr>
        <w:t>合同扫描件</w:t>
      </w:r>
      <w:r>
        <w:rPr>
          <w:rFonts w:hint="eastAsia"/>
          <w:color w:val="auto"/>
          <w:highlight w:val="none"/>
          <w:lang w:val="en-US" w:eastAsia="zh-CN"/>
        </w:rPr>
        <w:t>及合同审批文件、履约保证金单据</w:t>
      </w:r>
      <w:r>
        <w:rPr>
          <w:rFonts w:hint="eastAsia" w:ascii="宋体"/>
          <w:color w:val="auto"/>
          <w:highlight w:val="none"/>
          <w:lang w:val="en-US" w:eastAsia="zh-CN"/>
        </w:rPr>
        <w:t>上传</w:t>
      </w:r>
      <w:r>
        <w:rPr>
          <w:rFonts w:hint="eastAsia"/>
          <w:color w:val="auto"/>
          <w:highlight w:val="none"/>
          <w:lang w:val="en-US" w:eastAsia="zh-CN"/>
        </w:rPr>
        <w:t>功能</w:t>
      </w:r>
      <w:r>
        <w:rPr>
          <w:rFonts w:hint="eastAsia" w:ascii="宋体"/>
          <w:color w:val="auto"/>
          <w:highlight w:val="none"/>
          <w:lang w:val="en-US" w:eastAsia="zh-CN"/>
        </w:rPr>
        <w:t>，并</w:t>
      </w:r>
      <w:r>
        <w:rPr>
          <w:rFonts w:hint="eastAsia"/>
          <w:color w:val="auto"/>
          <w:highlight w:val="none"/>
          <w:lang w:val="en-US" w:eastAsia="zh-CN"/>
        </w:rPr>
        <w:t>分配</w:t>
      </w:r>
      <w:r>
        <w:rPr>
          <w:rFonts w:hint="eastAsia" w:ascii="宋体"/>
          <w:color w:val="auto"/>
          <w:highlight w:val="none"/>
          <w:lang w:val="en-US" w:eastAsia="zh-CN"/>
        </w:rPr>
        <w:t>流转至相关履行部门</w:t>
      </w:r>
      <w:r>
        <w:rPr>
          <w:rFonts w:hint="eastAsia"/>
          <w:color w:val="auto"/>
          <w:highlight w:val="none"/>
          <w:lang w:val="en-US" w:eastAsia="zh-CN"/>
        </w:rPr>
        <w:t>，由履行部门再分配至具体负责人员</w:t>
      </w:r>
      <w:r>
        <w:rPr>
          <w:rFonts w:hint="eastAsia" w:ascii="宋体"/>
          <w:color w:val="auto"/>
          <w:highlight w:val="none"/>
          <w:lang w:val="en-US" w:eastAsia="zh-CN"/>
        </w:rPr>
        <w:t>。</w:t>
      </w:r>
    </w:p>
    <w:p w14:paraId="7F806A7D">
      <w:pPr>
        <w:pStyle w:val="6"/>
        <w:numPr>
          <w:ilvl w:val="0"/>
          <w:numId w:val="0"/>
        </w:numPr>
        <w:ind w:firstLine="480" w:firstLineChars="200"/>
        <w:rPr>
          <w:rFonts w:hint="default"/>
          <w:b/>
          <w:bCs/>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7供应商在合同正常履约结束或者供应商中途放弃合同的，自动跳转至供应商评价。</w:t>
      </w:r>
    </w:p>
    <w:p w14:paraId="19E32F0C">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lang w:val="en-US" w:eastAsia="zh-CN" w:bidi="ar-SA"/>
        </w:rPr>
        <w:t>6.</w:t>
      </w:r>
      <w:r>
        <w:rPr>
          <w:rFonts w:hint="eastAsia"/>
          <w:b/>
          <w:bCs/>
          <w:color w:val="auto"/>
          <w:highlight w:val="none"/>
          <w:lang w:val="en-US" w:eastAsia="zh-CN"/>
        </w:rPr>
        <w:t>采购订单管理</w:t>
      </w:r>
    </w:p>
    <w:p w14:paraId="36C0E49F">
      <w:pPr>
        <w:pStyle w:val="6"/>
        <w:numPr>
          <w:ilvl w:val="0"/>
          <w:numId w:val="0"/>
        </w:numPr>
        <w:ind w:firstLine="482" w:firstLineChars="200"/>
        <w:rPr>
          <w:rFonts w:hint="eastAsia" w:ascii="宋体"/>
          <w:b/>
          <w:bCs/>
          <w:color w:val="auto"/>
          <w:highlight w:val="none"/>
          <w:u w:val="single"/>
          <w:lang w:val="en-US" w:eastAsia="zh-CN"/>
        </w:rPr>
      </w:pPr>
      <w:r>
        <w:rPr>
          <w:rFonts w:hint="eastAsia" w:ascii="宋体"/>
          <w:b/>
          <w:bCs/>
          <w:color w:val="auto"/>
          <w:highlight w:val="none"/>
          <w:lang w:val="en-US" w:eastAsia="zh-CN"/>
        </w:rPr>
        <w:t>6.1</w:t>
      </w:r>
      <w:r>
        <w:rPr>
          <w:rFonts w:hint="eastAsia" w:ascii="宋体"/>
          <w:color w:val="auto"/>
          <w:highlight w:val="none"/>
          <w:lang w:val="en-US" w:eastAsia="zh"/>
        </w:rPr>
        <w:t>需求部门根据实际需求制作对应财务组织的</w:t>
      </w:r>
      <w:r>
        <w:rPr>
          <w:rFonts w:hint="eastAsia"/>
          <w:color w:val="auto"/>
          <w:highlight w:val="none"/>
          <w:lang w:val="en-US" w:eastAsia="zh-CN"/>
        </w:rPr>
        <w:t>货物</w:t>
      </w:r>
      <w:r>
        <w:rPr>
          <w:rFonts w:hint="eastAsia" w:ascii="宋体"/>
          <w:color w:val="auto"/>
          <w:highlight w:val="none"/>
          <w:lang w:val="en-US" w:eastAsia="zh"/>
        </w:rPr>
        <w:t>采购订单</w:t>
      </w:r>
      <w:r>
        <w:rPr>
          <w:rFonts w:hint="eastAsia"/>
          <w:color w:val="auto"/>
          <w:highlight w:val="none"/>
          <w:lang w:val="en-US" w:eastAsia="zh-CN"/>
        </w:rPr>
        <w:t>或</w:t>
      </w:r>
      <w:r>
        <w:rPr>
          <w:rFonts w:hint="eastAsia"/>
          <w:b w:val="0"/>
          <w:bCs w:val="0"/>
          <w:color w:val="auto"/>
          <w:highlight w:val="none"/>
          <w:lang w:val="en-US" w:eastAsia="zh-CN"/>
        </w:rPr>
        <w:t>服务工单</w:t>
      </w:r>
      <w:r>
        <w:rPr>
          <w:rFonts w:hint="eastAsia" w:ascii="宋体"/>
          <w:color w:val="auto"/>
          <w:highlight w:val="none"/>
          <w:lang w:val="en-US" w:eastAsia="zh"/>
        </w:rPr>
        <w:t>，</w:t>
      </w:r>
      <w:r>
        <w:rPr>
          <w:rFonts w:hint="eastAsia"/>
          <w:color w:val="auto"/>
          <w:highlight w:val="none"/>
          <w:lang w:val="en-US" w:eastAsia="zh-CN"/>
        </w:rPr>
        <w:t>货物</w:t>
      </w:r>
      <w:r>
        <w:rPr>
          <w:rFonts w:hint="eastAsia" w:ascii="宋体"/>
          <w:color w:val="auto"/>
          <w:highlight w:val="none"/>
          <w:lang w:val="en-US" w:eastAsia="zh"/>
        </w:rPr>
        <w:t>采购订单需自动匹配现有库存情况</w:t>
      </w:r>
      <w:r>
        <w:rPr>
          <w:rFonts w:hint="eastAsia"/>
          <w:color w:val="auto"/>
          <w:highlight w:val="none"/>
          <w:lang w:val="en-US" w:eastAsia="zh-CN"/>
        </w:rPr>
        <w:t>，</w:t>
      </w:r>
      <w:r>
        <w:rPr>
          <w:rFonts w:hint="eastAsia"/>
          <w:b w:val="0"/>
          <w:bCs w:val="0"/>
          <w:color w:val="auto"/>
          <w:highlight w:val="none"/>
          <w:u w:val="none"/>
          <w:lang w:val="en-US" w:eastAsia="zh-CN"/>
        </w:rPr>
        <w:t>服务工单无仓库环节，直接转入验收环节，</w:t>
      </w:r>
      <w:r>
        <w:rPr>
          <w:rFonts w:hint="eastAsia" w:ascii="宋体"/>
          <w:color w:val="auto"/>
          <w:highlight w:val="none"/>
          <w:u w:val="none"/>
          <w:lang w:val="en-US" w:eastAsia="zh"/>
        </w:rPr>
        <w:t>设有</w:t>
      </w:r>
      <w:r>
        <w:rPr>
          <w:rFonts w:hint="eastAsia"/>
          <w:color w:val="auto"/>
          <w:highlight w:val="none"/>
          <w:u w:val="none"/>
          <w:lang w:val="en-US" w:eastAsia="zh-CN"/>
        </w:rPr>
        <w:t>供应商</w:t>
      </w:r>
      <w:r>
        <w:rPr>
          <w:rFonts w:hint="eastAsia" w:ascii="宋体"/>
          <w:color w:val="auto"/>
          <w:highlight w:val="none"/>
          <w:u w:val="none"/>
          <w:lang w:val="en-US" w:eastAsia="zh"/>
        </w:rPr>
        <w:t>提醒功能，设立部门内部审批流程</w:t>
      </w:r>
      <w:r>
        <w:rPr>
          <w:rFonts w:hint="eastAsia"/>
          <w:b w:val="0"/>
          <w:bCs w:val="0"/>
          <w:color w:val="auto"/>
          <w:highlight w:val="none"/>
          <w:u w:val="single"/>
          <w:lang w:val="en-US" w:eastAsia="zh-CN"/>
        </w:rPr>
        <w:t>。</w:t>
      </w:r>
      <w:r>
        <w:rPr>
          <w:rFonts w:hint="eastAsia"/>
          <w:b/>
          <w:bCs/>
          <w:color w:val="auto"/>
          <w:highlight w:val="none"/>
          <w:u w:val="single"/>
          <w:lang w:val="en-US" w:eastAsia="zh-CN"/>
        </w:rPr>
        <w:t>从采购订单或服务工单环节开始，区分</w:t>
      </w:r>
      <w:r>
        <w:rPr>
          <w:rFonts w:hint="eastAsia" w:ascii="宋体"/>
          <w:b/>
          <w:bCs/>
          <w:color w:val="auto"/>
          <w:highlight w:val="none"/>
          <w:u w:val="single"/>
          <w:lang w:val="en-US" w:eastAsia="zh-CN"/>
        </w:rPr>
        <w:t>两个财务组织之间独立核算</w:t>
      </w:r>
      <w:r>
        <w:rPr>
          <w:rFonts w:hint="eastAsia"/>
          <w:b/>
          <w:bCs/>
          <w:color w:val="auto"/>
          <w:highlight w:val="none"/>
          <w:u w:val="single"/>
          <w:lang w:val="en-US" w:eastAsia="zh-CN"/>
        </w:rPr>
        <w:t>；</w:t>
      </w:r>
    </w:p>
    <w:p w14:paraId="4B371941">
      <w:pPr>
        <w:pStyle w:val="6"/>
        <w:numPr>
          <w:ilvl w:val="0"/>
          <w:numId w:val="0"/>
        </w:numPr>
        <w:ind w:firstLine="480" w:firstLineChars="200"/>
        <w:rPr>
          <w:rFonts w:hint="eastAsia" w:ascii="宋体" w:eastAsiaTheme="minorEastAsia"/>
          <w:b/>
          <w:bCs/>
          <w:strike/>
          <w:dstrike w:val="0"/>
          <w:color w:val="auto"/>
          <w:highlight w:val="none"/>
          <w:lang w:val="en-US" w:eastAsia="zh-CN"/>
        </w:rPr>
      </w:pPr>
      <w:r>
        <w:rPr>
          <w:rFonts w:hint="eastAsia" w:ascii="宋体"/>
          <w:color w:val="auto"/>
          <w:highlight w:val="none"/>
          <w:lang w:val="en-US" w:eastAsia="zh-CN"/>
        </w:rPr>
        <w:t>6.2</w:t>
      </w:r>
      <w:r>
        <w:rPr>
          <w:rFonts w:hint="eastAsia" w:ascii="宋体"/>
          <w:color w:val="auto"/>
          <w:highlight w:val="none"/>
          <w:lang w:val="en-US" w:eastAsia="zh"/>
        </w:rPr>
        <w:t>合同对应订单累计金额不得超过合同金额，超出</w:t>
      </w:r>
      <w:r>
        <w:rPr>
          <w:rFonts w:hint="eastAsia"/>
          <w:color w:val="auto"/>
          <w:highlight w:val="none"/>
          <w:lang w:val="en-US" w:eastAsia="zh-CN"/>
        </w:rPr>
        <w:t>合同</w:t>
      </w:r>
      <w:r>
        <w:rPr>
          <w:rFonts w:hint="eastAsia" w:ascii="宋体"/>
          <w:color w:val="auto"/>
          <w:highlight w:val="none"/>
          <w:lang w:val="en-US" w:eastAsia="zh"/>
        </w:rPr>
        <w:t>金额无法下单</w:t>
      </w:r>
      <w:r>
        <w:rPr>
          <w:rFonts w:hint="eastAsia"/>
          <w:color w:val="auto"/>
          <w:highlight w:val="none"/>
          <w:lang w:val="en-US" w:eastAsia="zh-CN"/>
        </w:rPr>
        <w:t>；</w:t>
      </w:r>
    </w:p>
    <w:p w14:paraId="68FD1FC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6.3</w:t>
      </w:r>
      <w:r>
        <w:rPr>
          <w:rFonts w:hint="eastAsia" w:ascii="宋体"/>
          <w:color w:val="auto"/>
          <w:highlight w:val="none"/>
          <w:lang w:val="en-US" w:eastAsia="zh"/>
        </w:rPr>
        <w:t>允许采购订单变更（调整订单清单）；</w:t>
      </w:r>
    </w:p>
    <w:p w14:paraId="601751B2">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6.4</w:t>
      </w:r>
      <w:r>
        <w:rPr>
          <w:rFonts w:hint="eastAsia" w:ascii="宋体"/>
          <w:color w:val="auto"/>
          <w:highlight w:val="none"/>
          <w:lang w:val="en-US" w:eastAsia="zh"/>
        </w:rPr>
        <w:t>合同履行部门生成采购订单</w:t>
      </w:r>
      <w:r>
        <w:rPr>
          <w:rFonts w:hint="eastAsia"/>
          <w:color w:val="auto"/>
          <w:highlight w:val="none"/>
          <w:lang w:val="en-US" w:eastAsia="zh-CN"/>
        </w:rPr>
        <w:t>（区分货物和服务类）</w:t>
      </w:r>
      <w:r>
        <w:rPr>
          <w:rFonts w:hint="eastAsia" w:ascii="宋体"/>
          <w:color w:val="auto"/>
          <w:highlight w:val="none"/>
          <w:lang w:val="en-US" w:eastAsia="zh"/>
        </w:rPr>
        <w:t>，审批后通过系统发送至供应商指定邮箱</w:t>
      </w:r>
      <w:r>
        <w:rPr>
          <w:rFonts w:hint="eastAsia"/>
          <w:color w:val="auto"/>
          <w:highlight w:val="none"/>
          <w:lang w:val="en-US" w:eastAsia="zh-CN"/>
        </w:rPr>
        <w:t>（可选）</w:t>
      </w:r>
      <w:r>
        <w:rPr>
          <w:rFonts w:hint="eastAsia" w:ascii="宋体"/>
          <w:color w:val="auto"/>
          <w:highlight w:val="none"/>
          <w:lang w:val="en-US" w:eastAsia="zh"/>
        </w:rPr>
        <w:t>，设立提醒日期，若超过日期后自动发送提醒函；同步抄送仓库采购订单信息（含变更信息）</w:t>
      </w:r>
      <w:r>
        <w:rPr>
          <w:rFonts w:hint="eastAsia" w:ascii="宋体"/>
          <w:color w:val="auto"/>
          <w:highlight w:val="none"/>
          <w:lang w:val="en-US" w:eastAsia="zh-CN"/>
        </w:rPr>
        <w:t>；</w:t>
      </w:r>
    </w:p>
    <w:p w14:paraId="7826FEF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6.5</w:t>
      </w:r>
      <w:r>
        <w:rPr>
          <w:rFonts w:hint="eastAsia" w:ascii="宋体"/>
          <w:color w:val="auto"/>
          <w:highlight w:val="none"/>
          <w:lang w:val="en-US" w:eastAsia="zh"/>
        </w:rPr>
        <w:t>根据采购订单金额自动生成合同执行率；</w:t>
      </w:r>
    </w:p>
    <w:p w14:paraId="465A0A82">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6.6</w:t>
      </w:r>
      <w:r>
        <w:rPr>
          <w:rFonts w:hint="eastAsia" w:ascii="宋体"/>
          <w:color w:val="auto"/>
          <w:highlight w:val="none"/>
          <w:lang w:val="en-US" w:eastAsia="zh"/>
        </w:rPr>
        <w:t>根据</w:t>
      </w:r>
      <w:r>
        <w:rPr>
          <w:rFonts w:hint="eastAsia"/>
          <w:color w:val="auto"/>
          <w:highlight w:val="none"/>
          <w:lang w:val="en-US" w:eastAsia="zh-CN"/>
        </w:rPr>
        <w:t>货物</w:t>
      </w:r>
      <w:r>
        <w:rPr>
          <w:rFonts w:hint="eastAsia" w:ascii="宋体"/>
          <w:color w:val="auto"/>
          <w:highlight w:val="none"/>
          <w:lang w:val="en-US" w:eastAsia="zh"/>
        </w:rPr>
        <w:t>采购订单，生成到货信息，到货信息中</w:t>
      </w:r>
      <w:r>
        <w:rPr>
          <w:rFonts w:hint="eastAsia" w:ascii="宋体"/>
          <w:color w:val="auto"/>
          <w:highlight w:val="none"/>
          <w:lang w:val="en-US" w:eastAsia="zh-CN"/>
        </w:rPr>
        <w:t>包含</w:t>
      </w:r>
      <w:r>
        <w:rPr>
          <w:rFonts w:hint="eastAsia" w:ascii="宋体"/>
          <w:color w:val="auto"/>
          <w:highlight w:val="none"/>
          <w:lang w:val="en-US" w:eastAsia="zh"/>
        </w:rPr>
        <w:t>物资编码、到货验收码；到货验收码须包含有供应商信息、订单数量、规格型号、物资名称、计量单位等具体信息</w:t>
      </w:r>
      <w:r>
        <w:rPr>
          <w:rFonts w:hint="eastAsia"/>
          <w:color w:val="auto"/>
          <w:highlight w:val="none"/>
          <w:lang w:val="en-US" w:eastAsia="zh-CN"/>
        </w:rPr>
        <w:t>；</w:t>
      </w:r>
    </w:p>
    <w:p w14:paraId="1555CB8B">
      <w:pPr>
        <w:pStyle w:val="6"/>
        <w:numPr>
          <w:ilvl w:val="0"/>
          <w:numId w:val="0"/>
        </w:numPr>
        <w:ind w:firstLine="480" w:firstLineChars="200"/>
        <w:rPr>
          <w:rFonts w:hint="default" w:ascii="宋体"/>
          <w:b w:val="0"/>
          <w:bCs w:val="0"/>
          <w:color w:val="auto"/>
          <w:highlight w:val="none"/>
          <w:lang w:val="en-US" w:eastAsia="zh-CN"/>
        </w:rPr>
      </w:pPr>
      <w:r>
        <w:rPr>
          <w:rFonts w:hint="eastAsia" w:ascii="宋体"/>
          <w:b w:val="0"/>
          <w:bCs w:val="0"/>
          <w:color w:val="auto"/>
          <w:highlight w:val="none"/>
          <w:lang w:val="en-US" w:eastAsia="zh-CN"/>
        </w:rPr>
        <w:t>6.7根据实际到货情况，自动</w:t>
      </w:r>
      <w:r>
        <w:rPr>
          <w:rFonts w:hint="eastAsia"/>
          <w:b w:val="0"/>
          <w:bCs w:val="0"/>
          <w:color w:val="auto"/>
          <w:highlight w:val="none"/>
          <w:lang w:val="en-US" w:eastAsia="zh-CN"/>
        </w:rPr>
        <w:t>更新订单状态，如执行中、验收中、异常终止、执行完毕。</w:t>
      </w:r>
    </w:p>
    <w:p w14:paraId="424496FD">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7.</w:t>
      </w:r>
      <w:r>
        <w:rPr>
          <w:rFonts w:hint="eastAsia"/>
          <w:b/>
          <w:bCs/>
          <w:color w:val="auto"/>
          <w:highlight w:val="none"/>
          <w:lang w:val="en-US" w:eastAsia="zh-CN"/>
        </w:rPr>
        <w:t>到货管理</w:t>
      </w:r>
    </w:p>
    <w:p w14:paraId="6743C3FB">
      <w:pPr>
        <w:pStyle w:val="6"/>
        <w:numPr>
          <w:ilvl w:val="0"/>
          <w:numId w:val="0"/>
        </w:numPr>
        <w:ind w:firstLine="480" w:firstLineChars="200"/>
        <w:rPr>
          <w:rFonts w:hint="eastAsia" w:eastAsiaTheme="minorEastAsia"/>
          <w:b/>
          <w:bCs/>
          <w:color w:val="auto"/>
          <w:highlight w:val="none"/>
          <w:lang w:val="en-US" w:eastAsia="zh-CN"/>
        </w:rPr>
      </w:pPr>
      <w:r>
        <w:rPr>
          <w:rFonts w:hint="eastAsia" w:ascii="宋体"/>
          <w:color w:val="auto"/>
          <w:highlight w:val="none"/>
          <w:lang w:val="en-US" w:eastAsia="zh-CN"/>
        </w:rPr>
        <w:t>7.1</w:t>
      </w:r>
      <w:r>
        <w:rPr>
          <w:rFonts w:hint="eastAsia" w:ascii="宋体"/>
          <w:color w:val="auto"/>
          <w:highlight w:val="none"/>
          <w:lang w:val="en-US" w:eastAsia="zh"/>
        </w:rPr>
        <w:t>到货后，</w:t>
      </w:r>
      <w:r>
        <w:rPr>
          <w:rFonts w:hint="eastAsia" w:ascii="宋体"/>
          <w:color w:val="auto"/>
          <w:highlight w:val="none"/>
          <w:lang w:val="en-US" w:eastAsia="zh-CN"/>
        </w:rPr>
        <w:t>打印</w:t>
      </w:r>
      <w:r>
        <w:rPr>
          <w:rFonts w:hint="eastAsia" w:ascii="宋体"/>
          <w:color w:val="auto"/>
          <w:highlight w:val="none"/>
          <w:lang w:val="en-US" w:eastAsia="zh"/>
        </w:rPr>
        <w:t>到货验收码</w:t>
      </w:r>
      <w:r>
        <w:rPr>
          <w:rFonts w:hint="eastAsia" w:ascii="宋体"/>
          <w:color w:val="auto"/>
          <w:highlight w:val="none"/>
          <w:lang w:val="en-US" w:eastAsia="zh-CN"/>
        </w:rPr>
        <w:t>，</w:t>
      </w:r>
      <w:r>
        <w:rPr>
          <w:rFonts w:hint="eastAsia" w:ascii="宋体"/>
          <w:color w:val="auto"/>
          <w:highlight w:val="none"/>
          <w:lang w:val="en-US" w:eastAsia="zh"/>
        </w:rPr>
        <w:t>仓库根据订单情况标记订单到货情况，实时记录到货情况</w:t>
      </w:r>
      <w:r>
        <w:rPr>
          <w:rFonts w:hint="eastAsia" w:ascii="宋体"/>
          <w:color w:val="auto"/>
          <w:highlight w:val="none"/>
          <w:lang w:val="en-US" w:eastAsia="zh-CN"/>
        </w:rPr>
        <w:t>。</w:t>
      </w:r>
    </w:p>
    <w:p w14:paraId="2F4609FA">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8.</w:t>
      </w:r>
      <w:r>
        <w:rPr>
          <w:rFonts w:hint="eastAsia"/>
          <w:b/>
          <w:bCs/>
          <w:color w:val="auto"/>
          <w:highlight w:val="none"/>
          <w:lang w:val="en-US" w:eastAsia="zh-CN"/>
        </w:rPr>
        <w:t>验收管理</w:t>
      </w:r>
    </w:p>
    <w:p w14:paraId="3A32CD17">
      <w:pPr>
        <w:pStyle w:val="6"/>
        <w:numPr>
          <w:ilvl w:val="0"/>
          <w:numId w:val="0"/>
        </w:numPr>
        <w:ind w:firstLine="482" w:firstLineChars="200"/>
        <w:rPr>
          <w:rFonts w:hint="default" w:ascii="宋体"/>
          <w:b/>
          <w:bCs/>
          <w:color w:val="auto"/>
          <w:highlight w:val="none"/>
          <w:lang w:val="en-US" w:eastAsia="zh-CN"/>
        </w:rPr>
      </w:pPr>
      <w:r>
        <w:rPr>
          <w:rFonts w:hint="eastAsia"/>
          <w:b/>
          <w:bCs/>
          <w:color w:val="auto"/>
          <w:highlight w:val="none"/>
          <w:lang w:val="en-US" w:eastAsia="zh-CN"/>
        </w:rPr>
        <w:t>8.1货物类验收</w:t>
      </w:r>
    </w:p>
    <w:p w14:paraId="652780CE">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1</w:t>
      </w:r>
      <w:r>
        <w:rPr>
          <w:rFonts w:hint="eastAsia" w:ascii="宋体"/>
          <w:color w:val="auto"/>
          <w:highlight w:val="none"/>
          <w:lang w:val="en-US" w:eastAsia="zh"/>
        </w:rPr>
        <w:t>根据到货验收情况，</w:t>
      </w:r>
      <w:r>
        <w:rPr>
          <w:rFonts w:hint="eastAsia" w:ascii="宋体"/>
          <w:color w:val="auto"/>
          <w:highlight w:val="none"/>
          <w:lang w:val="en-US" w:eastAsia="zh-CN"/>
        </w:rPr>
        <w:t>按固定格式</w:t>
      </w:r>
      <w:r>
        <w:rPr>
          <w:rFonts w:hint="eastAsia" w:ascii="宋体"/>
          <w:color w:val="auto"/>
          <w:highlight w:val="none"/>
          <w:lang w:val="en-US" w:eastAsia="zh"/>
        </w:rPr>
        <w:t>生成</w:t>
      </w:r>
      <w:r>
        <w:rPr>
          <w:rFonts w:hint="eastAsia"/>
          <w:color w:val="auto"/>
          <w:highlight w:val="none"/>
          <w:lang w:val="en-US" w:eastAsia="zh-CN"/>
        </w:rPr>
        <w:t>货物</w:t>
      </w:r>
      <w:r>
        <w:rPr>
          <w:rFonts w:hint="eastAsia" w:ascii="宋体"/>
          <w:color w:val="auto"/>
          <w:highlight w:val="none"/>
          <w:lang w:val="en-US" w:eastAsia="zh"/>
        </w:rPr>
        <w:t>验收单，增加委外第三方验收的标记；</w:t>
      </w:r>
    </w:p>
    <w:p w14:paraId="08EE3AEF">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2</w:t>
      </w:r>
      <w:r>
        <w:rPr>
          <w:rFonts w:hint="eastAsia" w:ascii="宋体"/>
          <w:color w:val="auto"/>
          <w:highlight w:val="none"/>
          <w:lang w:val="en-US" w:eastAsia="zh"/>
        </w:rPr>
        <w:t>验收不通过的货物，记录具体信息</w:t>
      </w:r>
      <w:r>
        <w:rPr>
          <w:rFonts w:hint="eastAsia"/>
          <w:color w:val="auto"/>
          <w:highlight w:val="none"/>
          <w:lang w:val="en-US" w:eastAsia="zh-CN"/>
        </w:rPr>
        <w:t>及整改情况</w:t>
      </w:r>
      <w:r>
        <w:rPr>
          <w:rFonts w:hint="eastAsia" w:ascii="宋体"/>
          <w:color w:val="auto"/>
          <w:highlight w:val="none"/>
          <w:lang w:val="en-US" w:eastAsia="zh"/>
        </w:rPr>
        <w:t>。</w:t>
      </w:r>
      <w:r>
        <w:rPr>
          <w:rFonts w:hint="eastAsia" w:ascii="宋体"/>
          <w:color w:val="auto"/>
          <w:highlight w:val="none"/>
          <w:lang w:val="en-US" w:eastAsia="zh-CN"/>
        </w:rPr>
        <w:t>与到货管理联动，在到货管理中</w:t>
      </w:r>
      <w:r>
        <w:rPr>
          <w:rFonts w:hint="eastAsia"/>
          <w:color w:val="auto"/>
          <w:highlight w:val="none"/>
          <w:lang w:val="en-US" w:eastAsia="zh-CN"/>
        </w:rPr>
        <w:t>标记为</w:t>
      </w:r>
      <w:r>
        <w:rPr>
          <w:rFonts w:hint="eastAsia" w:ascii="宋体"/>
          <w:color w:val="auto"/>
          <w:highlight w:val="none"/>
          <w:lang w:val="en-US" w:eastAsia="zh-CN"/>
        </w:rPr>
        <w:t>验收不合格</w:t>
      </w:r>
      <w:r>
        <w:rPr>
          <w:rFonts w:hint="eastAsia"/>
          <w:color w:val="auto"/>
          <w:highlight w:val="none"/>
          <w:lang w:val="en-US" w:eastAsia="zh-CN"/>
        </w:rPr>
        <w:t>，</w:t>
      </w:r>
      <w:r>
        <w:rPr>
          <w:rFonts w:hint="eastAsia" w:ascii="宋体"/>
          <w:color w:val="auto"/>
          <w:highlight w:val="none"/>
          <w:lang w:val="en-US" w:eastAsia="zh-CN"/>
        </w:rPr>
        <w:t>自动生成退换货单。</w:t>
      </w:r>
      <w:r>
        <w:rPr>
          <w:rFonts w:hint="eastAsia" w:ascii="宋体"/>
          <w:color w:val="auto"/>
          <w:highlight w:val="none"/>
          <w:lang w:val="en-US" w:eastAsia="zh"/>
        </w:rPr>
        <w:t>库存物资办理退库后，自动核减库存并保持相关记录，重新到货后自动调整库存数量，但不改变暂估单信息</w:t>
      </w:r>
      <w:r>
        <w:rPr>
          <w:rFonts w:hint="eastAsia"/>
          <w:color w:val="auto"/>
          <w:highlight w:val="none"/>
          <w:lang w:val="en-US" w:eastAsia="zh-CN"/>
        </w:rPr>
        <w:t>；若货物类合同中有要求提交安装或者检测等服务的，另外生成服务验收单。</w:t>
      </w:r>
    </w:p>
    <w:p w14:paraId="5EB47DF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3</w:t>
      </w:r>
      <w:r>
        <w:rPr>
          <w:rFonts w:hint="eastAsia"/>
          <w:color w:val="auto"/>
          <w:highlight w:val="none"/>
          <w:lang w:val="en-US" w:eastAsia="zh-CN"/>
        </w:rPr>
        <w:t>具有</w:t>
      </w:r>
      <w:r>
        <w:rPr>
          <w:rFonts w:hint="eastAsia" w:ascii="宋体"/>
          <w:color w:val="auto"/>
          <w:highlight w:val="none"/>
          <w:lang w:val="en-US" w:eastAsia="zh"/>
        </w:rPr>
        <w:t>上传自检、外检报告</w:t>
      </w:r>
      <w:r>
        <w:rPr>
          <w:rFonts w:hint="eastAsia"/>
          <w:color w:val="auto"/>
          <w:highlight w:val="none"/>
          <w:lang w:val="en-US" w:eastAsia="zh-CN"/>
        </w:rPr>
        <w:t>附件功能</w:t>
      </w:r>
      <w:r>
        <w:rPr>
          <w:rFonts w:hint="eastAsia" w:ascii="宋体"/>
          <w:color w:val="auto"/>
          <w:highlight w:val="none"/>
          <w:lang w:val="en-US" w:eastAsia="zh"/>
        </w:rPr>
        <w:t>；</w:t>
      </w:r>
    </w:p>
    <w:p w14:paraId="3747F93C">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4</w:t>
      </w:r>
      <w:r>
        <w:rPr>
          <w:rFonts w:hint="eastAsia" w:ascii="宋体"/>
          <w:color w:val="auto"/>
          <w:highlight w:val="none"/>
          <w:lang w:val="en-US" w:eastAsia="zh"/>
        </w:rPr>
        <w:t>增加验收信息模糊查询功能</w:t>
      </w:r>
      <w:r>
        <w:rPr>
          <w:rFonts w:hint="eastAsia"/>
          <w:color w:val="auto"/>
          <w:highlight w:val="none"/>
          <w:lang w:val="en-US" w:eastAsia="zh-CN"/>
        </w:rPr>
        <w:t>；</w:t>
      </w:r>
    </w:p>
    <w:p w14:paraId="143509F6">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5上传各种质量证明材料。</w:t>
      </w:r>
    </w:p>
    <w:p w14:paraId="43BFB60A">
      <w:pPr>
        <w:pStyle w:val="6"/>
        <w:numPr>
          <w:ilvl w:val="0"/>
          <w:numId w:val="0"/>
        </w:numPr>
        <w:ind w:firstLine="482" w:firstLineChars="200"/>
        <w:rPr>
          <w:rFonts w:hint="default" w:ascii="宋体"/>
          <w:b/>
          <w:bCs/>
          <w:color w:val="auto"/>
          <w:highlight w:val="none"/>
          <w:lang w:val="en-US" w:eastAsia="zh-CN"/>
        </w:rPr>
      </w:pPr>
      <w:r>
        <w:rPr>
          <w:rFonts w:hint="eastAsia"/>
          <w:b/>
          <w:bCs/>
          <w:color w:val="auto"/>
          <w:highlight w:val="none"/>
          <w:lang w:val="en-US" w:eastAsia="zh-CN"/>
        </w:rPr>
        <w:t>8.1服务类验收</w:t>
      </w:r>
    </w:p>
    <w:p w14:paraId="03E8D602">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1</w:t>
      </w:r>
      <w:r>
        <w:rPr>
          <w:rFonts w:hint="eastAsia" w:ascii="宋体"/>
          <w:color w:val="auto"/>
          <w:highlight w:val="none"/>
          <w:lang w:val="en-US" w:eastAsia="zh"/>
        </w:rPr>
        <w:t>根据</w:t>
      </w:r>
      <w:r>
        <w:rPr>
          <w:rFonts w:hint="eastAsia"/>
          <w:color w:val="auto"/>
          <w:highlight w:val="none"/>
          <w:lang w:val="en-US" w:eastAsia="zh-CN"/>
        </w:rPr>
        <w:t>服务</w:t>
      </w:r>
      <w:r>
        <w:rPr>
          <w:rFonts w:hint="eastAsia" w:ascii="宋体"/>
          <w:color w:val="auto"/>
          <w:highlight w:val="none"/>
          <w:lang w:val="en-US" w:eastAsia="zh"/>
        </w:rPr>
        <w:t>验收情况，</w:t>
      </w:r>
      <w:r>
        <w:rPr>
          <w:rFonts w:hint="eastAsia" w:ascii="宋体"/>
          <w:color w:val="auto"/>
          <w:highlight w:val="none"/>
          <w:lang w:val="en-US" w:eastAsia="zh-CN"/>
        </w:rPr>
        <w:t>按固定格式</w:t>
      </w:r>
      <w:r>
        <w:rPr>
          <w:rFonts w:hint="eastAsia" w:ascii="宋体"/>
          <w:color w:val="auto"/>
          <w:highlight w:val="none"/>
          <w:lang w:val="en-US" w:eastAsia="zh"/>
        </w:rPr>
        <w:t>生成</w:t>
      </w:r>
      <w:r>
        <w:rPr>
          <w:rFonts w:hint="eastAsia"/>
          <w:color w:val="auto"/>
          <w:highlight w:val="none"/>
          <w:lang w:val="en-US" w:eastAsia="zh-CN"/>
        </w:rPr>
        <w:t>服务</w:t>
      </w:r>
      <w:r>
        <w:rPr>
          <w:rFonts w:hint="eastAsia" w:ascii="宋体"/>
          <w:color w:val="auto"/>
          <w:highlight w:val="none"/>
          <w:lang w:val="en-US" w:eastAsia="zh"/>
        </w:rPr>
        <w:t>验收单；</w:t>
      </w:r>
    </w:p>
    <w:p w14:paraId="2B3032C0">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2</w:t>
      </w:r>
      <w:r>
        <w:rPr>
          <w:rFonts w:hint="eastAsia" w:ascii="宋体"/>
          <w:color w:val="auto"/>
          <w:highlight w:val="none"/>
          <w:lang w:val="en-US" w:eastAsia="zh"/>
        </w:rPr>
        <w:t>验收不通过的</w:t>
      </w:r>
      <w:r>
        <w:rPr>
          <w:rFonts w:hint="eastAsia"/>
          <w:color w:val="auto"/>
          <w:highlight w:val="none"/>
          <w:lang w:val="en-US" w:eastAsia="zh-CN"/>
        </w:rPr>
        <w:t>服务</w:t>
      </w:r>
      <w:r>
        <w:rPr>
          <w:rFonts w:hint="eastAsia" w:ascii="宋体"/>
          <w:color w:val="auto"/>
          <w:highlight w:val="none"/>
          <w:lang w:val="en-US" w:eastAsia="zh"/>
        </w:rPr>
        <w:t>，记录具体信息</w:t>
      </w:r>
      <w:r>
        <w:rPr>
          <w:rFonts w:hint="eastAsia"/>
          <w:color w:val="auto"/>
          <w:highlight w:val="none"/>
          <w:lang w:val="en-US" w:eastAsia="zh-CN"/>
        </w:rPr>
        <w:t>及整改情况；</w:t>
      </w:r>
    </w:p>
    <w:p w14:paraId="65E87D9D">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3</w:t>
      </w:r>
      <w:r>
        <w:rPr>
          <w:rFonts w:hint="eastAsia"/>
          <w:color w:val="auto"/>
          <w:highlight w:val="none"/>
          <w:lang w:val="en-US" w:eastAsia="zh-CN"/>
        </w:rPr>
        <w:t>具有</w:t>
      </w:r>
      <w:r>
        <w:rPr>
          <w:rFonts w:hint="eastAsia" w:ascii="宋体"/>
          <w:color w:val="auto"/>
          <w:highlight w:val="none"/>
          <w:lang w:val="en-US" w:eastAsia="zh"/>
        </w:rPr>
        <w:t>上传自检、外检报告</w:t>
      </w:r>
      <w:r>
        <w:rPr>
          <w:rFonts w:hint="eastAsia"/>
          <w:color w:val="auto"/>
          <w:highlight w:val="none"/>
          <w:lang w:val="en-US" w:eastAsia="zh-CN"/>
        </w:rPr>
        <w:t>附件功能</w:t>
      </w:r>
      <w:r>
        <w:rPr>
          <w:rFonts w:hint="eastAsia" w:ascii="宋体"/>
          <w:color w:val="auto"/>
          <w:highlight w:val="none"/>
          <w:lang w:val="en-US" w:eastAsia="zh"/>
        </w:rPr>
        <w:t>；</w:t>
      </w:r>
    </w:p>
    <w:p w14:paraId="5D7A5391">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4</w:t>
      </w:r>
      <w:r>
        <w:rPr>
          <w:rFonts w:hint="eastAsia" w:ascii="宋体"/>
          <w:color w:val="auto"/>
          <w:highlight w:val="none"/>
          <w:lang w:val="en-US" w:eastAsia="zh"/>
        </w:rPr>
        <w:t>增加验收信息模糊查询功能</w:t>
      </w:r>
      <w:r>
        <w:rPr>
          <w:rFonts w:hint="eastAsia"/>
          <w:color w:val="auto"/>
          <w:highlight w:val="none"/>
          <w:lang w:val="en-US" w:eastAsia="zh-CN"/>
        </w:rPr>
        <w:t>；</w:t>
      </w:r>
    </w:p>
    <w:p w14:paraId="77941293">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8.</w:t>
      </w:r>
      <w:r>
        <w:rPr>
          <w:rFonts w:hint="eastAsia"/>
          <w:color w:val="auto"/>
          <w:highlight w:val="none"/>
          <w:lang w:val="en-US" w:eastAsia="zh-CN"/>
        </w:rPr>
        <w:t>1.</w:t>
      </w:r>
      <w:r>
        <w:rPr>
          <w:rFonts w:hint="eastAsia" w:ascii="宋体"/>
          <w:color w:val="auto"/>
          <w:highlight w:val="none"/>
          <w:lang w:val="en-US" w:eastAsia="zh-CN"/>
        </w:rPr>
        <w:t>5上传各种</w:t>
      </w:r>
      <w:r>
        <w:rPr>
          <w:rFonts w:hint="eastAsia"/>
          <w:color w:val="auto"/>
          <w:highlight w:val="none"/>
          <w:lang w:val="en-US" w:eastAsia="zh-CN"/>
        </w:rPr>
        <w:t>验收</w:t>
      </w:r>
      <w:r>
        <w:rPr>
          <w:rFonts w:hint="eastAsia" w:ascii="宋体"/>
          <w:color w:val="auto"/>
          <w:highlight w:val="none"/>
          <w:lang w:val="en-US" w:eastAsia="zh-CN"/>
        </w:rPr>
        <w:t>证明材料。</w:t>
      </w:r>
    </w:p>
    <w:p w14:paraId="1846F409">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9.</w:t>
      </w:r>
      <w:r>
        <w:rPr>
          <w:rFonts w:hint="eastAsia"/>
          <w:b/>
          <w:bCs/>
          <w:color w:val="auto"/>
          <w:highlight w:val="none"/>
          <w:lang w:val="en-US" w:eastAsia="zh-CN"/>
        </w:rPr>
        <w:t>仓库管理</w:t>
      </w:r>
    </w:p>
    <w:p w14:paraId="2F69664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9.1</w:t>
      </w:r>
      <w:r>
        <w:rPr>
          <w:rFonts w:hint="eastAsia" w:ascii="宋体"/>
          <w:color w:val="auto"/>
          <w:highlight w:val="none"/>
          <w:lang w:val="en-US" w:eastAsia="zh"/>
        </w:rPr>
        <w:t>入库：验收合格的</w:t>
      </w:r>
      <w:r>
        <w:rPr>
          <w:rFonts w:hint="eastAsia"/>
          <w:color w:val="auto"/>
          <w:highlight w:val="none"/>
          <w:lang w:val="en-US" w:eastAsia="zh-CN"/>
        </w:rPr>
        <w:t>货物</w:t>
      </w:r>
      <w:r>
        <w:rPr>
          <w:rFonts w:hint="eastAsia" w:ascii="宋体"/>
          <w:color w:val="auto"/>
          <w:highlight w:val="none"/>
          <w:lang w:val="en-US" w:eastAsia="zh"/>
        </w:rPr>
        <w:t>，根据验收单自动生成暂估入库单（在下一次验收核减采购订单中总数，若验收不合格，采购订单数量不核减</w:t>
      </w:r>
      <w:r>
        <w:rPr>
          <w:rFonts w:hint="eastAsia"/>
          <w:color w:val="auto"/>
          <w:highlight w:val="none"/>
          <w:lang w:val="en-US" w:eastAsia="zh-CN"/>
        </w:rPr>
        <w:t>；属于固定资产类的货物无需办理暂估入库，仅形成流程闭环即可</w:t>
      </w:r>
      <w:r>
        <w:rPr>
          <w:rFonts w:hint="eastAsia" w:ascii="宋体"/>
          <w:color w:val="auto"/>
          <w:highlight w:val="none"/>
          <w:lang w:val="en-US" w:eastAsia="zh"/>
        </w:rPr>
        <w:t>），上架时扫描库位信息，自动匹配原有库位信息，并提醒变更，扫描后自动调整物资编码中的库位信息。暂估入库允许没有库位信息办理暂估入库，并有提示无库位信息。</w:t>
      </w:r>
    </w:p>
    <w:p w14:paraId="5E5C93E6">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9.2</w:t>
      </w:r>
      <w:r>
        <w:rPr>
          <w:rFonts w:hint="eastAsia" w:ascii="宋体"/>
          <w:color w:val="auto"/>
          <w:highlight w:val="none"/>
          <w:lang w:val="en-US" w:eastAsia="zh"/>
        </w:rPr>
        <w:t>出库：两种方式</w:t>
      </w:r>
    </w:p>
    <w:p w14:paraId="3F54B6E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9.2.1</w:t>
      </w:r>
      <w:r>
        <w:rPr>
          <w:rFonts w:hint="eastAsia" w:ascii="宋体"/>
          <w:color w:val="auto"/>
          <w:highlight w:val="none"/>
          <w:lang w:val="en-US" w:eastAsia="zh"/>
        </w:rPr>
        <w:t>扫描物资编码，生成出库单，手工输入实际数量，设置内部审批和确认；仓库根据领料单发放货物，点击后自动核减库存；出库金额按平均值出库；根据权限实现系统审批，可转为PDF格式本地保存；</w:t>
      </w:r>
    </w:p>
    <w:p w14:paraId="6D93D63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9.2.2</w:t>
      </w:r>
      <w:r>
        <w:rPr>
          <w:rFonts w:hint="eastAsia" w:ascii="宋体"/>
          <w:color w:val="auto"/>
          <w:highlight w:val="none"/>
          <w:lang w:val="en-US" w:eastAsia="zh"/>
        </w:rPr>
        <w:t>需求部门在系统中填制出库单，要求按照扫描出库规则。</w:t>
      </w:r>
    </w:p>
    <w:p w14:paraId="06865C4A">
      <w:pPr>
        <w:pStyle w:val="6"/>
        <w:numPr>
          <w:ilvl w:val="0"/>
          <w:numId w:val="0"/>
        </w:numPr>
        <w:ind w:firstLine="482" w:firstLineChars="200"/>
        <w:rPr>
          <w:rFonts w:hint="eastAsia" w:ascii="宋体"/>
          <w:b/>
          <w:bCs/>
          <w:color w:val="auto"/>
          <w:highlight w:val="none"/>
          <w:lang w:val="en-US" w:eastAsia="zh"/>
        </w:rPr>
      </w:pPr>
      <w:r>
        <w:rPr>
          <w:rFonts w:hint="eastAsia" w:ascii="宋体"/>
          <w:b/>
          <w:bCs/>
          <w:color w:val="auto"/>
          <w:highlight w:val="none"/>
          <w:lang w:val="en-US" w:eastAsia="zh-CN"/>
        </w:rPr>
        <w:t>9.3</w:t>
      </w:r>
      <w:r>
        <w:rPr>
          <w:rFonts w:hint="eastAsia" w:ascii="宋体"/>
          <w:b/>
          <w:bCs/>
          <w:color w:val="auto"/>
          <w:highlight w:val="none"/>
          <w:lang w:val="en-US" w:eastAsia="zh"/>
        </w:rPr>
        <w:t>盘点</w:t>
      </w:r>
    </w:p>
    <w:p w14:paraId="56A66F17">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9.3.1</w:t>
      </w:r>
      <w:r>
        <w:rPr>
          <w:rFonts w:hint="eastAsia" w:ascii="宋体"/>
          <w:color w:val="auto"/>
          <w:highlight w:val="none"/>
          <w:lang w:val="en-US" w:eastAsia="zh"/>
        </w:rPr>
        <w:t>扫描物资编码，显示实际库存数量（库存信息实时更新），方便与实物核对</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2B1F79E">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9.3.2</w:t>
      </w:r>
      <w:r>
        <w:rPr>
          <w:rFonts w:hint="eastAsia" w:ascii="宋体"/>
          <w:color w:val="auto"/>
          <w:highlight w:val="none"/>
          <w:lang w:val="en-US" w:eastAsia="zh"/>
        </w:rPr>
        <w:t>自动生成盘点表（库存信息实时更新），显示盈亏数量</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757D9D0">
      <w:pPr>
        <w:pStyle w:val="6"/>
        <w:numPr>
          <w:ilvl w:val="0"/>
          <w:numId w:val="0"/>
        </w:numPr>
        <w:ind w:firstLine="482" w:firstLineChars="200"/>
        <w:rPr>
          <w:rFonts w:hint="eastAsia" w:ascii="宋体"/>
          <w:b/>
          <w:bCs/>
          <w:color w:val="auto"/>
          <w:highlight w:val="none"/>
          <w:lang w:val="en-US" w:eastAsia="zh"/>
        </w:rPr>
      </w:pPr>
      <w:r>
        <w:rPr>
          <w:rFonts w:hint="eastAsia" w:ascii="宋体"/>
          <w:b/>
          <w:bCs/>
          <w:color w:val="auto"/>
          <w:highlight w:val="none"/>
          <w:lang w:val="en-US" w:eastAsia="zh-CN"/>
        </w:rPr>
        <w:t>9.4仓库</w:t>
      </w:r>
      <w:r>
        <w:rPr>
          <w:rFonts w:hint="eastAsia" w:ascii="宋体"/>
          <w:b/>
          <w:bCs/>
          <w:color w:val="auto"/>
          <w:highlight w:val="none"/>
          <w:lang w:val="en-US" w:eastAsia="zh"/>
        </w:rPr>
        <w:t>报表</w:t>
      </w:r>
    </w:p>
    <w:p w14:paraId="5979EB9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每月生成收发存报告和分部门消耗</w:t>
      </w:r>
      <w:r>
        <w:rPr>
          <w:rFonts w:hint="eastAsia"/>
          <w:color w:val="auto"/>
          <w:highlight w:val="none"/>
          <w:lang w:val="en-US" w:eastAsia="zh-CN"/>
        </w:rPr>
        <w:t>报表。</w:t>
      </w:r>
    </w:p>
    <w:p w14:paraId="1A60EEB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9.5</w:t>
      </w:r>
      <w:r>
        <w:rPr>
          <w:rFonts w:hint="eastAsia" w:ascii="宋体"/>
          <w:color w:val="auto"/>
          <w:highlight w:val="none"/>
          <w:lang w:val="en-US" w:eastAsia="zh"/>
        </w:rPr>
        <w:t>发票入库</w:t>
      </w:r>
    </w:p>
    <w:p w14:paraId="6549929E">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录入发票后自动生成正式入库单，系统自动红冲暂估单，自动调整出库金额，不得出现0库存有金额现象；允许0金额有数量办理特殊发票入库单</w:t>
      </w:r>
      <w:r>
        <w:rPr>
          <w:rFonts w:hint="eastAsia"/>
          <w:color w:val="auto"/>
          <w:highlight w:val="none"/>
          <w:lang w:val="en-US" w:eastAsia="zh-CN"/>
        </w:rPr>
        <w:t>（可选）</w:t>
      </w:r>
      <w:r>
        <w:rPr>
          <w:rFonts w:hint="eastAsia" w:ascii="宋体"/>
          <w:color w:val="auto"/>
          <w:highlight w:val="none"/>
          <w:lang w:val="en-US" w:eastAsia="zh"/>
        </w:rPr>
        <w:t>，</w:t>
      </w:r>
      <w:r>
        <w:rPr>
          <w:rFonts w:hint="eastAsia"/>
          <w:color w:val="auto"/>
          <w:highlight w:val="none"/>
          <w:lang w:val="en-US" w:eastAsia="zh-CN"/>
        </w:rPr>
        <w:t>系统自动</w:t>
      </w:r>
      <w:r>
        <w:rPr>
          <w:rFonts w:hint="eastAsia" w:ascii="宋体"/>
          <w:color w:val="auto"/>
          <w:highlight w:val="none"/>
          <w:lang w:val="en-US" w:eastAsia="zh"/>
        </w:rPr>
        <w:t>相应调整出库金额。</w:t>
      </w:r>
    </w:p>
    <w:p w14:paraId="1823AE6F">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9.6查询功能</w:t>
      </w:r>
    </w:p>
    <w:p w14:paraId="50DD0D5D">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9.6.1</w:t>
      </w:r>
      <w:r>
        <w:rPr>
          <w:rFonts w:hint="eastAsia" w:ascii="宋体"/>
          <w:color w:val="auto"/>
          <w:highlight w:val="none"/>
          <w:lang w:val="en-US" w:eastAsia="zh"/>
        </w:rPr>
        <w:t>可查询供应商待发票清单</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2BB21E11">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9.6.2</w:t>
      </w:r>
      <w:r>
        <w:rPr>
          <w:rFonts w:hint="eastAsia" w:ascii="宋体"/>
          <w:color w:val="auto"/>
          <w:highlight w:val="none"/>
          <w:lang w:val="en-US" w:eastAsia="zh"/>
        </w:rPr>
        <w:t>可查询单个物料库存情况</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203E71DF">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9.6.3</w:t>
      </w:r>
      <w:r>
        <w:rPr>
          <w:rFonts w:hint="eastAsia" w:ascii="宋体"/>
          <w:color w:val="auto"/>
          <w:highlight w:val="none"/>
          <w:lang w:val="en-US" w:eastAsia="zh"/>
        </w:rPr>
        <w:t>有单据联查功能</w:t>
      </w:r>
      <w:r>
        <w:rPr>
          <w:rFonts w:hint="eastAsia" w:ascii="宋体"/>
          <w:color w:val="auto"/>
          <w:highlight w:val="none"/>
          <w:lang w:val="en-US" w:eastAsia="zh-CN"/>
        </w:rPr>
        <w:t>；</w:t>
      </w:r>
    </w:p>
    <w:p w14:paraId="2178C508">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9.6.4</w:t>
      </w:r>
      <w:r>
        <w:rPr>
          <w:rFonts w:hint="eastAsia" w:ascii="宋体"/>
          <w:color w:val="auto"/>
          <w:highlight w:val="none"/>
          <w:lang w:val="en-US" w:eastAsia="zh"/>
        </w:rPr>
        <w:t>依据订单信息，可以查询本订单内未到货物资</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E5F796C">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9.6.5</w:t>
      </w:r>
      <w:r>
        <w:rPr>
          <w:rFonts w:hint="eastAsia" w:ascii="宋体"/>
          <w:color w:val="auto"/>
          <w:highlight w:val="none"/>
          <w:lang w:val="en-US" w:eastAsia="zh"/>
        </w:rPr>
        <w:t>增加库龄分析功能，分具体时间段库存物资统计分析，含有明细和金额</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598BA3AD">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9.7其他</w:t>
      </w:r>
    </w:p>
    <w:p w14:paraId="28E30AD2">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9.7.1</w:t>
      </w:r>
      <w:r>
        <w:rPr>
          <w:rFonts w:hint="eastAsia" w:ascii="宋体"/>
          <w:color w:val="auto"/>
          <w:highlight w:val="none"/>
          <w:lang w:val="en-US" w:eastAsia="zh"/>
        </w:rPr>
        <w:t>增加仓库物资报废流程，办理报废后，自动核减库存</w:t>
      </w:r>
      <w:r>
        <w:rPr>
          <w:rFonts w:hint="eastAsia"/>
          <w:color w:val="auto"/>
          <w:highlight w:val="none"/>
          <w:lang w:val="en-US" w:eastAsia="zh-CN"/>
        </w:rPr>
        <w:t>；</w:t>
      </w:r>
    </w:p>
    <w:p w14:paraId="456DF45D">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9.7.2考虑</w:t>
      </w:r>
      <w:r>
        <w:rPr>
          <w:rFonts w:hint="eastAsia" w:ascii="宋体"/>
          <w:color w:val="auto"/>
          <w:highlight w:val="none"/>
          <w:lang w:val="en-US" w:eastAsia="zh"/>
        </w:rPr>
        <w:t>扫码枪具有扫描和拍照</w:t>
      </w:r>
      <w:r>
        <w:rPr>
          <w:rFonts w:hint="eastAsia" w:ascii="宋体"/>
          <w:color w:val="auto"/>
          <w:highlight w:val="none"/>
          <w:lang w:val="en-US" w:eastAsia="zh-CN"/>
        </w:rPr>
        <w:t>、</w:t>
      </w:r>
      <w:r>
        <w:rPr>
          <w:rFonts w:hint="eastAsia" w:ascii="宋体"/>
          <w:color w:val="auto"/>
          <w:highlight w:val="none"/>
          <w:lang w:val="en-US" w:eastAsia="zh"/>
        </w:rPr>
        <w:t>带有信息显示屏</w:t>
      </w:r>
      <w:r>
        <w:rPr>
          <w:rFonts w:hint="eastAsia" w:ascii="宋体"/>
          <w:color w:val="auto"/>
          <w:highlight w:val="none"/>
          <w:lang w:val="en-US" w:eastAsia="zh-CN"/>
        </w:rPr>
        <w:t>、</w:t>
      </w:r>
      <w:r>
        <w:rPr>
          <w:rFonts w:hint="eastAsia" w:ascii="宋体"/>
          <w:color w:val="auto"/>
          <w:highlight w:val="none"/>
          <w:lang w:val="en-US" w:eastAsia="zh"/>
        </w:rPr>
        <w:t>具有手工可操作</w:t>
      </w:r>
      <w:r>
        <w:rPr>
          <w:rFonts w:hint="eastAsia" w:ascii="宋体"/>
          <w:color w:val="auto"/>
          <w:highlight w:val="none"/>
          <w:lang w:val="en-US" w:eastAsia="zh-CN"/>
        </w:rPr>
        <w:t>等</w:t>
      </w:r>
      <w:r>
        <w:rPr>
          <w:rFonts w:hint="eastAsia" w:ascii="宋体"/>
          <w:color w:val="auto"/>
          <w:highlight w:val="none"/>
          <w:lang w:val="en-US" w:eastAsia="zh"/>
        </w:rPr>
        <w:t>功能</w:t>
      </w:r>
      <w:r>
        <w:rPr>
          <w:rFonts w:hint="eastAsia" w:ascii="宋体"/>
          <w:color w:val="auto"/>
          <w:highlight w:val="none"/>
          <w:lang w:val="en-US" w:eastAsia="zh-CN"/>
        </w:rPr>
        <w:t>，系统需与之配套。</w:t>
      </w:r>
    </w:p>
    <w:p w14:paraId="5717D83D">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10.</w:t>
      </w:r>
      <w:r>
        <w:rPr>
          <w:rFonts w:hint="eastAsia"/>
          <w:b/>
          <w:bCs/>
          <w:color w:val="auto"/>
          <w:highlight w:val="none"/>
          <w:lang w:val="en-US" w:eastAsia="zh-CN"/>
        </w:rPr>
        <w:t>付款管理</w:t>
      </w:r>
    </w:p>
    <w:p w14:paraId="288E803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10.1</w:t>
      </w:r>
      <w:r>
        <w:rPr>
          <w:rFonts w:hint="eastAsia" w:ascii="宋体"/>
          <w:color w:val="auto"/>
          <w:highlight w:val="none"/>
          <w:lang w:val="en-US" w:eastAsia="zh"/>
        </w:rPr>
        <w:t>根据付款金额自动生成合同付款率；</w:t>
      </w:r>
    </w:p>
    <w:p w14:paraId="796DFB4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10.2</w:t>
      </w:r>
      <w:r>
        <w:rPr>
          <w:rFonts w:hint="eastAsia" w:ascii="宋体"/>
          <w:color w:val="auto"/>
          <w:highlight w:val="none"/>
          <w:lang w:val="en-US" w:eastAsia="zh"/>
        </w:rPr>
        <w:t>验收资料</w:t>
      </w:r>
      <w:r>
        <w:rPr>
          <w:rFonts w:hint="eastAsia" w:ascii="宋体"/>
          <w:color w:val="auto"/>
          <w:highlight w:val="none"/>
          <w:lang w:val="en-US" w:eastAsia="zh-CN"/>
        </w:rPr>
        <w:t>归档</w:t>
      </w:r>
    </w:p>
    <w:p w14:paraId="69C1FC0B">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10.2.1</w:t>
      </w:r>
      <w:r>
        <w:rPr>
          <w:rFonts w:hint="eastAsia" w:ascii="宋体"/>
          <w:color w:val="auto"/>
          <w:highlight w:val="none"/>
          <w:lang w:val="en-US" w:eastAsia="zh"/>
        </w:rPr>
        <w:t>货物类，按仓库管理验收逐项归档；含安装调试的项目，增加服务类验收单并上传；</w:t>
      </w:r>
    </w:p>
    <w:p w14:paraId="2825189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10.2.</w:t>
      </w:r>
      <w:r>
        <w:rPr>
          <w:rFonts w:hint="eastAsia"/>
          <w:color w:val="auto"/>
          <w:highlight w:val="none"/>
          <w:lang w:val="en-US" w:eastAsia="zh-CN"/>
        </w:rPr>
        <w:t>2</w:t>
      </w:r>
      <w:r>
        <w:rPr>
          <w:rFonts w:hint="eastAsia" w:ascii="宋体"/>
          <w:color w:val="auto"/>
          <w:highlight w:val="none"/>
          <w:lang w:val="en-US" w:eastAsia="zh"/>
        </w:rPr>
        <w:t>纯服务类项目，生成服务验收单。验收人员系统上完成验收并生成最终版验收单；</w:t>
      </w:r>
    </w:p>
    <w:p w14:paraId="0A63659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10.2.3</w:t>
      </w:r>
      <w:r>
        <w:rPr>
          <w:rFonts w:hint="eastAsia" w:ascii="宋体"/>
          <w:color w:val="auto"/>
          <w:highlight w:val="none"/>
          <w:lang w:val="en-US" w:eastAsia="zh"/>
        </w:rPr>
        <w:t>合同中有特别验收条款的，仓库或合同履行部门需将相关资料上传到系统；</w:t>
      </w:r>
    </w:p>
    <w:p w14:paraId="1118AF43">
      <w:pPr>
        <w:pStyle w:val="6"/>
        <w:numPr>
          <w:ilvl w:val="0"/>
          <w:numId w:val="0"/>
        </w:numPr>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10.3</w:t>
      </w:r>
      <w:r>
        <w:rPr>
          <w:rFonts w:hint="eastAsia" w:ascii="宋体"/>
          <w:color w:val="auto"/>
          <w:highlight w:val="none"/>
          <w:lang w:val="en-US" w:eastAsia="zh"/>
        </w:rPr>
        <w:t>履约保证金退还</w:t>
      </w:r>
      <w:r>
        <w:rPr>
          <w:rFonts w:hint="eastAsia" w:ascii="宋体"/>
          <w:color w:val="auto"/>
          <w:highlight w:val="none"/>
          <w:lang w:val="en-US" w:eastAsia="zh-CN"/>
        </w:rPr>
        <w:t>（若有）：根据供应商评价结果，</w:t>
      </w:r>
      <w:r>
        <w:rPr>
          <w:rFonts w:hint="eastAsia"/>
          <w:color w:val="auto"/>
          <w:highlight w:val="none"/>
          <w:lang w:val="en-US" w:eastAsia="zh-CN"/>
        </w:rPr>
        <w:t>在其他系统完成</w:t>
      </w:r>
      <w:r>
        <w:rPr>
          <w:rFonts w:hint="eastAsia" w:ascii="宋体"/>
          <w:color w:val="auto"/>
          <w:highlight w:val="none"/>
          <w:lang w:val="en-US" w:eastAsia="zh-CN"/>
        </w:rPr>
        <w:t>办理履约保证金退还手续</w:t>
      </w:r>
      <w:r>
        <w:rPr>
          <w:rFonts w:hint="eastAsia"/>
          <w:color w:val="auto"/>
          <w:highlight w:val="none"/>
          <w:lang w:val="en-US" w:eastAsia="zh-CN"/>
        </w:rPr>
        <w:t>后，在本平台仅</w:t>
      </w:r>
      <w:r>
        <w:rPr>
          <w:rFonts w:hint="eastAsia" w:ascii="宋体"/>
          <w:color w:val="auto"/>
          <w:highlight w:val="none"/>
          <w:lang w:val="en-US" w:eastAsia="zh-CN"/>
        </w:rPr>
        <w:t>标记完成情况</w:t>
      </w:r>
      <w:r>
        <w:rPr>
          <w:rFonts w:hint="eastAsia"/>
          <w:color w:val="auto"/>
          <w:highlight w:val="none"/>
          <w:lang w:val="en-US" w:eastAsia="zh-CN"/>
        </w:rPr>
        <w:t>，不设置审批流程</w:t>
      </w:r>
      <w:r>
        <w:rPr>
          <w:rFonts w:hint="eastAsia" w:ascii="宋体"/>
          <w:color w:val="auto"/>
          <w:highlight w:val="none"/>
          <w:lang w:val="en-US" w:eastAsia="zh-CN"/>
        </w:rPr>
        <w:t>；</w:t>
      </w:r>
    </w:p>
    <w:p w14:paraId="173E4FD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10.4</w:t>
      </w:r>
      <w:r>
        <w:rPr>
          <w:rFonts w:hint="eastAsia" w:ascii="宋体"/>
          <w:color w:val="auto"/>
          <w:highlight w:val="none"/>
          <w:lang w:val="en-US" w:eastAsia="zh"/>
        </w:rPr>
        <w:t>质保金付款</w:t>
      </w:r>
      <w:r>
        <w:rPr>
          <w:rFonts w:hint="eastAsia" w:ascii="宋体"/>
          <w:color w:val="auto"/>
          <w:highlight w:val="none"/>
          <w:lang w:val="en-US" w:eastAsia="zh-CN"/>
        </w:rPr>
        <w:t>（若有）：据实际情况</w:t>
      </w:r>
      <w:r>
        <w:rPr>
          <w:rFonts w:hint="eastAsia"/>
          <w:color w:val="auto"/>
          <w:highlight w:val="none"/>
          <w:lang w:val="en-US" w:eastAsia="zh-CN"/>
        </w:rPr>
        <w:t>，合同履行相关部门上传各类凭证</w:t>
      </w:r>
      <w:r>
        <w:rPr>
          <w:rFonts w:hint="eastAsia" w:ascii="宋体"/>
          <w:color w:val="auto"/>
          <w:highlight w:val="none"/>
          <w:lang w:val="en-US" w:eastAsia="zh-CN"/>
        </w:rPr>
        <w:t>，</w:t>
      </w:r>
      <w:r>
        <w:rPr>
          <w:rFonts w:hint="eastAsia"/>
          <w:color w:val="auto"/>
          <w:highlight w:val="none"/>
          <w:lang w:val="en-US" w:eastAsia="zh-CN"/>
        </w:rPr>
        <w:t>在其他系统</w:t>
      </w:r>
      <w:r>
        <w:rPr>
          <w:rFonts w:hint="eastAsia" w:ascii="宋体"/>
          <w:color w:val="auto"/>
          <w:highlight w:val="none"/>
          <w:lang w:val="en-US" w:eastAsia="zh-CN"/>
        </w:rPr>
        <w:t>办理</w:t>
      </w:r>
      <w:r>
        <w:rPr>
          <w:rFonts w:hint="eastAsia" w:ascii="宋体"/>
          <w:color w:val="auto"/>
          <w:highlight w:val="none"/>
          <w:lang w:val="en-US" w:eastAsia="zh"/>
        </w:rPr>
        <w:t>质保金</w:t>
      </w:r>
      <w:r>
        <w:rPr>
          <w:rFonts w:hint="eastAsia" w:ascii="宋体"/>
          <w:color w:val="auto"/>
          <w:highlight w:val="none"/>
          <w:lang w:val="en-US" w:eastAsia="zh-CN"/>
        </w:rPr>
        <w:t>退还或者支付手续</w:t>
      </w:r>
      <w:r>
        <w:rPr>
          <w:rFonts w:hint="eastAsia"/>
          <w:color w:val="auto"/>
          <w:highlight w:val="none"/>
          <w:lang w:val="en-US" w:eastAsia="zh-CN"/>
        </w:rPr>
        <w:t>后</w:t>
      </w:r>
      <w:r>
        <w:rPr>
          <w:rFonts w:hint="eastAsia" w:ascii="宋体"/>
          <w:color w:val="auto"/>
          <w:highlight w:val="none"/>
          <w:lang w:val="en-US" w:eastAsia="zh-CN"/>
        </w:rPr>
        <w:t>，</w:t>
      </w:r>
      <w:r>
        <w:rPr>
          <w:rFonts w:hint="eastAsia"/>
          <w:color w:val="auto"/>
          <w:highlight w:val="none"/>
          <w:lang w:val="en-US" w:eastAsia="zh-CN"/>
        </w:rPr>
        <w:t>在本平台仅</w:t>
      </w:r>
      <w:r>
        <w:rPr>
          <w:rFonts w:hint="eastAsia" w:ascii="宋体"/>
          <w:color w:val="auto"/>
          <w:highlight w:val="none"/>
          <w:lang w:val="en-US" w:eastAsia="zh-CN"/>
        </w:rPr>
        <w:t>标记完成情况</w:t>
      </w:r>
      <w:r>
        <w:rPr>
          <w:rFonts w:hint="eastAsia"/>
          <w:color w:val="auto"/>
          <w:highlight w:val="none"/>
          <w:lang w:val="en-US" w:eastAsia="zh-CN"/>
        </w:rPr>
        <w:t>，不设置审批流程</w:t>
      </w:r>
      <w:r>
        <w:rPr>
          <w:rFonts w:hint="eastAsia" w:ascii="宋体"/>
          <w:color w:val="auto"/>
          <w:highlight w:val="none"/>
          <w:lang w:val="en-US" w:eastAsia="zh-CN"/>
        </w:rPr>
        <w:t>；</w:t>
      </w:r>
    </w:p>
    <w:p w14:paraId="45A006B4">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10.5</w:t>
      </w:r>
      <w:r>
        <w:rPr>
          <w:rFonts w:hint="eastAsia" w:ascii="宋体"/>
          <w:color w:val="auto"/>
          <w:highlight w:val="none"/>
          <w:lang w:val="en-US" w:eastAsia="zh"/>
        </w:rPr>
        <w:t>违约金计算</w:t>
      </w:r>
      <w:r>
        <w:rPr>
          <w:rFonts w:hint="eastAsia" w:ascii="宋体"/>
          <w:color w:val="auto"/>
          <w:highlight w:val="none"/>
          <w:lang w:val="en-US" w:eastAsia="zh-CN"/>
        </w:rPr>
        <w:t>（若有）：据实际情况</w:t>
      </w:r>
      <w:r>
        <w:rPr>
          <w:rFonts w:hint="eastAsia"/>
          <w:color w:val="auto"/>
          <w:highlight w:val="none"/>
          <w:lang w:val="en-US" w:eastAsia="zh-CN"/>
        </w:rPr>
        <w:t>，合同履行相关部门上传各类凭证</w:t>
      </w:r>
      <w:r>
        <w:rPr>
          <w:rFonts w:hint="eastAsia" w:ascii="宋体"/>
          <w:color w:val="auto"/>
          <w:highlight w:val="none"/>
          <w:lang w:val="en-US" w:eastAsia="zh-CN"/>
        </w:rPr>
        <w:t>，计算违约金金额，</w:t>
      </w:r>
      <w:r>
        <w:rPr>
          <w:rFonts w:hint="eastAsia"/>
          <w:color w:val="auto"/>
          <w:highlight w:val="none"/>
          <w:lang w:val="en-US" w:eastAsia="zh-CN"/>
        </w:rPr>
        <w:t>在本平台仅</w:t>
      </w:r>
      <w:r>
        <w:rPr>
          <w:rFonts w:hint="eastAsia" w:ascii="宋体"/>
          <w:color w:val="auto"/>
          <w:highlight w:val="none"/>
          <w:lang w:val="en-US" w:eastAsia="zh-CN"/>
        </w:rPr>
        <w:t>标记收取或者扣除情况</w:t>
      </w:r>
      <w:r>
        <w:rPr>
          <w:rFonts w:hint="eastAsia"/>
          <w:color w:val="auto"/>
          <w:highlight w:val="none"/>
          <w:lang w:val="en-US" w:eastAsia="zh-CN"/>
        </w:rPr>
        <w:t>，不设置审批流程</w:t>
      </w:r>
      <w:r>
        <w:rPr>
          <w:rFonts w:hint="eastAsia" w:ascii="宋体"/>
          <w:color w:val="auto"/>
          <w:highlight w:val="none"/>
          <w:lang w:val="en-US" w:eastAsia="zh-CN"/>
        </w:rPr>
        <w:t>；</w:t>
      </w:r>
    </w:p>
    <w:p w14:paraId="1E3CE332">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10.6</w:t>
      </w:r>
      <w:r>
        <w:rPr>
          <w:rFonts w:hint="eastAsia" w:ascii="宋体"/>
          <w:color w:val="auto"/>
          <w:highlight w:val="none"/>
          <w:lang w:val="en-US" w:eastAsia="zh"/>
        </w:rPr>
        <w:t>自动生成付款记录表</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836669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10.7</w:t>
      </w:r>
      <w:r>
        <w:rPr>
          <w:rFonts w:hint="eastAsia" w:ascii="宋体"/>
          <w:color w:val="auto"/>
          <w:highlight w:val="none"/>
          <w:lang w:val="en-US" w:eastAsia="zh"/>
        </w:rPr>
        <w:t>自动生成预算执行表，可以实现自动累计计算</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258D4EA5">
      <w:pPr>
        <w:pStyle w:val="6"/>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10.8本次暂不配置付款审批流程。</w:t>
      </w:r>
    </w:p>
    <w:p w14:paraId="617C4DD2">
      <w:pPr>
        <w:pStyle w:val="6"/>
        <w:numPr>
          <w:ilvl w:val="0"/>
          <w:numId w:val="0"/>
        </w:numPr>
        <w:ind w:firstLine="482" w:firstLineChars="200"/>
        <w:rPr>
          <w:rFonts w:hint="eastAsia"/>
          <w:b/>
          <w:bCs/>
          <w:color w:val="auto"/>
          <w:highlight w:val="none"/>
          <w:lang w:val="en-US" w:eastAsia="zh-CN"/>
        </w:rPr>
      </w:pPr>
      <w:r>
        <w:rPr>
          <w:rFonts w:hint="default" w:ascii="宋体" w:hAnsi="Arial" w:cs="Arial" w:eastAsiaTheme="minorEastAsia"/>
          <w:b/>
          <w:bCs/>
          <w:snapToGrid w:val="0"/>
          <w:color w:val="auto"/>
          <w:kern w:val="2"/>
          <w:sz w:val="24"/>
          <w:szCs w:val="21"/>
          <w:highlight w:val="none"/>
          <w:lang w:val="en-US" w:eastAsia="zh-CN" w:bidi="ar-SA"/>
        </w:rPr>
        <w:t>11.</w:t>
      </w:r>
      <w:r>
        <w:rPr>
          <w:rFonts w:hint="eastAsia"/>
          <w:b/>
          <w:bCs/>
          <w:color w:val="auto"/>
          <w:highlight w:val="none"/>
          <w:lang w:val="en-US" w:eastAsia="zh-CN"/>
        </w:rPr>
        <w:t>报表管理</w:t>
      </w:r>
    </w:p>
    <w:p w14:paraId="6CA41AAF">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11.1</w:t>
      </w:r>
      <w:r>
        <w:rPr>
          <w:rFonts w:hint="eastAsia"/>
          <w:b/>
          <w:bCs/>
          <w:color w:val="auto"/>
          <w:highlight w:val="none"/>
          <w:lang w:val="en-US" w:eastAsia="zh-CN"/>
        </w:rPr>
        <w:t>按月、年</w:t>
      </w:r>
      <w:r>
        <w:rPr>
          <w:rFonts w:hint="eastAsia" w:ascii="宋体"/>
          <w:color w:val="auto"/>
          <w:highlight w:val="none"/>
          <w:lang w:val="en-US" w:eastAsia="zh"/>
        </w:rPr>
        <w:t>自动统计流标率，生成流标率报告</w:t>
      </w:r>
      <w:r>
        <w:rPr>
          <w:rFonts w:hint="eastAsia"/>
          <w:color w:val="auto"/>
          <w:highlight w:val="none"/>
          <w:lang w:val="en-US" w:eastAsia="zh-CN"/>
        </w:rPr>
        <w:t>，可导出为PDF文件或者EXCEL表格</w:t>
      </w:r>
      <w:r>
        <w:rPr>
          <w:rFonts w:hint="eastAsia" w:ascii="宋体"/>
          <w:color w:val="auto"/>
          <w:highlight w:val="none"/>
          <w:lang w:val="en-US" w:eastAsia="zh-CN"/>
        </w:rPr>
        <w:t>；</w:t>
      </w:r>
    </w:p>
    <w:p w14:paraId="321F822C">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11.2</w:t>
      </w:r>
      <w:r>
        <w:rPr>
          <w:rFonts w:hint="eastAsia"/>
          <w:b/>
          <w:bCs/>
          <w:color w:val="auto"/>
          <w:highlight w:val="none"/>
          <w:lang w:val="en-US" w:eastAsia="zh-CN"/>
        </w:rPr>
        <w:t>按月、年</w:t>
      </w:r>
      <w:r>
        <w:rPr>
          <w:rFonts w:hint="eastAsia" w:ascii="宋体"/>
          <w:color w:val="auto"/>
          <w:highlight w:val="none"/>
          <w:lang w:val="en-US" w:eastAsia="zh"/>
        </w:rPr>
        <w:t>自动汇采购总结果异议数据，生成月度、年度报告</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0A7C7043">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11.3</w:t>
      </w:r>
      <w:r>
        <w:rPr>
          <w:rFonts w:hint="eastAsia"/>
          <w:b/>
          <w:bCs/>
          <w:color w:val="auto"/>
          <w:highlight w:val="none"/>
          <w:lang w:val="en-US" w:eastAsia="zh-CN"/>
        </w:rPr>
        <w:t>按月、年</w:t>
      </w:r>
      <w:r>
        <w:rPr>
          <w:rFonts w:hint="eastAsia" w:ascii="宋体"/>
          <w:color w:val="auto"/>
          <w:highlight w:val="none"/>
          <w:lang w:val="en-US" w:eastAsia="zh"/>
        </w:rPr>
        <w:t>自动生成供应商参与报价、成交数量、成交金额分析报告</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42855DF9">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11.4</w:t>
      </w:r>
      <w:r>
        <w:rPr>
          <w:rFonts w:hint="eastAsia"/>
          <w:b/>
          <w:bCs/>
          <w:color w:val="auto"/>
          <w:highlight w:val="none"/>
          <w:lang w:val="en-US" w:eastAsia="zh-CN"/>
        </w:rPr>
        <w:t>按月、年</w:t>
      </w:r>
      <w:r>
        <w:rPr>
          <w:rFonts w:hint="eastAsia" w:ascii="宋体"/>
          <w:color w:val="auto"/>
          <w:highlight w:val="none"/>
          <w:lang w:val="en-US" w:eastAsia="zh"/>
        </w:rPr>
        <w:t>自动生成合同履行台账，显示合同执行率、付款率、是否到期、是否完毕、是否完成供应商评价，是否异常等信息</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D32E286">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11.5</w:t>
      </w:r>
      <w:r>
        <w:rPr>
          <w:rFonts w:hint="eastAsia"/>
          <w:b/>
          <w:bCs/>
          <w:color w:val="auto"/>
          <w:highlight w:val="none"/>
          <w:lang w:val="en-US" w:eastAsia="zh-CN"/>
        </w:rPr>
        <w:t>按月、年</w:t>
      </w:r>
      <w:r>
        <w:rPr>
          <w:rFonts w:hint="eastAsia" w:ascii="宋体"/>
          <w:color w:val="auto"/>
          <w:highlight w:val="none"/>
          <w:lang w:val="en-US" w:eastAsia="zh"/>
        </w:rPr>
        <w:t>形成订单报表</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109E3EE3">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11.6</w:t>
      </w:r>
      <w:r>
        <w:rPr>
          <w:rFonts w:hint="eastAsia"/>
          <w:b/>
          <w:bCs/>
          <w:color w:val="auto"/>
          <w:highlight w:val="none"/>
          <w:lang w:val="en-US" w:eastAsia="zh-CN"/>
        </w:rPr>
        <w:t>按月、年</w:t>
      </w:r>
      <w:r>
        <w:rPr>
          <w:rFonts w:hint="eastAsia" w:ascii="宋体"/>
          <w:color w:val="auto"/>
          <w:highlight w:val="none"/>
          <w:lang w:val="en-US" w:eastAsia="zh"/>
        </w:rPr>
        <w:t>生成到货台账</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B36ED97">
      <w:pPr>
        <w:pStyle w:val="6"/>
        <w:numPr>
          <w:ilvl w:val="0"/>
          <w:numId w:val="0"/>
        </w:numPr>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11.7</w:t>
      </w:r>
      <w:r>
        <w:rPr>
          <w:rFonts w:hint="eastAsia"/>
          <w:b/>
          <w:bCs/>
          <w:color w:val="auto"/>
          <w:highlight w:val="none"/>
          <w:lang w:val="en-US" w:eastAsia="zh-CN"/>
        </w:rPr>
        <w:t>按月、年</w:t>
      </w:r>
      <w:r>
        <w:rPr>
          <w:rFonts w:hint="eastAsia" w:ascii="宋体"/>
          <w:color w:val="auto"/>
          <w:highlight w:val="none"/>
          <w:lang w:val="en-US" w:eastAsia="zh"/>
        </w:rPr>
        <w:t>生成验收台账（含服务类的项目）</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CC2142E">
      <w:pPr>
        <w:pStyle w:val="6"/>
        <w:numPr>
          <w:ilvl w:val="0"/>
          <w:numId w:val="0"/>
        </w:numPr>
        <w:ind w:firstLine="480" w:firstLineChars="200"/>
        <w:rPr>
          <w:rFonts w:hint="default"/>
          <w:b/>
          <w:bCs/>
          <w:color w:val="auto"/>
          <w:highlight w:val="none"/>
          <w:lang w:val="en-US" w:eastAsia="zh-CN"/>
        </w:rPr>
      </w:pPr>
      <w:r>
        <w:rPr>
          <w:rFonts w:hint="eastAsia" w:ascii="宋体" w:eastAsia="宋体"/>
          <w:color w:val="auto"/>
          <w:highlight w:val="none"/>
          <w:lang w:val="en-US" w:eastAsia="zh-CN"/>
        </w:rPr>
        <w:t>11.8</w:t>
      </w:r>
      <w:r>
        <w:rPr>
          <w:rFonts w:hint="eastAsia"/>
          <w:b/>
          <w:bCs/>
          <w:color w:val="auto"/>
          <w:highlight w:val="none"/>
          <w:lang w:val="en-US" w:eastAsia="zh-CN"/>
        </w:rPr>
        <w:t>按月、年</w:t>
      </w:r>
      <w:r>
        <w:rPr>
          <w:rFonts w:hint="eastAsia" w:ascii="宋体"/>
          <w:color w:val="auto"/>
          <w:highlight w:val="none"/>
          <w:lang w:val="en-US" w:eastAsia="zh"/>
        </w:rPr>
        <w:t>生成</w:t>
      </w:r>
      <w:r>
        <w:rPr>
          <w:rFonts w:hint="eastAsia" w:ascii="宋体" w:eastAsia="宋体"/>
          <w:color w:val="auto"/>
          <w:highlight w:val="none"/>
          <w:lang w:val="en-US" w:eastAsia="zh-CN"/>
        </w:rPr>
        <w:t>采购项目</w:t>
      </w:r>
      <w:r>
        <w:rPr>
          <w:rFonts w:hint="eastAsia" w:eastAsia="宋体"/>
          <w:color w:val="auto"/>
          <w:highlight w:val="none"/>
          <w:lang w:val="en-US" w:eastAsia="zh-CN"/>
        </w:rPr>
        <w:t>可视化</w:t>
      </w:r>
      <w:r>
        <w:rPr>
          <w:rFonts w:hint="eastAsia" w:ascii="宋体" w:eastAsia="宋体"/>
          <w:color w:val="auto"/>
          <w:highlight w:val="none"/>
          <w:lang w:val="en-US" w:eastAsia="zh-CN"/>
        </w:rPr>
        <w:t>进度一览表</w:t>
      </w:r>
      <w:r>
        <w:rPr>
          <w:rFonts w:hint="eastAsia" w:eastAsia="宋体"/>
          <w:color w:val="auto"/>
          <w:highlight w:val="none"/>
          <w:lang w:val="en-US" w:eastAsia="zh-CN"/>
        </w:rPr>
        <w:t>（按格式配置，包含整个采购环节数据）</w:t>
      </w:r>
      <w:r>
        <w:rPr>
          <w:rFonts w:hint="eastAsia" w:ascii="宋体" w:eastAsia="宋体"/>
          <w:color w:val="auto"/>
          <w:highlight w:val="none"/>
          <w:lang w:val="en-US" w:eastAsia="zh-CN"/>
        </w:rPr>
        <w:t>，实时动态更新数据；</w:t>
      </w:r>
      <w:r>
        <w:rPr>
          <w:rFonts w:hint="eastAsia" w:eastAsia="宋体"/>
          <w:color w:val="auto"/>
          <w:highlight w:val="none"/>
          <w:lang w:val="en-US" w:eastAsia="zh-CN"/>
        </w:rPr>
        <w:t>自动统计各项数据，</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3C954529">
      <w:pPr>
        <w:pStyle w:val="6"/>
        <w:numPr>
          <w:ilvl w:val="0"/>
          <w:numId w:val="0"/>
        </w:numPr>
        <w:ind w:firstLine="482" w:firstLineChars="200"/>
        <w:rPr>
          <w:rFonts w:hint="default"/>
          <w:b/>
          <w:bCs/>
          <w:color w:val="auto"/>
          <w:highlight w:val="none"/>
          <w:lang w:val="en-US" w:eastAsia="zh-CN"/>
        </w:rPr>
      </w:pPr>
      <w:r>
        <w:rPr>
          <w:rFonts w:hint="eastAsia"/>
          <w:b/>
          <w:bCs/>
          <w:color w:val="auto"/>
          <w:highlight w:val="none"/>
          <w:lang w:val="en-US" w:eastAsia="zh-CN"/>
        </w:rPr>
        <w:t>11.9按月、年自动生成各采购项目具体经办人工作完成情况分析表，主要体现工作量、工作时效性等内容，</w:t>
      </w:r>
      <w:r>
        <w:rPr>
          <w:rFonts w:hint="eastAsia"/>
          <w:color w:val="auto"/>
          <w:highlight w:val="none"/>
          <w:lang w:val="en-US" w:eastAsia="zh-CN"/>
        </w:rPr>
        <w:t>可导出为PDF文件或者EXCEL表格</w:t>
      </w:r>
      <w:r>
        <w:rPr>
          <w:rFonts w:hint="eastAsia" w:ascii="宋体"/>
          <w:color w:val="auto"/>
          <w:highlight w:val="none"/>
          <w:lang w:val="en-US" w:eastAsia="zh"/>
        </w:rPr>
        <w:t>；</w:t>
      </w:r>
    </w:p>
    <w:p w14:paraId="77A04CE9">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11.10支持自定义报表格式，根据各个需求自行配置报表，获取数据，</w:t>
      </w:r>
      <w:r>
        <w:rPr>
          <w:rFonts w:hint="eastAsia"/>
          <w:color w:val="auto"/>
          <w:highlight w:val="none"/>
          <w:lang w:val="en-US" w:eastAsia="zh-CN"/>
        </w:rPr>
        <w:t>可导出为PDF文件或者EXCEL表格。</w:t>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highlight w:val="none"/>
          <w:lang w:val="en-US" w:eastAsia="zh-CN"/>
        </w:rPr>
        <w:t>二、合同期限</w:t>
      </w:r>
      <w:r>
        <w:rPr>
          <w:rFonts w:hint="eastAsia"/>
          <w:color w:val="auto"/>
          <w:highlight w:val="none"/>
          <w:lang w:val="en-US" w:eastAsia="zh-CN"/>
        </w:rPr>
        <w:t>：自合同签订后6个月内完成系统交付，经采购人验收合格后，本合同自动终止；</w:t>
      </w:r>
    </w:p>
    <w:p w14:paraId="54DDBB20">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
        </w:rPr>
        <w:t>三、</w:t>
      </w:r>
      <w:r>
        <w:rPr>
          <w:rFonts w:hint="eastAsia" w:ascii="宋体"/>
          <w:b/>
          <w:bCs/>
          <w:color w:val="auto"/>
          <w:highlight w:val="none"/>
          <w:lang w:val="en-US" w:eastAsia="zh-CN"/>
        </w:rPr>
        <w:t>项目实施</w:t>
      </w:r>
    </w:p>
    <w:p w14:paraId="7C544334">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（一）</w:t>
      </w:r>
      <w:r>
        <w:rPr>
          <w:rFonts w:hint="eastAsia"/>
          <w:color w:val="auto"/>
          <w:highlight w:val="none"/>
          <w:lang w:val="en-US" w:eastAsia="zh-CN"/>
        </w:rPr>
        <w:t>进度安排</w:t>
      </w:r>
    </w:p>
    <w:p w14:paraId="51F21BE2">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供应商</w:t>
      </w:r>
      <w:r>
        <w:rPr>
          <w:rFonts w:hint="eastAsia" w:ascii="宋体"/>
          <w:color w:val="auto"/>
          <w:highlight w:val="none"/>
          <w:lang w:val="en-US" w:eastAsia="zh"/>
        </w:rPr>
        <w:t>应按照</w:t>
      </w:r>
      <w:r>
        <w:rPr>
          <w:rFonts w:hint="eastAsia" w:ascii="宋体"/>
          <w:color w:val="auto"/>
          <w:highlight w:val="none"/>
          <w:lang w:val="en-US" w:eastAsia="zh-CN"/>
        </w:rPr>
        <w:t>采购人</w:t>
      </w:r>
      <w:r>
        <w:rPr>
          <w:rFonts w:hint="eastAsia" w:ascii="宋体"/>
          <w:color w:val="auto"/>
          <w:highlight w:val="none"/>
          <w:lang w:val="en-US" w:eastAsia="zh"/>
        </w:rPr>
        <w:t>的要求，统一规划、分步实施。本项目建设总周期为</w:t>
      </w:r>
      <w:r>
        <w:rPr>
          <w:rFonts w:hint="eastAsia" w:ascii="宋体"/>
          <w:color w:val="auto"/>
          <w:highlight w:val="none"/>
          <w:lang w:val="en-US" w:eastAsia="zh-CN"/>
        </w:rPr>
        <w:t>自</w:t>
      </w:r>
      <w:r>
        <w:rPr>
          <w:rFonts w:hint="eastAsia" w:ascii="宋体"/>
          <w:color w:val="auto"/>
          <w:highlight w:val="none"/>
          <w:lang w:val="en-US" w:eastAsia="zh"/>
        </w:rPr>
        <w:t>合同签订之日起</w:t>
      </w:r>
      <w:r>
        <w:rPr>
          <w:rFonts w:hint="eastAsia" w:ascii="宋体"/>
          <w:color w:val="auto"/>
          <w:highlight w:val="none"/>
          <w:lang w:val="en-US" w:eastAsia="zh-CN"/>
        </w:rPr>
        <w:t>6</w:t>
      </w:r>
      <w:r>
        <w:rPr>
          <w:rFonts w:hint="eastAsia" w:ascii="宋体"/>
          <w:color w:val="auto"/>
          <w:highlight w:val="none"/>
          <w:lang w:val="en-US" w:eastAsia="zh"/>
        </w:rPr>
        <w:t>个月，具体进度要求如下：</w:t>
      </w:r>
    </w:p>
    <w:p w14:paraId="76E1F2E8">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1.</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供应商</w:t>
      </w:r>
      <w:r>
        <w:rPr>
          <w:rFonts w:hint="eastAsia" w:ascii="宋体"/>
          <w:color w:val="auto"/>
          <w:highlight w:val="none"/>
          <w:lang w:val="en-US" w:eastAsia="zh"/>
        </w:rPr>
        <w:t>应于20日内完成需求深化调研，</w:t>
      </w:r>
      <w:r>
        <w:rPr>
          <w:rFonts w:hint="eastAsia"/>
          <w:color w:val="auto"/>
          <w:highlight w:val="none"/>
          <w:lang w:val="en-US" w:eastAsia="zh-CN"/>
        </w:rPr>
        <w:t>供应商</w:t>
      </w:r>
      <w:r>
        <w:rPr>
          <w:rFonts w:hint="eastAsia" w:ascii="宋体"/>
          <w:color w:val="auto"/>
          <w:highlight w:val="none"/>
          <w:lang w:val="en-US" w:eastAsia="zh-CN"/>
        </w:rPr>
        <w:t>进一步细化要求</w:t>
      </w:r>
      <w:r>
        <w:rPr>
          <w:rFonts w:hint="eastAsia"/>
          <w:color w:val="auto"/>
          <w:highlight w:val="none"/>
          <w:lang w:val="en-US" w:eastAsia="zh-CN"/>
        </w:rPr>
        <w:t>并制定详细实施方案，在不改变实际功能的情况，允许供应商做出调整和优化</w:t>
      </w:r>
      <w:r>
        <w:rPr>
          <w:rFonts w:hint="eastAsia" w:ascii="宋体"/>
          <w:color w:val="auto"/>
          <w:highlight w:val="none"/>
          <w:lang w:val="en-US" w:eastAsia="zh"/>
        </w:rPr>
        <w:t>，经</w:t>
      </w:r>
      <w:r>
        <w:rPr>
          <w:rFonts w:hint="eastAsia" w:ascii="宋体"/>
          <w:color w:val="auto"/>
          <w:highlight w:val="none"/>
          <w:lang w:val="en-US" w:eastAsia="zh-CN"/>
        </w:rPr>
        <w:t>采购人</w:t>
      </w:r>
      <w:r>
        <w:rPr>
          <w:rFonts w:hint="eastAsia" w:ascii="宋体"/>
          <w:color w:val="auto"/>
          <w:highlight w:val="none"/>
          <w:lang w:val="en-US" w:eastAsia="zh"/>
        </w:rPr>
        <w:t>确认</w:t>
      </w:r>
      <w:r>
        <w:rPr>
          <w:rFonts w:hint="eastAsia" w:ascii="宋体"/>
          <w:color w:val="auto"/>
          <w:highlight w:val="none"/>
          <w:lang w:val="en-US" w:eastAsia="zh-CN"/>
        </w:rPr>
        <w:t>后实施</w:t>
      </w:r>
      <w:r>
        <w:rPr>
          <w:rFonts w:hint="eastAsia"/>
          <w:color w:val="auto"/>
          <w:highlight w:val="none"/>
          <w:lang w:val="en-US" w:eastAsia="zh-CN"/>
        </w:rPr>
        <w:t>，最终以确认后的实施方案为准</w:t>
      </w:r>
      <w:r>
        <w:rPr>
          <w:rFonts w:hint="eastAsia" w:ascii="宋体"/>
          <w:color w:val="auto"/>
          <w:highlight w:val="none"/>
          <w:lang w:val="en-US" w:eastAsia="zh"/>
        </w:rPr>
        <w:t>。开发环境和场地由</w:t>
      </w:r>
      <w:r>
        <w:rPr>
          <w:rFonts w:hint="eastAsia" w:ascii="宋体"/>
          <w:color w:val="auto"/>
          <w:highlight w:val="none"/>
          <w:lang w:val="en-US" w:eastAsia="zh-CN"/>
        </w:rPr>
        <w:t>供应商</w:t>
      </w:r>
      <w:r>
        <w:rPr>
          <w:rFonts w:hint="eastAsia" w:ascii="宋体"/>
          <w:color w:val="auto"/>
          <w:highlight w:val="none"/>
          <w:lang w:val="en-US" w:eastAsia="zh"/>
        </w:rPr>
        <w:t>自</w:t>
      </w:r>
      <w:r>
        <w:rPr>
          <w:rFonts w:hint="eastAsia" w:ascii="宋体"/>
          <w:color w:val="auto"/>
          <w:highlight w:val="none"/>
          <w:lang w:val="en-US" w:eastAsia="zh-CN"/>
        </w:rPr>
        <w:t>行解决</w:t>
      </w:r>
      <w:r>
        <w:rPr>
          <w:rFonts w:hint="eastAsia" w:ascii="宋体"/>
          <w:color w:val="auto"/>
          <w:highlight w:val="none"/>
          <w:lang w:val="en-US" w:eastAsia="zh"/>
        </w:rPr>
        <w:t>。</w:t>
      </w:r>
    </w:p>
    <w:p w14:paraId="44AE26CE">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2.在</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3</w:t>
      </w:r>
      <w:r>
        <w:rPr>
          <w:rFonts w:hint="eastAsia" w:ascii="宋体"/>
          <w:color w:val="auto"/>
          <w:highlight w:val="none"/>
          <w:lang w:val="en-US" w:eastAsia="zh"/>
        </w:rPr>
        <w:t>个月</w:t>
      </w:r>
      <w:r>
        <w:rPr>
          <w:rFonts w:hint="eastAsia" w:ascii="宋体"/>
          <w:color w:val="auto"/>
          <w:highlight w:val="none"/>
          <w:lang w:val="en-US" w:eastAsia="zh-CN"/>
        </w:rPr>
        <w:t>内完成</w:t>
      </w:r>
      <w:r>
        <w:rPr>
          <w:rFonts w:hint="eastAsia" w:ascii="宋体"/>
          <w:color w:val="auto"/>
          <w:highlight w:val="none"/>
          <w:lang w:val="en-US" w:eastAsia="zh"/>
        </w:rPr>
        <w:t>系统</w:t>
      </w:r>
      <w:r>
        <w:rPr>
          <w:rFonts w:hint="eastAsia" w:ascii="宋体"/>
          <w:color w:val="auto"/>
          <w:highlight w:val="none"/>
          <w:lang w:val="en-US" w:eastAsia="zh-CN"/>
        </w:rPr>
        <w:t>全部</w:t>
      </w:r>
      <w:r>
        <w:rPr>
          <w:rFonts w:hint="eastAsia" w:ascii="宋体"/>
          <w:color w:val="auto"/>
          <w:highlight w:val="none"/>
          <w:lang w:val="en-US" w:eastAsia="zh"/>
        </w:rPr>
        <w:t>功能开发，</w:t>
      </w:r>
      <w:r>
        <w:rPr>
          <w:rFonts w:hint="eastAsia" w:ascii="宋体"/>
          <w:color w:val="auto"/>
          <w:highlight w:val="none"/>
          <w:lang w:val="en-US" w:eastAsia="zh-CN"/>
        </w:rPr>
        <w:t>经供应商申请，采购人同意后进入3个月</w:t>
      </w:r>
      <w:r>
        <w:rPr>
          <w:rFonts w:hint="eastAsia" w:ascii="宋体"/>
          <w:color w:val="auto"/>
          <w:highlight w:val="none"/>
          <w:lang w:val="en-US" w:eastAsia="zh"/>
        </w:rPr>
        <w:t>试运行</w:t>
      </w:r>
      <w:r>
        <w:rPr>
          <w:rFonts w:hint="eastAsia" w:ascii="宋体"/>
          <w:color w:val="auto"/>
          <w:highlight w:val="none"/>
          <w:lang w:val="en-US" w:eastAsia="zh-CN"/>
        </w:rPr>
        <w:t>期。自本项目试运行开始至验收合格之日，</w:t>
      </w:r>
      <w:r>
        <w:rPr>
          <w:rFonts w:hint="eastAsia"/>
          <w:color w:val="auto"/>
          <w:highlight w:val="none"/>
          <w:lang w:val="en-US" w:eastAsia="zh-CN"/>
        </w:rPr>
        <w:t>每天安排1名技术服务人员与采购人对接</w:t>
      </w:r>
      <w:r>
        <w:rPr>
          <w:rFonts w:hint="eastAsia" w:ascii="宋体"/>
          <w:color w:val="auto"/>
          <w:highlight w:val="none"/>
          <w:lang w:val="en-US" w:eastAsia="zh-CN"/>
        </w:rPr>
        <w:t>，供应商</w:t>
      </w:r>
      <w:r>
        <w:rPr>
          <w:rFonts w:hint="eastAsia"/>
          <w:color w:val="auto"/>
          <w:highlight w:val="none"/>
          <w:lang w:val="en-US" w:eastAsia="zh-CN"/>
        </w:rPr>
        <w:t>按需</w:t>
      </w:r>
      <w:r>
        <w:rPr>
          <w:rFonts w:hint="eastAsia" w:ascii="宋体"/>
          <w:color w:val="auto"/>
          <w:highlight w:val="none"/>
          <w:lang w:val="en-US" w:eastAsia="zh-CN"/>
        </w:rPr>
        <w:t>提供驻场服务支持，及时解决系统运行过程存在的问题。</w:t>
      </w:r>
    </w:p>
    <w:p w14:paraId="4A163DC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（二）</w:t>
      </w:r>
      <w:r>
        <w:rPr>
          <w:rFonts w:hint="eastAsia"/>
          <w:color w:val="auto"/>
          <w:highlight w:val="none"/>
          <w:lang w:val="en-US" w:eastAsia="zh-CN"/>
        </w:rPr>
        <w:t>免费</w:t>
      </w:r>
      <w:r>
        <w:rPr>
          <w:rFonts w:hint="eastAsia" w:ascii="宋体"/>
          <w:color w:val="auto"/>
          <w:highlight w:val="none"/>
          <w:lang w:val="en-US" w:eastAsia="zh"/>
        </w:rPr>
        <w:t>维期服务内容及响应</w:t>
      </w:r>
    </w:p>
    <w:p w14:paraId="1098D474">
      <w:pPr>
        <w:pStyle w:val="6"/>
        <w:numPr>
          <w:ilvl w:val="0"/>
          <w:numId w:val="0"/>
        </w:numPr>
        <w:ind w:firstLine="480" w:firstLineChars="200"/>
        <w:rPr>
          <w:rFonts w:hint="default" w:ascii="宋体" w:eastAsiaTheme="minorEastAsia"/>
          <w:b/>
          <w:bCs/>
          <w:color w:val="auto"/>
          <w:highlight w:val="none"/>
          <w:u w:val="single"/>
          <w:lang w:val="en-US" w:eastAsia="zh-CN"/>
        </w:rPr>
      </w:pPr>
      <w:r>
        <w:rPr>
          <w:rFonts w:hint="eastAsia" w:ascii="宋体"/>
          <w:color w:val="auto"/>
          <w:highlight w:val="none"/>
          <w:lang w:val="en-US" w:eastAsia="zh"/>
        </w:rPr>
        <w:t>1.</w:t>
      </w:r>
      <w:r>
        <w:rPr>
          <w:rFonts w:hint="eastAsia"/>
          <w:color w:val="auto"/>
          <w:highlight w:val="none"/>
          <w:lang w:val="en-US" w:eastAsia="zh-CN"/>
        </w:rPr>
        <w:t>免费运维</w:t>
      </w:r>
      <w:r>
        <w:rPr>
          <w:rFonts w:hint="eastAsia" w:ascii="宋体"/>
          <w:color w:val="auto"/>
          <w:highlight w:val="none"/>
          <w:lang w:val="en-US" w:eastAsia="zh"/>
        </w:rPr>
        <w:t>服务期：</w:t>
      </w:r>
      <w:r>
        <w:rPr>
          <w:rFonts w:hint="eastAsia" w:ascii="宋体"/>
          <w:color w:val="auto"/>
          <w:highlight w:val="none"/>
          <w:lang w:val="en-US" w:eastAsia="zh-CN"/>
        </w:rPr>
        <w:t>自</w:t>
      </w:r>
      <w:r>
        <w:rPr>
          <w:rFonts w:hint="eastAsia" w:ascii="宋体"/>
          <w:color w:val="auto"/>
          <w:highlight w:val="none"/>
          <w:lang w:val="en-US" w:eastAsia="zh"/>
        </w:rPr>
        <w:t>项目验收</w:t>
      </w:r>
      <w:r>
        <w:rPr>
          <w:rFonts w:hint="eastAsia" w:ascii="宋体"/>
          <w:color w:val="auto"/>
          <w:highlight w:val="none"/>
          <w:lang w:val="en-US" w:eastAsia="zh-CN"/>
        </w:rPr>
        <w:t>合格之日起</w:t>
      </w:r>
      <w:r>
        <w:rPr>
          <w:rFonts w:hint="eastAsia" w:ascii="宋体"/>
          <w:color w:val="auto"/>
          <w:highlight w:val="none"/>
          <w:lang w:val="en-US" w:eastAsia="zh"/>
        </w:rPr>
        <w:t>1年</w:t>
      </w:r>
      <w:r>
        <w:rPr>
          <w:rFonts w:hint="eastAsia"/>
          <w:color w:val="auto"/>
          <w:highlight w:val="none"/>
          <w:lang w:val="en-US" w:eastAsia="zh-CN"/>
        </w:rPr>
        <w:t>免费</w:t>
      </w:r>
      <w:r>
        <w:rPr>
          <w:rFonts w:hint="eastAsia" w:ascii="宋体"/>
          <w:color w:val="auto"/>
          <w:highlight w:val="none"/>
          <w:lang w:val="en-US" w:eastAsia="zh"/>
        </w:rPr>
        <w:t>运维服务。服务的内容涵盖：</w:t>
      </w:r>
      <w:r>
        <w:rPr>
          <w:rFonts w:hint="eastAsia" w:ascii="宋体"/>
          <w:color w:val="auto"/>
          <w:highlight w:val="none"/>
          <w:lang w:val="en-US" w:eastAsia="zh-CN"/>
        </w:rPr>
        <w:t>软硬件</w:t>
      </w:r>
      <w:r>
        <w:rPr>
          <w:rFonts w:hint="eastAsia" w:ascii="宋体"/>
          <w:color w:val="auto"/>
          <w:highlight w:val="none"/>
          <w:lang w:val="en-US" w:eastAsia="zh"/>
        </w:rPr>
        <w:t>系统维护、</w:t>
      </w:r>
      <w:r>
        <w:rPr>
          <w:rFonts w:hint="eastAsia" w:ascii="宋体"/>
          <w:color w:val="auto"/>
          <w:highlight w:val="none"/>
          <w:lang w:val="en-US" w:eastAsia="zh-CN"/>
        </w:rPr>
        <w:t>BUG修复、</w:t>
      </w:r>
      <w:r>
        <w:rPr>
          <w:rFonts w:hint="eastAsia" w:ascii="宋体"/>
          <w:color w:val="auto"/>
          <w:highlight w:val="none"/>
          <w:lang w:val="en-US" w:eastAsia="zh"/>
        </w:rPr>
        <w:t>流程优化、</w:t>
      </w:r>
      <w:r>
        <w:rPr>
          <w:rFonts w:hint="eastAsia"/>
          <w:color w:val="auto"/>
          <w:highlight w:val="none"/>
          <w:lang w:val="en-US" w:eastAsia="zh-CN"/>
        </w:rPr>
        <w:t>统计表格更新、</w:t>
      </w:r>
      <w:r>
        <w:rPr>
          <w:rFonts w:hint="eastAsia" w:ascii="宋体"/>
          <w:color w:val="auto"/>
          <w:highlight w:val="none"/>
          <w:lang w:val="en-US" w:eastAsia="zh"/>
        </w:rPr>
        <w:t>系统安全、问题响应、故障解决、</w:t>
      </w:r>
      <w:r>
        <w:rPr>
          <w:rFonts w:hint="eastAsia" w:ascii="宋体"/>
          <w:color w:val="auto"/>
          <w:highlight w:val="none"/>
          <w:lang w:val="en-US" w:eastAsia="zh-CN"/>
        </w:rPr>
        <w:t>定期</w:t>
      </w:r>
      <w:r>
        <w:rPr>
          <w:rFonts w:hint="eastAsia" w:ascii="宋体"/>
          <w:color w:val="auto"/>
          <w:highlight w:val="none"/>
          <w:lang w:val="en-US" w:eastAsia="zh"/>
        </w:rPr>
        <w:t>巡检、数据处理等运维服务</w:t>
      </w:r>
      <w:r>
        <w:rPr>
          <w:rFonts w:hint="eastAsia" w:ascii="宋体"/>
          <w:color w:val="auto"/>
          <w:highlight w:val="none"/>
          <w:lang w:val="en-US" w:eastAsia="zh-CN"/>
        </w:rPr>
        <w:t>，确保系统稳定运行</w:t>
      </w:r>
      <w:r>
        <w:rPr>
          <w:rFonts w:hint="eastAsia" w:ascii="宋体"/>
          <w:color w:val="auto"/>
          <w:highlight w:val="none"/>
          <w:lang w:val="en-US" w:eastAsia="zh"/>
        </w:rPr>
        <w:t>。</w:t>
      </w:r>
      <w:r>
        <w:rPr>
          <w:rFonts w:hint="eastAsia"/>
          <w:b/>
          <w:bCs/>
          <w:color w:val="auto"/>
          <w:highlight w:val="none"/>
          <w:u w:val="single"/>
          <w:lang w:val="en-US" w:eastAsia="zh-CN"/>
        </w:rPr>
        <w:t>免费运维</w:t>
      </w:r>
      <w:r>
        <w:rPr>
          <w:rFonts w:hint="eastAsia" w:ascii="宋体"/>
          <w:b/>
          <w:bCs/>
          <w:color w:val="auto"/>
          <w:highlight w:val="none"/>
          <w:u w:val="single"/>
          <w:lang w:val="en-US" w:eastAsia="zh"/>
        </w:rPr>
        <w:t>服务期</w:t>
      </w:r>
      <w:r>
        <w:rPr>
          <w:rFonts w:hint="eastAsia" w:ascii="宋体"/>
          <w:b/>
          <w:bCs/>
          <w:color w:val="auto"/>
          <w:highlight w:val="none"/>
          <w:u w:val="single"/>
          <w:lang w:val="en-US" w:eastAsia="zh-CN"/>
        </w:rPr>
        <w:t>到期后，双方按照约定的运维费计价方式另行签订运维服务合同，</w:t>
      </w:r>
      <w:r>
        <w:rPr>
          <w:rFonts w:hint="eastAsia"/>
          <w:b/>
          <w:bCs/>
          <w:color w:val="auto"/>
          <w:highlight w:val="none"/>
          <w:u w:val="single"/>
          <w:lang w:val="en-US" w:eastAsia="zh-CN"/>
        </w:rPr>
        <w:t>暂定付费运维服务期限10年，</w:t>
      </w:r>
      <w:r>
        <w:rPr>
          <w:rFonts w:hint="eastAsia" w:ascii="宋体"/>
          <w:b/>
          <w:bCs/>
          <w:color w:val="auto"/>
          <w:highlight w:val="none"/>
          <w:u w:val="single"/>
          <w:lang w:val="en-US" w:eastAsia="zh-CN"/>
        </w:rPr>
        <w:t>合同一年一签</w:t>
      </w:r>
      <w:r>
        <w:rPr>
          <w:rFonts w:hint="eastAsia"/>
          <w:b/>
          <w:bCs/>
          <w:color w:val="auto"/>
          <w:highlight w:val="none"/>
          <w:u w:val="single"/>
          <w:lang w:val="en-US" w:eastAsia="zh-CN"/>
        </w:rPr>
        <w:t>，不涉及本系统内容二次开发，但统计表格配置除外</w:t>
      </w:r>
      <w:r>
        <w:rPr>
          <w:rFonts w:hint="eastAsia" w:ascii="宋体"/>
          <w:b/>
          <w:bCs/>
          <w:color w:val="auto"/>
          <w:highlight w:val="none"/>
          <w:u w:val="single"/>
          <w:lang w:val="en-US" w:eastAsia="zh-CN"/>
        </w:rPr>
        <w:t>。</w:t>
      </w:r>
    </w:p>
    <w:p w14:paraId="341AB45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2.供应商</w:t>
      </w:r>
      <w:r>
        <w:rPr>
          <w:rFonts w:hint="eastAsia" w:ascii="宋体"/>
          <w:color w:val="auto"/>
          <w:highlight w:val="none"/>
          <w:lang w:val="en-US" w:eastAsia="zh"/>
        </w:rPr>
        <w:t>应</w:t>
      </w:r>
      <w:r>
        <w:rPr>
          <w:rFonts w:hint="eastAsia" w:ascii="宋体"/>
          <w:color w:val="auto"/>
          <w:highlight w:val="none"/>
          <w:lang w:val="en-US" w:eastAsia="zh-CN"/>
        </w:rPr>
        <w:t>承诺</w:t>
      </w:r>
      <w:r>
        <w:rPr>
          <w:rFonts w:hint="eastAsia" w:ascii="宋体"/>
          <w:color w:val="auto"/>
          <w:highlight w:val="none"/>
          <w:lang w:val="en-US" w:eastAsia="zh"/>
        </w:rPr>
        <w:t>提供7×24小时技术支持服务，在接到</w:t>
      </w:r>
      <w:r>
        <w:rPr>
          <w:rFonts w:hint="eastAsia" w:ascii="宋体"/>
          <w:color w:val="auto"/>
          <w:highlight w:val="none"/>
          <w:lang w:val="en-US" w:eastAsia="zh-CN"/>
        </w:rPr>
        <w:t>采购人</w:t>
      </w:r>
      <w:r>
        <w:rPr>
          <w:rFonts w:hint="eastAsia" w:ascii="宋体"/>
          <w:color w:val="auto"/>
          <w:highlight w:val="none"/>
          <w:lang w:val="en-US" w:eastAsia="zh"/>
        </w:rPr>
        <w:t>技术支持要求时，应为系统使用人员提供咨询</w:t>
      </w:r>
      <w:r>
        <w:rPr>
          <w:rFonts w:hint="eastAsia" w:ascii="宋体"/>
          <w:color w:val="auto"/>
          <w:highlight w:val="none"/>
          <w:lang w:val="en-US" w:eastAsia="zh-CN"/>
        </w:rPr>
        <w:t>服务和问题处理</w:t>
      </w:r>
      <w:r>
        <w:rPr>
          <w:rFonts w:hint="eastAsia" w:ascii="宋体"/>
          <w:color w:val="auto"/>
          <w:highlight w:val="none"/>
          <w:lang w:val="en-US" w:eastAsia="zh"/>
        </w:rPr>
        <w:t xml:space="preserve">。 </w:t>
      </w:r>
    </w:p>
    <w:p w14:paraId="5C4A1BE0">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w:t>
      </w:r>
      <w:r>
        <w:rPr>
          <w:rFonts w:hint="eastAsia" w:ascii="宋体"/>
          <w:color w:val="auto"/>
          <w:highlight w:val="none"/>
          <w:lang w:val="en-US" w:eastAsia="zh"/>
        </w:rPr>
        <w:t>故障响应</w:t>
      </w:r>
      <w:r>
        <w:rPr>
          <w:rFonts w:hint="eastAsia" w:ascii="宋体"/>
          <w:color w:val="auto"/>
          <w:highlight w:val="none"/>
          <w:lang w:val="en-US" w:eastAsia="zh-CN"/>
        </w:rPr>
        <w:t>：供应商</w:t>
      </w:r>
      <w:r>
        <w:rPr>
          <w:rFonts w:hint="eastAsia" w:ascii="宋体"/>
          <w:color w:val="auto"/>
          <w:highlight w:val="none"/>
          <w:lang w:val="en-US" w:eastAsia="zh"/>
        </w:rPr>
        <w:t>在接到故障报修要求时，</w:t>
      </w:r>
      <w:r>
        <w:rPr>
          <w:rFonts w:hint="eastAsia" w:ascii="宋体"/>
          <w:color w:val="auto"/>
          <w:highlight w:val="none"/>
          <w:lang w:val="en-US" w:eastAsia="zh-CN"/>
        </w:rPr>
        <w:t>承诺</w:t>
      </w:r>
      <w:r>
        <w:rPr>
          <w:rFonts w:hint="eastAsia" w:ascii="宋体"/>
          <w:color w:val="auto"/>
          <w:highlight w:val="none"/>
          <w:lang w:val="en-US" w:eastAsia="zh"/>
        </w:rPr>
        <w:t>1小时内做出明确响应和安排，在2小时内提供维修服务，并做出故障诊断报告。</w:t>
      </w:r>
    </w:p>
    <w:p w14:paraId="1BA14F53">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ascii="宋体"/>
          <w:color w:val="auto"/>
          <w:highlight w:val="none"/>
          <w:lang w:val="en-US" w:eastAsia="zh"/>
        </w:rPr>
        <w:t>.</w:t>
      </w:r>
      <w:r>
        <w:rPr>
          <w:rFonts w:hint="eastAsia" w:ascii="宋体"/>
          <w:color w:val="auto"/>
          <w:highlight w:val="none"/>
          <w:lang w:val="en-US" w:eastAsia="zh-CN"/>
        </w:rPr>
        <w:t>供应商承诺</w:t>
      </w:r>
      <w:r>
        <w:rPr>
          <w:rFonts w:hint="eastAsia" w:ascii="宋体"/>
          <w:color w:val="auto"/>
          <w:highlight w:val="none"/>
          <w:lang w:val="en-US" w:eastAsia="zh"/>
        </w:rPr>
        <w:t>安排经验丰富的培训人员，为系统使用人员提供系统配置、开发、安装、使用和维护等方面的培训。</w:t>
      </w:r>
    </w:p>
    <w:p w14:paraId="18D66641">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5</w:t>
      </w:r>
      <w:r>
        <w:rPr>
          <w:rFonts w:hint="eastAsia" w:ascii="宋体"/>
          <w:color w:val="auto"/>
          <w:highlight w:val="none"/>
          <w:lang w:val="en-US" w:eastAsia="zh"/>
        </w:rPr>
        <w:t>.</w:t>
      </w:r>
      <w:r>
        <w:rPr>
          <w:rFonts w:hint="eastAsia" w:ascii="宋体"/>
          <w:color w:val="auto"/>
          <w:highlight w:val="none"/>
          <w:lang w:val="en-US" w:eastAsia="zh-CN"/>
        </w:rPr>
        <w:t>供应商</w:t>
      </w:r>
      <w:r>
        <w:rPr>
          <w:rFonts w:hint="eastAsia" w:ascii="宋体"/>
          <w:color w:val="auto"/>
          <w:highlight w:val="none"/>
          <w:lang w:val="en-US" w:eastAsia="zh"/>
        </w:rPr>
        <w:t>负责提供培训所需计划和资料、培训教材格式包括视频教材、用户操作手册、培训PPT，培训所使用的语言和教材必须是中文。</w:t>
      </w:r>
    </w:p>
    <w:p w14:paraId="6A73DEFC">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w:t>
      </w:r>
      <w:r>
        <w:rPr>
          <w:rFonts w:hint="eastAsia" w:ascii="宋体"/>
          <w:color w:val="auto"/>
          <w:highlight w:val="none"/>
          <w:lang w:val="en-US" w:eastAsia="zh"/>
        </w:rPr>
        <w:t>.培训的时间、内容、人员、期次等具体内容在</w:t>
      </w:r>
      <w:r>
        <w:rPr>
          <w:rFonts w:hint="eastAsia" w:ascii="宋体"/>
          <w:color w:val="auto"/>
          <w:highlight w:val="none"/>
          <w:lang w:val="en-US" w:eastAsia="zh-CN"/>
        </w:rPr>
        <w:t>项目</w:t>
      </w:r>
      <w:r>
        <w:rPr>
          <w:rFonts w:hint="eastAsia" w:ascii="宋体"/>
          <w:color w:val="auto"/>
          <w:highlight w:val="none"/>
          <w:lang w:val="en-US" w:eastAsia="zh"/>
        </w:rPr>
        <w:t>执行过程中需根据</w:t>
      </w:r>
      <w:r>
        <w:rPr>
          <w:rFonts w:hint="eastAsia" w:ascii="宋体"/>
          <w:color w:val="auto"/>
          <w:highlight w:val="none"/>
          <w:lang w:val="en-US" w:eastAsia="zh-CN"/>
        </w:rPr>
        <w:t>采购人</w:t>
      </w:r>
      <w:r>
        <w:rPr>
          <w:rFonts w:hint="eastAsia" w:ascii="宋体"/>
          <w:color w:val="auto"/>
          <w:highlight w:val="none"/>
          <w:lang w:val="en-US" w:eastAsia="zh"/>
        </w:rPr>
        <w:t>意见进行调整。培训时间包括在项目上线运行前以及项目运行期间按照</w:t>
      </w:r>
      <w:r>
        <w:rPr>
          <w:rFonts w:hint="eastAsia" w:ascii="宋体"/>
          <w:color w:val="auto"/>
          <w:highlight w:val="none"/>
          <w:lang w:val="en-US" w:eastAsia="zh-CN"/>
        </w:rPr>
        <w:t>采购人</w:t>
      </w:r>
      <w:r>
        <w:rPr>
          <w:rFonts w:hint="eastAsia" w:ascii="宋体"/>
          <w:color w:val="auto"/>
          <w:highlight w:val="none"/>
          <w:lang w:val="en-US" w:eastAsia="zh"/>
        </w:rPr>
        <w:t>要求的不定期组织。</w:t>
      </w:r>
    </w:p>
    <w:p w14:paraId="02E15698">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w:t>
      </w:r>
      <w:r>
        <w:rPr>
          <w:rFonts w:hint="eastAsia" w:ascii="宋体"/>
          <w:color w:val="auto"/>
          <w:highlight w:val="none"/>
          <w:lang w:val="en-US" w:eastAsia="zh-CN"/>
        </w:rPr>
        <w:t>三</w:t>
      </w:r>
      <w:r>
        <w:rPr>
          <w:rFonts w:hint="eastAsia" w:ascii="宋体"/>
          <w:color w:val="auto"/>
          <w:highlight w:val="none"/>
          <w:lang w:val="en-US" w:eastAsia="zh"/>
        </w:rPr>
        <w:t>）验收要求</w:t>
      </w:r>
    </w:p>
    <w:p w14:paraId="20B7D1E4">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供应商完成合同约定的全部建设内容，系统正常稳定运行，试运行期结束且试运行期间连续1个月未出现重大系统故障（硬件</w:t>
      </w:r>
      <w:r>
        <w:rPr>
          <w:rFonts w:hint="eastAsia"/>
          <w:color w:val="auto"/>
          <w:highlight w:val="none"/>
          <w:lang w:val="en-US" w:eastAsia="zh-CN"/>
        </w:rPr>
        <w:t>运行</w:t>
      </w:r>
      <w:r>
        <w:rPr>
          <w:rFonts w:hint="eastAsia" w:ascii="宋体"/>
          <w:color w:val="auto"/>
          <w:highlight w:val="none"/>
          <w:lang w:val="en-US" w:eastAsia="zh-CN"/>
        </w:rPr>
        <w:t>故障</w:t>
      </w:r>
      <w:r>
        <w:rPr>
          <w:rFonts w:hint="eastAsia"/>
          <w:color w:val="auto"/>
          <w:highlight w:val="none"/>
          <w:lang w:val="en-US" w:eastAsia="zh-CN"/>
        </w:rPr>
        <w:t>（不含硬件质量问题）</w:t>
      </w:r>
      <w:r>
        <w:rPr>
          <w:rFonts w:hint="eastAsia" w:ascii="宋体"/>
          <w:color w:val="auto"/>
          <w:highlight w:val="none"/>
          <w:lang w:val="en-US" w:eastAsia="zh-CN"/>
        </w:rPr>
        <w:t>、软件系统功能缺陷、系统安全问题等导致系统无法正常运行超过24小时未解决），供应商提供项目试运行报告，经采购人审核无异议，供应商可</w:t>
      </w:r>
      <w:r>
        <w:rPr>
          <w:rFonts w:hint="eastAsia" w:ascii="宋体"/>
          <w:color w:val="auto"/>
          <w:highlight w:val="none"/>
          <w:lang w:val="en-US" w:eastAsia="zh"/>
        </w:rPr>
        <w:t>向</w:t>
      </w:r>
      <w:r>
        <w:rPr>
          <w:rFonts w:hint="eastAsia" w:ascii="宋体"/>
          <w:color w:val="auto"/>
          <w:highlight w:val="none"/>
          <w:lang w:val="en-US" w:eastAsia="zh-CN"/>
        </w:rPr>
        <w:t>采购人</w:t>
      </w:r>
      <w:r>
        <w:rPr>
          <w:rFonts w:hint="eastAsia" w:ascii="宋体"/>
          <w:color w:val="auto"/>
          <w:highlight w:val="none"/>
          <w:lang w:val="en-US" w:eastAsia="zh"/>
        </w:rPr>
        <w:t>申请</w:t>
      </w:r>
      <w:r>
        <w:rPr>
          <w:rFonts w:hint="eastAsia" w:ascii="宋体"/>
          <w:color w:val="auto"/>
          <w:highlight w:val="none"/>
          <w:lang w:val="en-US" w:eastAsia="zh-CN"/>
        </w:rPr>
        <w:t>项目</w:t>
      </w:r>
      <w:r>
        <w:rPr>
          <w:rFonts w:hint="eastAsia" w:ascii="宋体"/>
          <w:color w:val="auto"/>
          <w:highlight w:val="none"/>
          <w:lang w:val="en-US" w:eastAsia="zh"/>
        </w:rPr>
        <w:t>验收</w:t>
      </w:r>
      <w:r>
        <w:rPr>
          <w:rFonts w:hint="eastAsia" w:ascii="宋体"/>
          <w:color w:val="auto"/>
          <w:highlight w:val="none"/>
          <w:lang w:val="en-US" w:eastAsia="zh-CN"/>
        </w:rPr>
        <w:t>，经采购人同意，采购人</w:t>
      </w:r>
      <w:r>
        <w:rPr>
          <w:rFonts w:hint="eastAsia" w:ascii="宋体"/>
          <w:color w:val="auto"/>
          <w:highlight w:val="none"/>
          <w:lang w:val="en-US" w:eastAsia="zh"/>
        </w:rPr>
        <w:t>组织双方就系统建设功能开发完成情况、运行情况进行验收，符合</w:t>
      </w:r>
      <w:r>
        <w:rPr>
          <w:rFonts w:hint="eastAsia" w:ascii="宋体"/>
          <w:color w:val="auto"/>
          <w:highlight w:val="none"/>
          <w:lang w:val="en-US" w:eastAsia="zh-CN"/>
        </w:rPr>
        <w:t>合同</w:t>
      </w:r>
      <w:r>
        <w:rPr>
          <w:rFonts w:hint="eastAsia" w:ascii="宋体"/>
          <w:color w:val="auto"/>
          <w:highlight w:val="none"/>
          <w:lang w:val="en-US" w:eastAsia="zh"/>
        </w:rPr>
        <w:t>要求则验收合格，系统进入售后服务期。</w:t>
      </w:r>
    </w:p>
    <w:p w14:paraId="6E656D71">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验收资料包括但不限于需求说明书、概要设计说明书、详细设计说明书、测试报告、培训记录、试运行报告、系统源代码、用户报告等。</w:t>
      </w:r>
    </w:p>
    <w:p w14:paraId="64915294">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四、</w:t>
      </w:r>
      <w:r>
        <w:rPr>
          <w:rFonts w:hint="default" w:ascii="宋体"/>
          <w:b/>
          <w:bCs/>
          <w:color w:val="auto"/>
          <w:highlight w:val="none"/>
          <w:lang w:val="en-US" w:eastAsia="zh-CN"/>
        </w:rPr>
        <w:t>系统安全要求</w:t>
      </w:r>
    </w:p>
    <w:p w14:paraId="7130CF6C">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1</w:t>
      </w:r>
      <w:r>
        <w:rPr>
          <w:rFonts w:hint="eastAsia" w:ascii="宋体"/>
          <w:color w:val="auto"/>
          <w:highlight w:val="none"/>
          <w:lang w:val="en-US" w:eastAsia="zh-CN"/>
        </w:rPr>
        <w:t>.</w:t>
      </w:r>
      <w:r>
        <w:rPr>
          <w:rFonts w:hint="default" w:ascii="宋体"/>
          <w:color w:val="auto"/>
          <w:highlight w:val="none"/>
          <w:lang w:val="en-US" w:eastAsia="zh-CN"/>
        </w:rPr>
        <w:t>按照国家信息系统安全等级保护防护2.0</w:t>
      </w:r>
      <w:r>
        <w:rPr>
          <w:rFonts w:hint="eastAsia" w:ascii="宋体"/>
          <w:color w:val="auto"/>
          <w:highlight w:val="none"/>
          <w:lang w:val="en-US" w:eastAsia="zh-CN"/>
        </w:rPr>
        <w:t>二</w:t>
      </w:r>
      <w:r>
        <w:rPr>
          <w:rFonts w:hint="default" w:ascii="宋体"/>
          <w:color w:val="auto"/>
          <w:highlight w:val="none"/>
          <w:lang w:val="en-US" w:eastAsia="zh-CN"/>
        </w:rPr>
        <w:t>级要求,信息系统在软件开发过程中要同步梳理、同步防护相关的安全技术措施、管理措施，在本项目建设中须严格执行、不得遗漏。</w:t>
      </w:r>
    </w:p>
    <w:p w14:paraId="2A7C759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2</w:t>
      </w:r>
      <w:r>
        <w:rPr>
          <w:rFonts w:hint="eastAsia" w:ascii="宋体"/>
          <w:color w:val="auto"/>
          <w:highlight w:val="none"/>
          <w:lang w:val="en-US" w:eastAsia="zh-CN"/>
        </w:rPr>
        <w:t>.</w:t>
      </w:r>
      <w:r>
        <w:rPr>
          <w:rFonts w:hint="default" w:ascii="宋体"/>
          <w:color w:val="auto"/>
          <w:highlight w:val="none"/>
          <w:lang w:val="en-US" w:eastAsia="zh-CN"/>
        </w:rPr>
        <w:t>所设计开发系统的安全功能需满足国家法律要求、集团数字化建设安全规范等所需要满足的安全监管要求及其他各类安全标准，相关要求包括不限于以下:《中华人民共和国网络安全法》、《公安部等级保护要求》。</w:t>
      </w:r>
      <w:r>
        <w:rPr>
          <w:rFonts w:hint="eastAsia" w:ascii="宋体"/>
          <w:color w:val="auto"/>
          <w:highlight w:val="none"/>
          <w:lang w:val="en-US" w:eastAsia="zh-CN"/>
        </w:rPr>
        <w:t>供应商</w:t>
      </w:r>
      <w:r>
        <w:rPr>
          <w:rFonts w:hint="default" w:ascii="宋体"/>
          <w:color w:val="auto"/>
          <w:highlight w:val="none"/>
          <w:lang w:val="en-US" w:eastAsia="zh-CN"/>
        </w:rPr>
        <w:t>需承诺交付的系统在通过以上合规要求时提供技术支持;如果遇到因功能缺失导致无法满足合规要求时，</w:t>
      </w:r>
      <w:r>
        <w:rPr>
          <w:rFonts w:hint="eastAsia" w:ascii="宋体"/>
          <w:color w:val="auto"/>
          <w:highlight w:val="none"/>
          <w:lang w:val="en-US" w:eastAsia="zh-CN"/>
        </w:rPr>
        <w:t>供应商</w:t>
      </w:r>
      <w:r>
        <w:rPr>
          <w:rFonts w:hint="default" w:ascii="宋体"/>
          <w:color w:val="auto"/>
          <w:highlight w:val="none"/>
          <w:lang w:val="en-US" w:eastAsia="zh-CN"/>
        </w:rPr>
        <w:t>应立即响应并对安全功能改进。</w:t>
      </w:r>
    </w:p>
    <w:p w14:paraId="67680210">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default" w:ascii="宋体"/>
          <w:color w:val="auto"/>
          <w:highlight w:val="none"/>
          <w:lang w:val="en-US" w:eastAsia="zh-CN"/>
        </w:rPr>
        <w:t>安全防护中需要另行投资建设的安全防护措施，不在本项目建设范围之内。</w:t>
      </w:r>
    </w:p>
    <w:p w14:paraId="3972553F">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4.供应商</w:t>
      </w:r>
      <w:r>
        <w:rPr>
          <w:rFonts w:hint="default" w:ascii="宋体"/>
          <w:color w:val="auto"/>
          <w:highlight w:val="none"/>
          <w:lang w:val="en-US" w:eastAsia="zh-CN"/>
        </w:rPr>
        <w:t>应采取必要的措施和机制保证设计开发系统的安全性。措施应包括不限于以下部分:设置安全专员、定期安全培训、定期安全自查与改进。</w:t>
      </w:r>
      <w:r>
        <w:rPr>
          <w:rFonts w:hint="eastAsia" w:ascii="宋体"/>
          <w:color w:val="auto"/>
          <w:highlight w:val="none"/>
          <w:lang w:val="en-US" w:eastAsia="zh-CN"/>
        </w:rPr>
        <w:t>供应商</w:t>
      </w:r>
      <w:r>
        <w:rPr>
          <w:rFonts w:hint="default" w:ascii="宋体"/>
          <w:color w:val="auto"/>
          <w:highlight w:val="none"/>
          <w:lang w:val="en-US" w:eastAsia="zh-CN"/>
        </w:rPr>
        <w:t>承诺在项目实施过程中应遵循相关开发安全管理规范。</w:t>
      </w:r>
    </w:p>
    <w:p w14:paraId="22E4E3D7">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5.供应商</w:t>
      </w:r>
      <w:r>
        <w:rPr>
          <w:rFonts w:hint="default" w:ascii="宋体"/>
          <w:color w:val="auto"/>
          <w:highlight w:val="none"/>
          <w:lang w:val="en-US" w:eastAsia="zh-CN"/>
        </w:rPr>
        <w:t>应确保交付的成果不存在中高危漏洞和安全缺陷。不得存在高危漏洞,包括但不限于:</w:t>
      </w:r>
    </w:p>
    <w:p w14:paraId="6444CAB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a)SOL注入漏洞</w:t>
      </w:r>
    </w:p>
    <w:p w14:paraId="3E74972C">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b)XSS跨站漏洞</w:t>
      </w:r>
    </w:p>
    <w:p w14:paraId="2EEB9E08">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c)已公开的框架漏洞</w:t>
      </w:r>
    </w:p>
    <w:p w14:paraId="11315D15">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d)CSRF漏洞</w:t>
      </w:r>
    </w:p>
    <w:p w14:paraId="5D6214F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e)非法上传漏洞</w:t>
      </w:r>
    </w:p>
    <w:p w14:paraId="74FDC72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f)远程包含漏洞</w:t>
      </w:r>
    </w:p>
    <w:p w14:paraId="676E07A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g)远程执行漏洞</w:t>
      </w:r>
    </w:p>
    <w:p w14:paraId="060EB261">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h)硬编码漏洞</w:t>
      </w:r>
    </w:p>
    <w:p w14:paraId="1BBE4CAE">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i)水平权限、垂直权限漏洞</w:t>
      </w:r>
    </w:p>
    <w:p w14:paraId="1F2468C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j)其他owasp top 10 漏洞</w:t>
      </w:r>
    </w:p>
    <w:p w14:paraId="1C5777F3">
      <w:pPr>
        <w:pStyle w:val="6"/>
        <w:numPr>
          <w:ilvl w:val="0"/>
          <w:numId w:val="0"/>
        </w:numPr>
        <w:ind w:firstLine="482" w:firstLineChars="200"/>
        <w:rPr>
          <w:rFonts w:hint="default" w:ascii="宋体"/>
          <w:b/>
          <w:bCs/>
          <w:color w:val="auto"/>
          <w:highlight w:val="none"/>
          <w:lang w:val="en-US" w:eastAsia="zh-CN"/>
        </w:rPr>
      </w:pPr>
      <w:r>
        <w:rPr>
          <w:rFonts w:hint="default" w:ascii="宋体"/>
          <w:b/>
          <w:bCs/>
          <w:color w:val="auto"/>
          <w:highlight w:val="none"/>
          <w:lang w:val="en-US" w:eastAsia="zh-CN"/>
        </w:rPr>
        <w:t>不得存在安全设计缺陷，包括不限于:</w:t>
      </w:r>
    </w:p>
    <w:p w14:paraId="23EA6CCA">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a)密码未加密或弱加密存储</w:t>
      </w:r>
    </w:p>
    <w:p w14:paraId="53594CA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b)已公开的框架漏洞</w:t>
      </w:r>
    </w:p>
    <w:p w14:paraId="78F9C79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c)撞库攻击、密码破解遍历漏洞</w:t>
      </w:r>
    </w:p>
    <w:p w14:paraId="0F072574">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d)恶意注册漏洞</w:t>
      </w:r>
    </w:p>
    <w:p w14:paraId="5361A84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e)验证码绕过</w:t>
      </w:r>
    </w:p>
    <w:p w14:paraId="5EF4956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f)短信、邮件接口轰炸漏洞</w:t>
      </w:r>
    </w:p>
    <w:p w14:paraId="4BE72EDA">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g)伪随机</w:t>
      </w:r>
    </w:p>
    <w:p w14:paraId="4F62B5FE">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h)重放漏洞</w:t>
      </w:r>
    </w:p>
    <w:p w14:paraId="2DA68F6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i)敏感信息泄露</w:t>
      </w:r>
    </w:p>
    <w:p w14:paraId="056FEA95">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j)取回密码绕过验证</w:t>
      </w:r>
    </w:p>
    <w:p w14:paraId="74A3BE51">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供应商</w:t>
      </w:r>
      <w:r>
        <w:rPr>
          <w:rFonts w:hint="default" w:ascii="宋体"/>
          <w:color w:val="auto"/>
          <w:highlight w:val="none"/>
          <w:lang w:val="en-US" w:eastAsia="zh-CN"/>
        </w:rPr>
        <w:t>应采取必要的手段，包含不限于:代码审计、黑盒扫描、人工渗透测试等方法对系统可能存在的漏洞和缺陷进行发现并修复。</w:t>
      </w:r>
    </w:p>
    <w:p w14:paraId="406AE7CE">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供应商</w:t>
      </w:r>
      <w:r>
        <w:rPr>
          <w:rFonts w:hint="default" w:ascii="宋体"/>
          <w:color w:val="auto"/>
          <w:highlight w:val="none"/>
          <w:lang w:val="en-US" w:eastAsia="zh-CN"/>
        </w:rPr>
        <w:t>承诺交付的系统已经经过全面的安全测试并已经修复。</w:t>
      </w:r>
    </w:p>
    <w:p w14:paraId="4AED8E7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6</w:t>
      </w:r>
      <w:r>
        <w:rPr>
          <w:rFonts w:hint="eastAsia" w:ascii="宋体"/>
          <w:color w:val="auto"/>
          <w:highlight w:val="none"/>
          <w:lang w:val="en-US" w:eastAsia="zh-CN"/>
        </w:rPr>
        <w:t>.</w:t>
      </w:r>
      <w:r>
        <w:rPr>
          <w:rFonts w:hint="default" w:ascii="宋体"/>
          <w:color w:val="auto"/>
          <w:highlight w:val="none"/>
          <w:lang w:val="en-US" w:eastAsia="zh-CN"/>
        </w:rPr>
        <w:t>安全维保要求</w:t>
      </w:r>
    </w:p>
    <w:p w14:paraId="4142858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在免费运维期内</w:t>
      </w:r>
      <w:r>
        <w:rPr>
          <w:rFonts w:hint="eastAsia" w:ascii="宋体"/>
          <w:color w:val="auto"/>
          <w:highlight w:val="none"/>
          <w:lang w:val="en-US" w:eastAsia="zh-CN"/>
        </w:rPr>
        <w:t>供应商</w:t>
      </w:r>
      <w:r>
        <w:rPr>
          <w:rFonts w:hint="default" w:ascii="宋体"/>
          <w:color w:val="auto"/>
          <w:highlight w:val="none"/>
          <w:lang w:val="en-US" w:eastAsia="zh-CN"/>
        </w:rPr>
        <w:t>应对系统出现安全问题负责，有义务主导安全整改修复工作。当系统被发现安全漏洞时，</w:t>
      </w:r>
      <w:r>
        <w:rPr>
          <w:rFonts w:hint="eastAsia" w:ascii="宋体"/>
          <w:color w:val="auto"/>
          <w:highlight w:val="none"/>
          <w:lang w:val="en-US" w:eastAsia="zh-CN"/>
        </w:rPr>
        <w:t>供应商</w:t>
      </w:r>
      <w:r>
        <w:rPr>
          <w:rFonts w:hint="default" w:ascii="宋体"/>
          <w:color w:val="auto"/>
          <w:highlight w:val="none"/>
          <w:lang w:val="en-US" w:eastAsia="zh-CN"/>
        </w:rPr>
        <w:t>应在三日内提供修复方案。</w:t>
      </w:r>
      <w:r>
        <w:rPr>
          <w:rFonts w:hint="eastAsia" w:ascii="宋体"/>
          <w:color w:val="auto"/>
          <w:highlight w:val="none"/>
          <w:lang w:val="en-US" w:eastAsia="zh-CN"/>
        </w:rPr>
        <w:t>供应商</w:t>
      </w:r>
      <w:r>
        <w:rPr>
          <w:rFonts w:hint="default" w:ascii="宋体"/>
          <w:color w:val="auto"/>
          <w:highlight w:val="none"/>
          <w:lang w:val="en-US" w:eastAsia="zh-CN"/>
        </w:rPr>
        <w:t>承诺不得停止对系统安全的维保服务续约。在免费运维期外卖方应协助完成安全整改修复工作。</w:t>
      </w:r>
      <w:r>
        <w:rPr>
          <w:rFonts w:hint="eastAsia" w:ascii="宋体"/>
          <w:color w:val="auto"/>
          <w:highlight w:val="none"/>
          <w:lang w:val="en-US" w:eastAsia="zh-CN"/>
        </w:rPr>
        <w:t>供应商</w:t>
      </w:r>
      <w:r>
        <w:rPr>
          <w:rFonts w:hint="default" w:ascii="宋体"/>
          <w:color w:val="auto"/>
          <w:highlight w:val="none"/>
          <w:lang w:val="en-US" w:eastAsia="zh-CN"/>
        </w:rPr>
        <w:t>应保持关注跟进系统所用模块框架安全动态，当前出现安全漏洞时应在三日内提供修复方案建议。</w:t>
      </w:r>
    </w:p>
    <w:p w14:paraId="17F0AE77">
      <w:pPr>
        <w:pStyle w:val="6"/>
        <w:numPr>
          <w:ilvl w:val="0"/>
          <w:numId w:val="0"/>
        </w:numPr>
        <w:ind w:firstLine="482" w:firstLineChars="200"/>
        <w:rPr>
          <w:rFonts w:hint="eastAsia" w:ascii="宋体"/>
          <w:color w:val="auto"/>
          <w:highlight w:val="none"/>
          <w:lang w:val="en-US" w:eastAsia="zh-CN"/>
        </w:rPr>
      </w:pPr>
      <w:r>
        <w:rPr>
          <w:rFonts w:hint="eastAsia" w:ascii="宋体"/>
          <w:b/>
          <w:bCs/>
          <w:color w:val="auto"/>
          <w:highlight w:val="none"/>
          <w:lang w:val="en-US" w:eastAsia="zh-CN"/>
        </w:rPr>
        <w:t>五、</w:t>
      </w:r>
      <w:r>
        <w:rPr>
          <w:rFonts w:hint="eastAsia" w:ascii="宋体"/>
          <w:b/>
          <w:bCs/>
          <w:color w:val="auto"/>
          <w:highlight w:val="none"/>
          <w:lang w:val="en-US" w:eastAsia="zh"/>
        </w:rPr>
        <w:t>合同付款方式：</w:t>
      </w:r>
    </w:p>
    <w:p w14:paraId="30B35C7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1.项目预付款：合同签订</w:t>
      </w:r>
      <w:r>
        <w:rPr>
          <w:rFonts w:hint="eastAsia" w:ascii="宋体"/>
          <w:color w:val="auto"/>
          <w:highlight w:val="none"/>
          <w:lang w:val="en-US" w:eastAsia="zh-CN"/>
        </w:rPr>
        <w:t>后，由供应商开具</w:t>
      </w:r>
      <w:r>
        <w:rPr>
          <w:rFonts w:hint="eastAsia"/>
          <w:color w:val="auto"/>
          <w:highlight w:val="none"/>
          <w:lang w:val="en-US" w:eastAsia="zh-CN"/>
        </w:rPr>
        <w:t>本</w:t>
      </w:r>
      <w:r>
        <w:rPr>
          <w:rFonts w:hint="eastAsia" w:ascii="宋体"/>
          <w:color w:val="auto"/>
          <w:highlight w:val="none"/>
          <w:lang w:val="en-US" w:eastAsia="zh"/>
        </w:rPr>
        <w:t>合同总价30%</w:t>
      </w:r>
      <w:r>
        <w:rPr>
          <w:rFonts w:hint="eastAsia"/>
          <w:color w:val="auto"/>
          <w:highlight w:val="none"/>
          <w:lang w:val="en-US" w:eastAsia="zh-CN"/>
        </w:rPr>
        <w:t>的</w:t>
      </w:r>
      <w:r>
        <w:rPr>
          <w:rFonts w:hint="eastAsia" w:ascii="宋体"/>
          <w:color w:val="auto"/>
          <w:highlight w:val="none"/>
          <w:lang w:val="en-US" w:eastAsia="zh-CN"/>
        </w:rPr>
        <w:t>增值税专用发票，采购人收到供应商开具的增值税专用发票后</w:t>
      </w:r>
      <w:r>
        <w:rPr>
          <w:rFonts w:hint="eastAsia"/>
          <w:color w:val="auto"/>
          <w:highlight w:val="none"/>
          <w:lang w:val="en-US" w:eastAsia="zh-CN"/>
        </w:rPr>
        <w:t>30天内</w:t>
      </w:r>
      <w:r>
        <w:rPr>
          <w:rFonts w:hint="eastAsia" w:ascii="宋体"/>
          <w:color w:val="auto"/>
          <w:highlight w:val="none"/>
          <w:lang w:val="en-US" w:eastAsia="zh"/>
        </w:rPr>
        <w:t>支付</w:t>
      </w:r>
      <w:r>
        <w:rPr>
          <w:rFonts w:hint="eastAsia"/>
          <w:color w:val="auto"/>
          <w:highlight w:val="none"/>
          <w:lang w:val="en-US" w:eastAsia="zh-CN"/>
        </w:rPr>
        <w:t>本</w:t>
      </w:r>
      <w:r>
        <w:rPr>
          <w:rFonts w:hint="eastAsia" w:ascii="宋体"/>
          <w:color w:val="auto"/>
          <w:highlight w:val="none"/>
          <w:lang w:val="en-US" w:eastAsia="zh"/>
        </w:rPr>
        <w:t>合同总价的30%作为项目预</w:t>
      </w:r>
      <w:r>
        <w:rPr>
          <w:rFonts w:hint="eastAsia" w:ascii="宋体"/>
          <w:color w:val="auto"/>
          <w:highlight w:val="none"/>
          <w:lang w:val="en-US" w:eastAsia="zh-CN"/>
        </w:rPr>
        <w:t>付</w:t>
      </w:r>
      <w:r>
        <w:rPr>
          <w:rFonts w:hint="eastAsia" w:ascii="宋体"/>
          <w:color w:val="auto"/>
          <w:highlight w:val="none"/>
          <w:lang w:val="en-US" w:eastAsia="zh"/>
        </w:rPr>
        <w:t>款。</w:t>
      </w:r>
    </w:p>
    <w:p w14:paraId="6565C2FD">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2.项目进度款：所有软件系统完成功能性调试，软件系统全部功能开发完成，</w:t>
      </w:r>
      <w:r>
        <w:rPr>
          <w:rFonts w:hint="eastAsia" w:ascii="宋体"/>
          <w:color w:val="auto"/>
          <w:highlight w:val="none"/>
          <w:lang w:val="en-US" w:eastAsia="zh-CN"/>
        </w:rPr>
        <w:t>经采购人审核无异议，系统</w:t>
      </w:r>
      <w:r>
        <w:rPr>
          <w:rFonts w:hint="eastAsia" w:ascii="宋体"/>
          <w:color w:val="auto"/>
          <w:highlight w:val="none"/>
          <w:lang w:val="en-US" w:eastAsia="zh"/>
        </w:rPr>
        <w:t>进入试运行阶段</w:t>
      </w:r>
      <w:r>
        <w:rPr>
          <w:rFonts w:hint="eastAsia"/>
          <w:color w:val="auto"/>
          <w:highlight w:val="none"/>
          <w:lang w:val="en-US" w:eastAsia="zh-CN"/>
        </w:rPr>
        <w:t>。采购人确定进入试运行阶段后</w:t>
      </w:r>
      <w:r>
        <w:rPr>
          <w:rFonts w:hint="eastAsia" w:ascii="宋体"/>
          <w:color w:val="auto"/>
          <w:highlight w:val="none"/>
          <w:lang w:val="en-US" w:eastAsia="zh"/>
        </w:rPr>
        <w:t>，</w:t>
      </w:r>
      <w:r>
        <w:rPr>
          <w:rFonts w:hint="eastAsia" w:ascii="宋体"/>
          <w:color w:val="auto"/>
          <w:highlight w:val="none"/>
          <w:lang w:val="en-US" w:eastAsia="zh-CN"/>
        </w:rPr>
        <w:t>由供应商开具</w:t>
      </w:r>
      <w:r>
        <w:rPr>
          <w:rFonts w:hint="eastAsia"/>
          <w:color w:val="auto"/>
          <w:highlight w:val="none"/>
          <w:lang w:val="en-US" w:eastAsia="zh-CN"/>
        </w:rPr>
        <w:t>本</w:t>
      </w:r>
      <w:r>
        <w:rPr>
          <w:rFonts w:hint="eastAsia" w:ascii="宋体"/>
          <w:color w:val="auto"/>
          <w:highlight w:val="none"/>
          <w:lang w:val="en-US" w:eastAsia="zh"/>
        </w:rPr>
        <w:t>合同总价30%</w:t>
      </w:r>
      <w:r>
        <w:rPr>
          <w:rFonts w:hint="eastAsia"/>
          <w:color w:val="auto"/>
          <w:highlight w:val="none"/>
          <w:lang w:val="en-US" w:eastAsia="zh-CN"/>
        </w:rPr>
        <w:t>的</w:t>
      </w:r>
      <w:r>
        <w:rPr>
          <w:rFonts w:hint="eastAsia" w:ascii="宋体"/>
          <w:color w:val="auto"/>
          <w:highlight w:val="none"/>
          <w:lang w:val="en-US" w:eastAsia="zh-CN"/>
        </w:rPr>
        <w:t>增值税专用发票，采购人收到供应商开具的增值税专用发票后，</w:t>
      </w:r>
      <w:r>
        <w:rPr>
          <w:rFonts w:hint="eastAsia"/>
          <w:color w:val="auto"/>
          <w:highlight w:val="none"/>
          <w:lang w:val="en-US" w:eastAsia="zh-CN"/>
        </w:rPr>
        <w:t>30天内</w:t>
      </w:r>
      <w:r>
        <w:rPr>
          <w:rFonts w:hint="eastAsia" w:ascii="宋体"/>
          <w:color w:val="auto"/>
          <w:highlight w:val="none"/>
          <w:lang w:val="en-US" w:eastAsia="zh"/>
        </w:rPr>
        <w:t>支付</w:t>
      </w:r>
      <w:r>
        <w:rPr>
          <w:rFonts w:hint="eastAsia"/>
          <w:color w:val="auto"/>
          <w:highlight w:val="none"/>
          <w:lang w:val="en-US" w:eastAsia="zh-CN"/>
        </w:rPr>
        <w:t>本</w:t>
      </w:r>
      <w:r>
        <w:rPr>
          <w:rFonts w:hint="eastAsia" w:ascii="宋体"/>
          <w:color w:val="auto"/>
          <w:highlight w:val="none"/>
          <w:lang w:val="en-US" w:eastAsia="zh"/>
        </w:rPr>
        <w:t>合同总价的</w:t>
      </w:r>
      <w:r>
        <w:rPr>
          <w:rFonts w:hint="eastAsia" w:ascii="宋体"/>
          <w:color w:val="auto"/>
          <w:highlight w:val="none"/>
          <w:lang w:val="en-US" w:eastAsia="zh-CN"/>
        </w:rPr>
        <w:t>3</w:t>
      </w:r>
      <w:r>
        <w:rPr>
          <w:rFonts w:hint="eastAsia" w:ascii="宋体"/>
          <w:color w:val="auto"/>
          <w:highlight w:val="none"/>
          <w:lang w:val="en-US" w:eastAsia="zh"/>
        </w:rPr>
        <w:t>0%；</w:t>
      </w:r>
    </w:p>
    <w:p w14:paraId="682D7106">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3.项目验收款：经</w:t>
      </w:r>
      <w:r>
        <w:rPr>
          <w:rFonts w:hint="eastAsia" w:ascii="宋体"/>
          <w:color w:val="auto"/>
          <w:highlight w:val="none"/>
          <w:lang w:val="en-US" w:eastAsia="zh-CN"/>
        </w:rPr>
        <w:t>采购人</w:t>
      </w:r>
      <w:r>
        <w:rPr>
          <w:rFonts w:hint="eastAsia" w:ascii="宋体"/>
          <w:color w:val="auto"/>
          <w:highlight w:val="none"/>
          <w:lang w:val="en-US" w:eastAsia="zh"/>
        </w:rPr>
        <w:t>验收合格后，</w:t>
      </w:r>
      <w:r>
        <w:rPr>
          <w:rFonts w:hint="eastAsia" w:ascii="宋体"/>
          <w:color w:val="auto"/>
          <w:highlight w:val="none"/>
          <w:lang w:val="en-US" w:eastAsia="zh-CN"/>
        </w:rPr>
        <w:t>由供应商开具</w:t>
      </w:r>
      <w:r>
        <w:rPr>
          <w:rFonts w:hint="eastAsia"/>
          <w:color w:val="auto"/>
          <w:highlight w:val="none"/>
          <w:lang w:val="en-US" w:eastAsia="zh-CN"/>
        </w:rPr>
        <w:t>本</w:t>
      </w:r>
      <w:r>
        <w:rPr>
          <w:rFonts w:hint="eastAsia" w:ascii="宋体"/>
          <w:color w:val="auto"/>
          <w:highlight w:val="none"/>
          <w:lang w:val="en-US" w:eastAsia="zh"/>
        </w:rPr>
        <w:t>合同总价</w:t>
      </w:r>
      <w:r>
        <w:rPr>
          <w:rFonts w:hint="eastAsia"/>
          <w:color w:val="auto"/>
          <w:highlight w:val="none"/>
          <w:lang w:val="en-US" w:eastAsia="zh-CN"/>
        </w:rPr>
        <w:t>4</w:t>
      </w:r>
      <w:r>
        <w:rPr>
          <w:rFonts w:hint="eastAsia" w:ascii="宋体"/>
          <w:color w:val="auto"/>
          <w:highlight w:val="none"/>
          <w:lang w:val="en-US" w:eastAsia="zh"/>
        </w:rPr>
        <w:t>0%</w:t>
      </w:r>
      <w:r>
        <w:rPr>
          <w:rFonts w:hint="eastAsia"/>
          <w:color w:val="auto"/>
          <w:highlight w:val="none"/>
          <w:lang w:val="en-US" w:eastAsia="zh-CN"/>
        </w:rPr>
        <w:t>的</w:t>
      </w:r>
      <w:r>
        <w:rPr>
          <w:rFonts w:hint="eastAsia" w:ascii="宋体"/>
          <w:color w:val="auto"/>
          <w:highlight w:val="none"/>
          <w:lang w:val="en-US" w:eastAsia="zh-CN"/>
        </w:rPr>
        <w:t>增值税专用发票，采购人收到供应商开具的增值税专用发票后，</w:t>
      </w:r>
      <w:r>
        <w:rPr>
          <w:rFonts w:hint="eastAsia"/>
          <w:color w:val="auto"/>
          <w:highlight w:val="none"/>
          <w:lang w:val="en-US" w:eastAsia="zh-CN"/>
        </w:rPr>
        <w:t>30天内</w:t>
      </w:r>
      <w:r>
        <w:rPr>
          <w:rFonts w:hint="eastAsia" w:ascii="宋体"/>
          <w:color w:val="auto"/>
          <w:highlight w:val="none"/>
          <w:lang w:val="en-US" w:eastAsia="zh"/>
        </w:rPr>
        <w:t>支付</w:t>
      </w:r>
      <w:r>
        <w:rPr>
          <w:rFonts w:hint="eastAsia"/>
          <w:color w:val="auto"/>
          <w:highlight w:val="none"/>
          <w:lang w:val="en-US" w:eastAsia="zh-CN"/>
        </w:rPr>
        <w:t>本</w:t>
      </w:r>
      <w:r>
        <w:rPr>
          <w:rFonts w:hint="eastAsia" w:ascii="宋体"/>
          <w:color w:val="auto"/>
          <w:highlight w:val="none"/>
          <w:lang w:val="en-US" w:eastAsia="zh"/>
        </w:rPr>
        <w:t>合同总价的</w:t>
      </w:r>
      <w:r>
        <w:rPr>
          <w:rFonts w:hint="eastAsia" w:ascii="宋体"/>
          <w:color w:val="auto"/>
          <w:highlight w:val="none"/>
          <w:lang w:val="en-US" w:eastAsia="zh-CN"/>
        </w:rPr>
        <w:t>3</w:t>
      </w:r>
      <w:r>
        <w:rPr>
          <w:rFonts w:hint="eastAsia"/>
          <w:color w:val="auto"/>
          <w:highlight w:val="none"/>
          <w:lang w:val="en-US" w:eastAsia="zh-CN"/>
        </w:rPr>
        <w:t>5</w:t>
      </w:r>
      <w:r>
        <w:rPr>
          <w:rFonts w:hint="eastAsia" w:ascii="宋体"/>
          <w:color w:val="auto"/>
          <w:highlight w:val="none"/>
          <w:lang w:val="en-US" w:eastAsia="zh"/>
        </w:rPr>
        <w:t>%；。</w:t>
      </w:r>
    </w:p>
    <w:p w14:paraId="5338E88F">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4.项目质保金：软件系统余款5%作为质量保证金，</w:t>
      </w:r>
      <w:r>
        <w:rPr>
          <w:rFonts w:hint="eastAsia" w:ascii="宋体"/>
          <w:color w:val="auto"/>
          <w:highlight w:val="none"/>
          <w:lang w:val="en-US" w:eastAsia="zh-CN"/>
        </w:rPr>
        <w:t>自项目验收之日起满</w:t>
      </w:r>
      <w:r>
        <w:rPr>
          <w:rFonts w:hint="eastAsia" w:ascii="宋体"/>
          <w:color w:val="auto"/>
          <w:highlight w:val="none"/>
          <w:lang w:val="en-US" w:eastAsia="zh"/>
        </w:rPr>
        <w:t>一年，</w:t>
      </w:r>
      <w:r>
        <w:rPr>
          <w:rFonts w:hint="eastAsia" w:ascii="宋体"/>
          <w:color w:val="auto"/>
          <w:highlight w:val="none"/>
          <w:lang w:val="en-US" w:eastAsia="zh-CN"/>
        </w:rPr>
        <w:t>供应商提供项目运行报告，采购人审核无异议，</w:t>
      </w:r>
      <w:r>
        <w:rPr>
          <w:rFonts w:hint="eastAsia" w:ascii="宋体"/>
          <w:color w:val="auto"/>
          <w:highlight w:val="none"/>
          <w:lang w:val="en-US" w:eastAsia="zh"/>
        </w:rPr>
        <w:t>30</w:t>
      </w:r>
      <w:r>
        <w:rPr>
          <w:rFonts w:hint="eastAsia"/>
          <w:color w:val="auto"/>
          <w:highlight w:val="none"/>
          <w:lang w:val="en-US" w:eastAsia="zh-CN"/>
        </w:rPr>
        <w:t>天</w:t>
      </w:r>
      <w:r>
        <w:rPr>
          <w:rFonts w:hint="eastAsia" w:ascii="宋体"/>
          <w:color w:val="auto"/>
          <w:highlight w:val="none"/>
          <w:lang w:val="en-US" w:eastAsia="zh"/>
        </w:rPr>
        <w:t>内</w:t>
      </w:r>
      <w:r>
        <w:rPr>
          <w:rFonts w:hint="eastAsia" w:ascii="宋体"/>
          <w:color w:val="auto"/>
          <w:highlight w:val="none"/>
          <w:lang w:val="en-US" w:eastAsia="zh-CN"/>
        </w:rPr>
        <w:t>支付</w:t>
      </w:r>
      <w:r>
        <w:rPr>
          <w:rFonts w:hint="eastAsia"/>
          <w:color w:val="auto"/>
          <w:highlight w:val="none"/>
          <w:lang w:val="en-US" w:eastAsia="zh-CN"/>
        </w:rPr>
        <w:t>本</w:t>
      </w:r>
      <w:r>
        <w:rPr>
          <w:rFonts w:hint="eastAsia" w:ascii="宋体"/>
          <w:color w:val="auto"/>
          <w:highlight w:val="none"/>
          <w:lang w:val="en-US" w:eastAsia="zh"/>
        </w:rPr>
        <w:t>合同</w:t>
      </w:r>
      <w:r>
        <w:rPr>
          <w:rFonts w:hint="eastAsia"/>
          <w:color w:val="auto"/>
          <w:highlight w:val="none"/>
          <w:lang w:val="en-US" w:eastAsia="zh-CN"/>
        </w:rPr>
        <w:t>总价的</w:t>
      </w:r>
      <w:r>
        <w:rPr>
          <w:rFonts w:hint="eastAsia" w:ascii="宋体"/>
          <w:color w:val="auto"/>
          <w:highlight w:val="none"/>
          <w:lang w:val="en-US" w:eastAsia="zh-CN"/>
        </w:rPr>
        <w:t>5%的</w:t>
      </w:r>
      <w:r>
        <w:rPr>
          <w:rFonts w:hint="eastAsia"/>
          <w:color w:val="auto"/>
          <w:highlight w:val="none"/>
          <w:lang w:val="en-US" w:eastAsia="zh-CN"/>
        </w:rPr>
        <w:t>尾款（扣除违约金的除外）</w:t>
      </w:r>
      <w:r>
        <w:rPr>
          <w:rFonts w:hint="eastAsia" w:ascii="宋体"/>
          <w:color w:val="auto"/>
          <w:highlight w:val="none"/>
          <w:lang w:val="en-US" w:eastAsia="zh"/>
        </w:rPr>
        <w:t>。</w:t>
      </w:r>
    </w:p>
    <w:p w14:paraId="6CBB2579">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六</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验收方式</w:t>
      </w:r>
    </w:p>
    <w:p w14:paraId="61F73473">
      <w:pPr>
        <w:pStyle w:val="15"/>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供应商提供项目验收报告书，满足采购人所有要求且系统能稳定运行视为验收合格。采购人有权邀请专业公司对本项目的系统平台进行性能验收，若性能验收不满足要的，供应商负责免费限期整改。</w:t>
      </w:r>
    </w:p>
    <w:p w14:paraId="609F6597">
      <w:pPr>
        <w:pStyle w:val="6"/>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七</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服务和质量要求</w:t>
      </w:r>
    </w:p>
    <w:p w14:paraId="77756DA5">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1.供应商完成采购人现有库存数据初始化工作，如库存、待结算信息等，采购人协助完成；</w:t>
      </w:r>
    </w:p>
    <w:p w14:paraId="5AA1AA3F">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2.供应商根据采购人提供的历史数据，将2020、2021、2022、2023、2024、2025年历史数据按照格式导入数据库。</w:t>
      </w:r>
    </w:p>
    <w:p w14:paraId="46860D05">
      <w:pPr>
        <w:pStyle w:val="6"/>
        <w:numPr>
          <w:ilvl w:val="0"/>
          <w:numId w:val="0"/>
        </w:numPr>
        <w:ind w:firstLine="482" w:firstLineChars="200"/>
        <w:rPr>
          <w:rFonts w:hint="default" w:cs="Arial"/>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3.系统免费开放标准数据接口，便于采购人自行与本系统对接数据。</w:t>
      </w:r>
    </w:p>
    <w:p w14:paraId="25091EC8">
      <w:pPr>
        <w:pStyle w:val="6"/>
        <w:numPr>
          <w:ilvl w:val="0"/>
          <w:numId w:val="0"/>
        </w:numPr>
        <w:ind w:firstLine="482" w:firstLineChars="200"/>
        <w:rPr>
          <w:rFonts w:hint="eastAsia" w:cs="Arial"/>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4.采购人免费提供1个住宿房间，洗漱用品、床上用品由供应商自备，供应商人员遵守采购人管理要求，保证设备实施完好。</w:t>
      </w:r>
    </w:p>
    <w:p w14:paraId="01129E58">
      <w:pPr>
        <w:pStyle w:val="6"/>
        <w:numPr>
          <w:ilvl w:val="0"/>
          <w:numId w:val="0"/>
        </w:numPr>
        <w:ind w:firstLine="482" w:firstLineChars="200"/>
        <w:rPr>
          <w:rFonts w:hint="default" w:cs="Arial"/>
          <w:b/>
          <w:bCs/>
          <w:snapToGrid w:val="0"/>
          <w:color w:val="auto"/>
          <w:kern w:val="2"/>
          <w:sz w:val="24"/>
          <w:szCs w:val="21"/>
          <w:highlight w:val="none"/>
          <w:lang w:val="en-US" w:eastAsia="zh-CN" w:bidi="ar-SA"/>
        </w:rPr>
      </w:pPr>
      <w:r>
        <w:rPr>
          <w:rFonts w:hint="eastAsia" w:cs="Arial"/>
          <w:b/>
          <w:bCs/>
          <w:snapToGrid w:val="0"/>
          <w:color w:val="auto"/>
          <w:kern w:val="2"/>
          <w:sz w:val="24"/>
          <w:szCs w:val="21"/>
          <w:highlight w:val="none"/>
          <w:lang w:val="en-US" w:eastAsia="zh-CN" w:bidi="ar-SA"/>
        </w:rPr>
        <w:t>5.若供应商人员在采购人食堂就餐，由供应商自行充值，具体按照采购人食堂管理制度执行，采购人不额外支付此部分费用。</w:t>
      </w:r>
    </w:p>
    <w:p w14:paraId="099A8ABE">
      <w:pPr>
        <w:pStyle w:val="6"/>
        <w:numPr>
          <w:ilvl w:val="0"/>
          <w:numId w:val="0"/>
        </w:numPr>
        <w:ind w:firstLine="480" w:firstLineChars="200"/>
        <w:rPr>
          <w:rFonts w:hint="eastAsia" w:cs="Arial" w:eastAsiaTheme="minorEastAsia"/>
          <w:b/>
          <w:bCs/>
          <w:snapToGrid w:val="0"/>
          <w:color w:val="auto"/>
          <w:kern w:val="2"/>
          <w:sz w:val="24"/>
          <w:szCs w:val="21"/>
          <w:highlight w:val="none"/>
          <w:lang w:val="en-US" w:eastAsia="zh-CN" w:bidi="ar-SA"/>
        </w:rPr>
      </w:pP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若因</w:t>
      </w:r>
      <w:r>
        <w:rPr>
          <w:rFonts w:hint="eastAsia" w:hAnsi="宋体" w:cs="仿宋"/>
          <w:color w:val="auto"/>
          <w:szCs w:val="21"/>
          <w:highlight w:val="none"/>
          <w:lang w:val="en-US" w:eastAsia="zh-CN"/>
        </w:rPr>
        <w:t>供应商</w:t>
      </w:r>
      <w:r>
        <w:rPr>
          <w:rFonts w:hint="eastAsia" w:ascii="宋体" w:hAnsi="宋体" w:cs="仿宋"/>
          <w:color w:val="auto"/>
          <w:szCs w:val="21"/>
          <w:highlight w:val="none"/>
        </w:rPr>
        <w:t>技术能力不足或未按约定履行义务导致项目实施失败无法通过验收，风险责任由</w:t>
      </w:r>
      <w:r>
        <w:rPr>
          <w:rFonts w:hint="eastAsia" w:hAnsi="宋体" w:cs="仿宋"/>
          <w:color w:val="auto"/>
          <w:szCs w:val="21"/>
          <w:highlight w:val="none"/>
          <w:lang w:val="en-US" w:eastAsia="zh-CN"/>
        </w:rPr>
        <w:t>供应商</w:t>
      </w:r>
      <w:r>
        <w:rPr>
          <w:rFonts w:hint="eastAsia" w:ascii="宋体" w:hAnsi="宋体" w:cs="仿宋"/>
          <w:color w:val="auto"/>
          <w:szCs w:val="21"/>
          <w:highlight w:val="none"/>
        </w:rPr>
        <w:t>全部承担，</w:t>
      </w:r>
      <w:r>
        <w:rPr>
          <w:rFonts w:hint="eastAsia" w:hAnsi="宋体" w:cs="仿宋"/>
          <w:color w:val="auto"/>
          <w:szCs w:val="21"/>
          <w:highlight w:val="none"/>
          <w:lang w:val="en-US" w:eastAsia="zh-CN"/>
        </w:rPr>
        <w:t>采购人</w:t>
      </w:r>
      <w:r>
        <w:rPr>
          <w:rFonts w:hint="eastAsia" w:ascii="宋体" w:hAnsi="宋体" w:cs="仿宋"/>
          <w:color w:val="auto"/>
          <w:szCs w:val="21"/>
          <w:highlight w:val="none"/>
        </w:rPr>
        <w:t>支付的费用全部乙方需无息退还，同时承担违约责任。若因</w:t>
      </w:r>
      <w:r>
        <w:rPr>
          <w:rFonts w:hint="eastAsia" w:hAnsi="宋体" w:cs="仿宋"/>
          <w:color w:val="auto"/>
          <w:szCs w:val="21"/>
          <w:highlight w:val="none"/>
          <w:lang w:val="en-US" w:eastAsia="zh-CN"/>
        </w:rPr>
        <w:t>采购人</w:t>
      </w:r>
      <w:r>
        <w:rPr>
          <w:rFonts w:hint="eastAsia" w:ascii="宋体" w:hAnsi="宋体" w:cs="仿宋"/>
          <w:color w:val="auto"/>
          <w:szCs w:val="21"/>
          <w:highlight w:val="none"/>
        </w:rPr>
        <w:t>中途变更核心需求、未配合验收等原因导致项目实施失败</w:t>
      </w:r>
      <w:r>
        <w:rPr>
          <w:rFonts w:hint="eastAsia" w:hAnsi="宋体" w:cs="仿宋"/>
          <w:color w:val="auto"/>
          <w:szCs w:val="21"/>
          <w:highlight w:val="none"/>
          <w:lang w:eastAsia="zh-CN"/>
        </w:rPr>
        <w:t>，</w:t>
      </w:r>
      <w:r>
        <w:rPr>
          <w:rFonts w:hint="eastAsia" w:hAnsi="宋体" w:cs="仿宋"/>
          <w:color w:val="auto"/>
          <w:szCs w:val="21"/>
          <w:highlight w:val="none"/>
          <w:lang w:val="en-US" w:eastAsia="zh-CN"/>
        </w:rPr>
        <w:t>供应商</w:t>
      </w:r>
      <w:r>
        <w:rPr>
          <w:rFonts w:hint="eastAsia" w:ascii="宋体" w:hAnsi="宋体" w:cs="仿宋"/>
          <w:color w:val="auto"/>
          <w:szCs w:val="21"/>
          <w:highlight w:val="none"/>
        </w:rPr>
        <w:t>可主张合理成本</w:t>
      </w:r>
      <w:r>
        <w:rPr>
          <w:rFonts w:hint="eastAsia" w:hAnsi="宋体" w:cs="仿宋"/>
          <w:color w:val="auto"/>
          <w:szCs w:val="21"/>
          <w:highlight w:val="none"/>
          <w:lang w:eastAsia="zh-CN"/>
        </w:rPr>
        <w:t>。</w:t>
      </w:r>
    </w:p>
    <w:p w14:paraId="1E76B485">
      <w:pPr>
        <w:pStyle w:val="6"/>
        <w:numPr>
          <w:ilvl w:val="0"/>
          <w:numId w:val="0"/>
        </w:numPr>
        <w:ind w:firstLine="482" w:firstLineChars="200"/>
        <w:rPr>
          <w:rFonts w:hint="eastAsia"/>
          <w:b/>
          <w:bCs/>
          <w:color w:val="auto"/>
          <w:highlight w:val="none"/>
          <w:lang w:val="en-US" w:eastAsia="zh-CN"/>
        </w:rPr>
      </w:pPr>
      <w:r>
        <w:rPr>
          <w:rFonts w:hint="eastAsia" w:cs="Arial"/>
          <w:b/>
          <w:bCs/>
          <w:snapToGrid w:val="0"/>
          <w:color w:val="auto"/>
          <w:kern w:val="2"/>
          <w:sz w:val="24"/>
          <w:szCs w:val="21"/>
          <w:highlight w:val="none"/>
          <w:lang w:val="en-US" w:eastAsia="zh-CN" w:bidi="ar-SA"/>
        </w:rPr>
        <w:t>八</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保密要求</w:t>
      </w:r>
    </w:p>
    <w:p w14:paraId="78A1C358">
      <w:pPr>
        <w:tabs>
          <w:tab w:val="left" w:pos="360"/>
          <w:tab w:val="left" w:pos="540"/>
          <w:tab w:val="left" w:pos="1080"/>
        </w:tabs>
        <w:adjustRightInd w:val="0"/>
        <w:snapToGrid w:val="0"/>
        <w:spacing w:line="360" w:lineRule="auto"/>
        <w:ind w:firstLine="480" w:firstLineChars="200"/>
        <w:rPr>
          <w:rFonts w:hint="eastAsia" w:eastAsia="宋体"/>
          <w:b/>
          <w:bCs/>
          <w:color w:val="auto"/>
          <w:highlight w:val="none"/>
          <w:lang w:val="en-US" w:eastAsia="zh-CN"/>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人提供的所有业务技术资料、文档，有责任对第三方保密；</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在供货过程中涉及第三方产品（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提供的），若出现技术、经济或法律上的纠纷，应由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全面承担并解决，确保不影响项目的进度。</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应严格遵守</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人关于保密方面的规定，自觉保守</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的商业秘密。</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人为方便项目实施所提供给</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的工作流程、管理模式、规程、程序等相关文档资料、文档、数据均属于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所有。未经</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人授权同意，</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不得另作他用。因</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原因导致上述资料、文档、数据或</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人商业秘密泄露的，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人有权要求</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采取措施消除影响并赔偿招标方损失</w:t>
      </w:r>
      <w:r>
        <w:rPr>
          <w:rFonts w:hint="eastAsia" w:ascii="宋体" w:hAnsi="宋体" w:eastAsia="宋体" w:cs="宋体"/>
          <w:color w:val="auto"/>
          <w:sz w:val="24"/>
          <w:highlight w:val="none"/>
          <w:lang w:val="en-US" w:eastAsia="zh-CN"/>
        </w:rPr>
        <w:t>.</w:t>
      </w:r>
    </w:p>
    <w:p w14:paraId="5EF29822">
      <w:pPr>
        <w:pStyle w:val="6"/>
        <w:numPr>
          <w:ilvl w:val="0"/>
          <w:numId w:val="0"/>
        </w:numPr>
        <w:ind w:firstLine="480" w:firstLineChars="200"/>
        <w:rPr>
          <w:rFonts w:hint="eastAsia"/>
          <w:color w:val="auto"/>
          <w:highlight w:val="none"/>
          <w:lang w:val="en-US" w:eastAsia="zh-CN"/>
        </w:rPr>
      </w:pPr>
    </w:p>
    <w:p w14:paraId="3ABDA1E9">
      <w:pPr>
        <w:pStyle w:val="6"/>
        <w:numPr>
          <w:ilvl w:val="0"/>
          <w:numId w:val="0"/>
        </w:numPr>
        <w:ind w:firstLine="482" w:firstLineChars="200"/>
        <w:rPr>
          <w:rFonts w:hint="default"/>
          <w:b/>
          <w:bCs/>
          <w:color w:val="auto"/>
          <w:highlight w:val="none"/>
          <w:lang w:val="en-US" w:eastAsia="zh-CN"/>
        </w:rPr>
      </w:pPr>
    </w:p>
    <w:p w14:paraId="1CABA9E1">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7DB689D0">
      <w:pPr>
        <w:rPr>
          <w:rFonts w:hint="eastAsia"/>
          <w:color w:val="auto"/>
          <w:highlight w:val="none"/>
          <w:lang w:eastAsia="zh-CN"/>
        </w:rPr>
      </w:pPr>
    </w:p>
    <w:p w14:paraId="79F7B883">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6" w:name="_Toc184314454"/>
      <w:bookmarkEnd w:id="26"/>
      <w:bookmarkStart w:id="27" w:name="_Toc184310323"/>
      <w:bookmarkEnd w:id="27"/>
      <w:bookmarkStart w:id="28" w:name="_Toc184312082"/>
      <w:bookmarkEnd w:id="28"/>
      <w:bookmarkStart w:id="29" w:name="_Toc184314432"/>
      <w:bookmarkEnd w:id="29"/>
      <w:bookmarkStart w:id="30" w:name="_Toc184308104"/>
      <w:bookmarkEnd w:id="30"/>
      <w:bookmarkStart w:id="31" w:name="_Toc184312122"/>
      <w:bookmarkEnd w:id="31"/>
      <w:bookmarkStart w:id="32" w:name="_Toc184308052"/>
      <w:bookmarkEnd w:id="32"/>
      <w:bookmarkStart w:id="33" w:name="_Toc184314449"/>
      <w:bookmarkEnd w:id="33"/>
      <w:bookmarkStart w:id="34" w:name="_Toc184313269"/>
      <w:bookmarkEnd w:id="34"/>
      <w:bookmarkStart w:id="35" w:name="_Toc184313297"/>
      <w:bookmarkEnd w:id="35"/>
      <w:bookmarkStart w:id="36" w:name="_Toc184314433"/>
      <w:bookmarkEnd w:id="36"/>
      <w:bookmarkStart w:id="37" w:name="_Toc184312073"/>
      <w:bookmarkEnd w:id="37"/>
      <w:bookmarkStart w:id="38" w:name="_Toc184314431"/>
      <w:bookmarkEnd w:id="38"/>
      <w:bookmarkStart w:id="39" w:name="_Toc184312137"/>
      <w:bookmarkEnd w:id="39"/>
      <w:bookmarkStart w:id="40" w:name="_Toc184312084"/>
      <w:bookmarkEnd w:id="40"/>
      <w:bookmarkStart w:id="41" w:name="_Toc184310301"/>
      <w:bookmarkEnd w:id="41"/>
      <w:bookmarkStart w:id="42" w:name="_Toc184308067"/>
      <w:bookmarkEnd w:id="42"/>
      <w:bookmarkStart w:id="43" w:name="_Toc184313270"/>
      <w:bookmarkEnd w:id="43"/>
      <w:bookmarkStart w:id="44" w:name="_Toc184312120"/>
      <w:bookmarkEnd w:id="44"/>
      <w:bookmarkStart w:id="45" w:name="_Toc184312079"/>
      <w:bookmarkEnd w:id="45"/>
      <w:bookmarkStart w:id="46" w:name="_Toc184308073"/>
      <w:bookmarkEnd w:id="46"/>
      <w:bookmarkStart w:id="47" w:name="_Toc184308045"/>
      <w:bookmarkEnd w:id="47"/>
      <w:bookmarkStart w:id="48" w:name="_Toc184310338"/>
      <w:bookmarkEnd w:id="48"/>
      <w:bookmarkStart w:id="49" w:name="_Toc184313247"/>
      <w:bookmarkEnd w:id="49"/>
      <w:bookmarkStart w:id="50" w:name="_Toc184313283"/>
      <w:bookmarkEnd w:id="50"/>
      <w:bookmarkStart w:id="51" w:name="_Toc184312123"/>
      <w:bookmarkEnd w:id="51"/>
      <w:bookmarkStart w:id="52" w:name="_Toc184314477"/>
      <w:bookmarkEnd w:id="52"/>
      <w:bookmarkStart w:id="53" w:name="_Toc184308070"/>
      <w:bookmarkEnd w:id="53"/>
      <w:bookmarkStart w:id="54" w:name="_Toc184308049"/>
      <w:bookmarkEnd w:id="54"/>
      <w:bookmarkStart w:id="55" w:name="_Toc184313254"/>
      <w:bookmarkEnd w:id="55"/>
      <w:bookmarkStart w:id="56" w:name="_Toc184310295"/>
      <w:bookmarkEnd w:id="56"/>
      <w:bookmarkStart w:id="57" w:name="_Toc184308063"/>
      <w:bookmarkEnd w:id="57"/>
      <w:bookmarkStart w:id="58" w:name="_Toc184313280"/>
      <w:bookmarkEnd w:id="58"/>
      <w:bookmarkStart w:id="59" w:name="_Toc184308059"/>
      <w:bookmarkEnd w:id="59"/>
      <w:bookmarkStart w:id="60" w:name="_Toc184312118"/>
      <w:bookmarkEnd w:id="60"/>
      <w:bookmarkStart w:id="61" w:name="_Toc184314468"/>
      <w:bookmarkEnd w:id="61"/>
      <w:bookmarkStart w:id="62" w:name="_Toc184310292"/>
      <w:bookmarkEnd w:id="62"/>
      <w:bookmarkStart w:id="63" w:name="_Toc184314428"/>
      <w:bookmarkEnd w:id="63"/>
      <w:bookmarkStart w:id="64" w:name="_Toc184313262"/>
      <w:bookmarkEnd w:id="64"/>
      <w:bookmarkStart w:id="65" w:name="_Toc184312119"/>
      <w:bookmarkEnd w:id="65"/>
      <w:bookmarkStart w:id="66" w:name="_Toc184308046"/>
      <w:bookmarkEnd w:id="66"/>
      <w:bookmarkStart w:id="67" w:name="_Toc184314445"/>
      <w:bookmarkEnd w:id="67"/>
      <w:bookmarkStart w:id="68" w:name="_Toc184314470"/>
      <w:bookmarkEnd w:id="68"/>
      <w:bookmarkStart w:id="69" w:name="_Toc184314450"/>
      <w:bookmarkEnd w:id="69"/>
      <w:bookmarkStart w:id="70" w:name="_Toc184308096"/>
      <w:bookmarkEnd w:id="70"/>
      <w:bookmarkStart w:id="71" w:name="_Toc184312099"/>
      <w:bookmarkEnd w:id="71"/>
      <w:bookmarkStart w:id="72" w:name="_Toc184310335"/>
      <w:bookmarkEnd w:id="72"/>
      <w:bookmarkStart w:id="73" w:name="_Toc184312071"/>
      <w:bookmarkEnd w:id="73"/>
      <w:bookmarkStart w:id="74" w:name="_Toc184310279"/>
      <w:bookmarkEnd w:id="74"/>
      <w:bookmarkStart w:id="75" w:name="_Toc184310302"/>
      <w:bookmarkEnd w:id="75"/>
      <w:bookmarkStart w:id="76" w:name="_Toc184312129"/>
      <w:bookmarkEnd w:id="76"/>
      <w:bookmarkStart w:id="77" w:name="_Toc184308042"/>
      <w:bookmarkEnd w:id="77"/>
      <w:bookmarkStart w:id="78" w:name="_Toc184313243"/>
      <w:bookmarkEnd w:id="78"/>
      <w:bookmarkStart w:id="79" w:name="_Toc184312067"/>
      <w:bookmarkEnd w:id="79"/>
      <w:bookmarkStart w:id="80" w:name="_Toc184314430"/>
      <w:bookmarkEnd w:id="80"/>
      <w:bookmarkStart w:id="81" w:name="_Toc184310272"/>
      <w:bookmarkEnd w:id="81"/>
      <w:bookmarkStart w:id="82" w:name="_Toc184314426"/>
      <w:bookmarkEnd w:id="82"/>
      <w:bookmarkStart w:id="83" w:name="_Toc184314436"/>
      <w:bookmarkEnd w:id="83"/>
      <w:bookmarkStart w:id="84" w:name="_Toc184314460"/>
      <w:bookmarkEnd w:id="84"/>
      <w:bookmarkStart w:id="85" w:name="_Toc184314471"/>
      <w:bookmarkEnd w:id="85"/>
      <w:bookmarkStart w:id="86" w:name="_Toc184310325"/>
      <w:bookmarkEnd w:id="86"/>
      <w:bookmarkStart w:id="87" w:name="_Toc184312133"/>
      <w:bookmarkEnd w:id="87"/>
      <w:bookmarkStart w:id="88" w:name="_Toc184310321"/>
      <w:bookmarkEnd w:id="88"/>
      <w:bookmarkStart w:id="89" w:name="_Toc184312102"/>
      <w:bookmarkEnd w:id="89"/>
      <w:bookmarkStart w:id="90" w:name="_Toc184313246"/>
      <w:bookmarkEnd w:id="90"/>
      <w:bookmarkStart w:id="91" w:name="_Toc184310297"/>
      <w:bookmarkEnd w:id="91"/>
      <w:bookmarkStart w:id="92" w:name="_Toc184308055"/>
      <w:bookmarkEnd w:id="92"/>
      <w:bookmarkStart w:id="93" w:name="_Toc184312083"/>
      <w:bookmarkEnd w:id="93"/>
      <w:bookmarkStart w:id="94" w:name="_Toc184312070"/>
      <w:bookmarkEnd w:id="94"/>
      <w:bookmarkStart w:id="95" w:name="_Toc184310299"/>
      <w:bookmarkEnd w:id="95"/>
      <w:bookmarkStart w:id="96" w:name="_Toc184310276"/>
      <w:bookmarkEnd w:id="96"/>
      <w:bookmarkStart w:id="97" w:name="_Toc184313245"/>
      <w:bookmarkEnd w:id="97"/>
      <w:bookmarkStart w:id="98" w:name="_Toc184312121"/>
      <w:bookmarkEnd w:id="98"/>
      <w:bookmarkStart w:id="99" w:name="_Toc184314410"/>
      <w:bookmarkEnd w:id="99"/>
      <w:bookmarkStart w:id="100" w:name="_Toc184312110"/>
      <w:bookmarkEnd w:id="100"/>
      <w:bookmarkStart w:id="101" w:name="_Toc184314482"/>
      <w:bookmarkEnd w:id="101"/>
      <w:bookmarkStart w:id="102" w:name="_Toc184312131"/>
      <w:bookmarkEnd w:id="102"/>
      <w:bookmarkStart w:id="103" w:name="_Toc184312089"/>
      <w:bookmarkEnd w:id="103"/>
      <w:bookmarkStart w:id="104" w:name="_Toc184308089"/>
      <w:bookmarkEnd w:id="104"/>
      <w:bookmarkStart w:id="105" w:name="_Toc184308064"/>
      <w:bookmarkEnd w:id="105"/>
      <w:bookmarkStart w:id="106" w:name="_Toc184314439"/>
      <w:bookmarkEnd w:id="106"/>
      <w:bookmarkStart w:id="107" w:name="_Toc184308054"/>
      <w:bookmarkEnd w:id="107"/>
      <w:bookmarkStart w:id="108" w:name="_Toc184308057"/>
      <w:bookmarkEnd w:id="108"/>
      <w:bookmarkStart w:id="109" w:name="_Toc184313308"/>
      <w:bookmarkEnd w:id="109"/>
      <w:bookmarkStart w:id="110" w:name="_Toc184308051"/>
      <w:bookmarkEnd w:id="110"/>
      <w:bookmarkStart w:id="111" w:name="_Toc184312132"/>
      <w:bookmarkEnd w:id="111"/>
      <w:bookmarkStart w:id="112" w:name="_Toc184310306"/>
      <w:bookmarkEnd w:id="112"/>
      <w:bookmarkStart w:id="113" w:name="_Toc184310285"/>
      <w:bookmarkEnd w:id="113"/>
      <w:bookmarkStart w:id="114" w:name="_Toc184313285"/>
      <w:bookmarkEnd w:id="114"/>
      <w:bookmarkStart w:id="115" w:name="_Toc184312103"/>
      <w:bookmarkEnd w:id="115"/>
      <w:bookmarkStart w:id="116" w:name="_Toc184313275"/>
      <w:bookmarkEnd w:id="116"/>
      <w:bookmarkStart w:id="117" w:name="_Toc184310294"/>
      <w:bookmarkEnd w:id="117"/>
      <w:bookmarkStart w:id="118" w:name="_Toc184313310"/>
      <w:bookmarkEnd w:id="118"/>
      <w:bookmarkStart w:id="119" w:name="_Toc184310303"/>
      <w:bookmarkEnd w:id="119"/>
      <w:bookmarkStart w:id="120" w:name="_Toc184308038"/>
      <w:bookmarkEnd w:id="120"/>
      <w:bookmarkStart w:id="121" w:name="_Toc184310331"/>
      <w:bookmarkEnd w:id="121"/>
      <w:bookmarkStart w:id="122" w:name="_Toc184312072"/>
      <w:bookmarkEnd w:id="122"/>
      <w:bookmarkStart w:id="123" w:name="_Toc184312127"/>
      <w:bookmarkEnd w:id="123"/>
      <w:bookmarkStart w:id="124" w:name="_Toc184308041"/>
      <w:bookmarkEnd w:id="124"/>
      <w:bookmarkStart w:id="125" w:name="_Toc184313303"/>
      <w:bookmarkEnd w:id="125"/>
      <w:bookmarkStart w:id="126" w:name="_Toc184308047"/>
      <w:bookmarkEnd w:id="126"/>
      <w:bookmarkStart w:id="127" w:name="_Toc184310290"/>
      <w:bookmarkEnd w:id="127"/>
      <w:bookmarkStart w:id="128" w:name="_Toc184308060"/>
      <w:bookmarkEnd w:id="128"/>
      <w:bookmarkStart w:id="129" w:name="_Toc184314478"/>
      <w:bookmarkEnd w:id="129"/>
      <w:bookmarkStart w:id="130" w:name="_Toc184314415"/>
      <w:bookmarkEnd w:id="130"/>
      <w:bookmarkStart w:id="131" w:name="_Toc184310300"/>
      <w:bookmarkEnd w:id="131"/>
      <w:bookmarkStart w:id="132" w:name="_Toc184313256"/>
      <w:bookmarkEnd w:id="132"/>
      <w:bookmarkStart w:id="133" w:name="_Toc184308058"/>
      <w:bookmarkEnd w:id="133"/>
      <w:bookmarkStart w:id="134" w:name="_Toc184310274"/>
      <w:bookmarkEnd w:id="134"/>
      <w:bookmarkStart w:id="135" w:name="_Toc184308065"/>
      <w:bookmarkEnd w:id="135"/>
      <w:bookmarkStart w:id="136" w:name="_Toc184312088"/>
      <w:bookmarkEnd w:id="136"/>
      <w:bookmarkStart w:id="137" w:name="_Toc184312086"/>
      <w:bookmarkEnd w:id="137"/>
      <w:bookmarkStart w:id="138" w:name="_Toc184314411"/>
      <w:bookmarkEnd w:id="138"/>
      <w:bookmarkStart w:id="139" w:name="_Toc184310342"/>
      <w:bookmarkEnd w:id="139"/>
      <w:bookmarkStart w:id="140" w:name="_Toc184310334"/>
      <w:bookmarkEnd w:id="140"/>
      <w:bookmarkStart w:id="141" w:name="_Toc184313274"/>
      <w:bookmarkEnd w:id="141"/>
      <w:bookmarkStart w:id="142" w:name="_Toc184314465"/>
      <w:bookmarkEnd w:id="142"/>
      <w:bookmarkStart w:id="143" w:name="_Toc184314437"/>
      <w:bookmarkEnd w:id="143"/>
      <w:bookmarkStart w:id="144" w:name="_Toc184310311"/>
      <w:bookmarkEnd w:id="144"/>
      <w:bookmarkStart w:id="145" w:name="_Toc184308102"/>
      <w:bookmarkEnd w:id="145"/>
      <w:bookmarkStart w:id="146" w:name="_Toc184308077"/>
      <w:bookmarkEnd w:id="146"/>
      <w:bookmarkStart w:id="147" w:name="_Toc184314462"/>
      <w:bookmarkEnd w:id="147"/>
      <w:bookmarkStart w:id="148" w:name="_Toc184312125"/>
      <w:bookmarkEnd w:id="148"/>
      <w:bookmarkStart w:id="149" w:name="_Toc184308062"/>
      <w:bookmarkEnd w:id="149"/>
      <w:bookmarkStart w:id="150" w:name="_Toc184310340"/>
      <w:bookmarkEnd w:id="150"/>
      <w:bookmarkStart w:id="151" w:name="_Toc184308105"/>
      <w:bookmarkEnd w:id="151"/>
      <w:bookmarkStart w:id="152" w:name="_Toc184313264"/>
      <w:bookmarkEnd w:id="152"/>
      <w:bookmarkStart w:id="153" w:name="_Toc184310310"/>
      <w:bookmarkEnd w:id="153"/>
      <w:bookmarkStart w:id="154" w:name="_Toc184310315"/>
      <w:bookmarkEnd w:id="154"/>
      <w:bookmarkStart w:id="155" w:name="_Toc184310308"/>
      <w:bookmarkEnd w:id="155"/>
      <w:bookmarkStart w:id="156" w:name="_Toc184310278"/>
      <w:bookmarkEnd w:id="156"/>
      <w:bookmarkStart w:id="157" w:name="_Toc184308085"/>
      <w:bookmarkEnd w:id="157"/>
      <w:bookmarkStart w:id="158" w:name="_Toc184312138"/>
      <w:bookmarkEnd w:id="158"/>
      <w:bookmarkStart w:id="159" w:name="_Toc184314457"/>
      <w:bookmarkEnd w:id="159"/>
      <w:bookmarkStart w:id="160" w:name="_Toc184312105"/>
      <w:bookmarkEnd w:id="160"/>
      <w:bookmarkStart w:id="161" w:name="_Toc184313293"/>
      <w:bookmarkEnd w:id="161"/>
      <w:bookmarkStart w:id="162" w:name="_Toc184310330"/>
      <w:bookmarkEnd w:id="162"/>
      <w:bookmarkStart w:id="163" w:name="_Toc184314447"/>
      <w:bookmarkEnd w:id="163"/>
      <w:bookmarkStart w:id="164" w:name="_Toc184313287"/>
      <w:bookmarkEnd w:id="164"/>
      <w:bookmarkStart w:id="165" w:name="_Toc184312081"/>
      <w:bookmarkEnd w:id="165"/>
      <w:bookmarkStart w:id="166" w:name="_Toc184308108"/>
      <w:bookmarkEnd w:id="166"/>
      <w:bookmarkStart w:id="167" w:name="_Toc184308048"/>
      <w:bookmarkEnd w:id="167"/>
      <w:bookmarkStart w:id="168" w:name="_Toc184313260"/>
      <w:bookmarkEnd w:id="168"/>
      <w:bookmarkStart w:id="169" w:name="_Toc184314479"/>
      <w:bookmarkEnd w:id="169"/>
      <w:bookmarkStart w:id="170" w:name="_Toc184313259"/>
      <w:bookmarkEnd w:id="170"/>
      <w:bookmarkStart w:id="171" w:name="_Toc184312085"/>
      <w:bookmarkEnd w:id="171"/>
      <w:bookmarkStart w:id="172" w:name="_Toc184310293"/>
      <w:bookmarkEnd w:id="172"/>
      <w:bookmarkStart w:id="173" w:name="_Toc184314421"/>
      <w:bookmarkEnd w:id="173"/>
      <w:bookmarkStart w:id="174" w:name="_Toc184313239"/>
      <w:bookmarkEnd w:id="174"/>
      <w:bookmarkStart w:id="175" w:name="_Toc184314463"/>
      <w:bookmarkEnd w:id="175"/>
      <w:bookmarkStart w:id="176" w:name="_Toc184313290"/>
      <w:bookmarkEnd w:id="176"/>
      <w:bookmarkStart w:id="177" w:name="_Toc184313291"/>
      <w:bookmarkEnd w:id="177"/>
      <w:bookmarkStart w:id="178" w:name="_Toc184310316"/>
      <w:bookmarkEnd w:id="178"/>
      <w:bookmarkStart w:id="179" w:name="_Toc184314442"/>
      <w:bookmarkEnd w:id="179"/>
      <w:bookmarkStart w:id="180" w:name="_Toc184313300"/>
      <w:bookmarkEnd w:id="180"/>
      <w:bookmarkStart w:id="181" w:name="_Toc184312100"/>
      <w:bookmarkEnd w:id="181"/>
      <w:bookmarkStart w:id="182" w:name="_Toc184312112"/>
      <w:bookmarkEnd w:id="182"/>
      <w:bookmarkStart w:id="183" w:name="_Toc184313289"/>
      <w:bookmarkEnd w:id="183"/>
      <w:bookmarkStart w:id="184" w:name="_Toc184308101"/>
      <w:bookmarkEnd w:id="184"/>
      <w:bookmarkStart w:id="185" w:name="_Toc184310296"/>
      <w:bookmarkEnd w:id="185"/>
      <w:bookmarkStart w:id="186" w:name="_Toc184314461"/>
      <w:bookmarkEnd w:id="186"/>
      <w:bookmarkStart w:id="187" w:name="_Toc184314444"/>
      <w:bookmarkEnd w:id="187"/>
      <w:bookmarkStart w:id="188" w:name="_Toc184310283"/>
      <w:bookmarkEnd w:id="188"/>
      <w:bookmarkStart w:id="189" w:name="_Toc184312096"/>
      <w:bookmarkEnd w:id="189"/>
      <w:bookmarkStart w:id="190" w:name="_Toc184312136"/>
      <w:bookmarkEnd w:id="190"/>
      <w:bookmarkStart w:id="191" w:name="_Toc184314466"/>
      <w:bookmarkEnd w:id="191"/>
      <w:bookmarkStart w:id="192" w:name="_Toc184310324"/>
      <w:bookmarkEnd w:id="192"/>
      <w:bookmarkStart w:id="193" w:name="_Toc184314452"/>
      <w:bookmarkEnd w:id="193"/>
      <w:bookmarkStart w:id="194" w:name="_Toc184312080"/>
      <w:bookmarkEnd w:id="194"/>
      <w:bookmarkStart w:id="195" w:name="_Toc184308036"/>
      <w:bookmarkEnd w:id="195"/>
      <w:bookmarkStart w:id="196" w:name="_Toc184310339"/>
      <w:bookmarkEnd w:id="196"/>
      <w:bookmarkStart w:id="197" w:name="_Toc184310328"/>
      <w:bookmarkEnd w:id="197"/>
      <w:bookmarkStart w:id="198" w:name="_Toc184310344"/>
      <w:bookmarkEnd w:id="198"/>
      <w:bookmarkStart w:id="199" w:name="_Toc184313258"/>
      <w:bookmarkEnd w:id="199"/>
      <w:bookmarkStart w:id="200" w:name="_Toc184308040"/>
      <w:bookmarkEnd w:id="200"/>
      <w:bookmarkStart w:id="201" w:name="_Toc184308107"/>
      <w:bookmarkEnd w:id="201"/>
      <w:bookmarkStart w:id="202" w:name="_Toc184312104"/>
      <w:bookmarkEnd w:id="202"/>
      <w:bookmarkStart w:id="203" w:name="_Toc184310343"/>
      <w:bookmarkEnd w:id="203"/>
      <w:bookmarkStart w:id="204" w:name="_Toc184310329"/>
      <w:bookmarkEnd w:id="204"/>
      <w:bookmarkStart w:id="205" w:name="_Toc184314416"/>
      <w:bookmarkEnd w:id="205"/>
      <w:bookmarkStart w:id="206" w:name="_Toc184314418"/>
      <w:bookmarkEnd w:id="206"/>
      <w:bookmarkStart w:id="207" w:name="_Toc184310282"/>
      <w:bookmarkEnd w:id="207"/>
      <w:bookmarkStart w:id="208" w:name="_Toc184313253"/>
      <w:bookmarkEnd w:id="208"/>
      <w:bookmarkStart w:id="209" w:name="_Toc184310336"/>
      <w:bookmarkEnd w:id="209"/>
      <w:bookmarkStart w:id="210" w:name="_Toc184310326"/>
      <w:bookmarkEnd w:id="210"/>
      <w:bookmarkStart w:id="211" w:name="_Toc184314413"/>
      <w:bookmarkEnd w:id="211"/>
      <w:bookmarkStart w:id="212" w:name="_Toc184313268"/>
      <w:bookmarkEnd w:id="212"/>
      <w:bookmarkStart w:id="213" w:name="_Toc184314480"/>
      <w:bookmarkEnd w:id="213"/>
      <w:bookmarkStart w:id="214" w:name="_Toc184310322"/>
      <w:bookmarkEnd w:id="214"/>
      <w:bookmarkStart w:id="215" w:name="_Toc184314441"/>
      <w:bookmarkEnd w:id="215"/>
      <w:bookmarkStart w:id="216" w:name="_Toc184312116"/>
      <w:bookmarkEnd w:id="216"/>
      <w:bookmarkStart w:id="217" w:name="_Toc184312108"/>
      <w:bookmarkEnd w:id="217"/>
      <w:bookmarkStart w:id="218" w:name="_Toc184308092"/>
      <w:bookmarkEnd w:id="218"/>
      <w:bookmarkStart w:id="219" w:name="_Toc184312126"/>
      <w:bookmarkEnd w:id="219"/>
      <w:bookmarkStart w:id="220" w:name="_Toc184310289"/>
      <w:bookmarkEnd w:id="220"/>
      <w:bookmarkStart w:id="221" w:name="_Toc184314417"/>
      <w:bookmarkEnd w:id="221"/>
      <w:bookmarkStart w:id="222" w:name="_Toc184310337"/>
      <w:bookmarkEnd w:id="222"/>
      <w:bookmarkStart w:id="223" w:name="_Toc184310327"/>
      <w:bookmarkEnd w:id="223"/>
      <w:bookmarkStart w:id="224" w:name="_Toc184310333"/>
      <w:bookmarkEnd w:id="224"/>
      <w:bookmarkStart w:id="225" w:name="_Toc184313249"/>
      <w:bookmarkEnd w:id="225"/>
      <w:bookmarkStart w:id="226" w:name="_Toc184312074"/>
      <w:bookmarkEnd w:id="226"/>
      <w:bookmarkStart w:id="227" w:name="_Toc184314446"/>
      <w:bookmarkEnd w:id="227"/>
      <w:bookmarkStart w:id="228" w:name="_Toc184312107"/>
      <w:bookmarkEnd w:id="228"/>
      <w:bookmarkStart w:id="229" w:name="_Toc184308066"/>
      <w:bookmarkEnd w:id="229"/>
      <w:bookmarkStart w:id="230" w:name="_Toc184310304"/>
      <w:bookmarkEnd w:id="230"/>
      <w:bookmarkStart w:id="231" w:name="_Toc184313299"/>
      <w:bookmarkEnd w:id="231"/>
      <w:bookmarkStart w:id="232" w:name="_Toc184308098"/>
      <w:bookmarkEnd w:id="232"/>
      <w:bookmarkStart w:id="233" w:name="_Toc184313265"/>
      <w:bookmarkEnd w:id="233"/>
      <w:bookmarkStart w:id="234" w:name="_Toc184312101"/>
      <w:bookmarkEnd w:id="234"/>
      <w:bookmarkStart w:id="235" w:name="_Toc184308095"/>
      <w:bookmarkEnd w:id="235"/>
      <w:bookmarkStart w:id="236" w:name="_Toc184310307"/>
      <w:bookmarkEnd w:id="236"/>
      <w:bookmarkStart w:id="237" w:name="_Toc184314448"/>
      <w:bookmarkEnd w:id="237"/>
      <w:bookmarkStart w:id="238" w:name="_Toc184312114"/>
      <w:bookmarkEnd w:id="238"/>
      <w:bookmarkStart w:id="239" w:name="_Toc184310317"/>
      <w:bookmarkEnd w:id="239"/>
      <w:bookmarkStart w:id="240" w:name="_Toc184313252"/>
      <w:bookmarkEnd w:id="240"/>
      <w:bookmarkStart w:id="241" w:name="_Toc184313286"/>
      <w:bookmarkEnd w:id="241"/>
      <w:bookmarkStart w:id="242" w:name="_Toc184313279"/>
      <w:bookmarkEnd w:id="242"/>
      <w:bookmarkStart w:id="243" w:name="_Toc184314420"/>
      <w:bookmarkEnd w:id="243"/>
      <w:bookmarkStart w:id="244" w:name="_Toc184310318"/>
      <w:bookmarkEnd w:id="244"/>
      <w:bookmarkStart w:id="245" w:name="_Toc184310280"/>
      <w:bookmarkEnd w:id="245"/>
      <w:bookmarkStart w:id="246" w:name="_Toc184313261"/>
      <w:bookmarkEnd w:id="246"/>
      <w:bookmarkStart w:id="247" w:name="_Toc184308044"/>
      <w:bookmarkEnd w:id="247"/>
      <w:bookmarkStart w:id="248" w:name="_Toc184313306"/>
      <w:bookmarkEnd w:id="248"/>
      <w:bookmarkStart w:id="249" w:name="_Toc184312076"/>
      <w:bookmarkEnd w:id="249"/>
      <w:bookmarkStart w:id="250" w:name="_Toc184312113"/>
      <w:bookmarkEnd w:id="250"/>
      <w:bookmarkStart w:id="251" w:name="_Toc184312135"/>
      <w:bookmarkEnd w:id="251"/>
      <w:bookmarkStart w:id="252" w:name="_Toc184308037"/>
      <w:bookmarkEnd w:id="252"/>
      <w:bookmarkStart w:id="253" w:name="_Toc184313241"/>
      <w:bookmarkEnd w:id="253"/>
      <w:bookmarkStart w:id="254" w:name="_Toc184312117"/>
      <w:bookmarkEnd w:id="254"/>
      <w:bookmarkStart w:id="255" w:name="_Toc184313282"/>
      <w:bookmarkEnd w:id="255"/>
      <w:bookmarkStart w:id="256" w:name="_Toc184314412"/>
      <w:bookmarkEnd w:id="256"/>
      <w:bookmarkStart w:id="257" w:name="_Toc184313242"/>
      <w:bookmarkEnd w:id="257"/>
      <w:bookmarkStart w:id="258" w:name="_Toc184308043"/>
      <w:bookmarkEnd w:id="258"/>
      <w:bookmarkStart w:id="259" w:name="_Toc184310273"/>
      <w:bookmarkEnd w:id="259"/>
      <w:bookmarkStart w:id="260" w:name="_Toc184313295"/>
      <w:bookmarkEnd w:id="260"/>
      <w:bookmarkStart w:id="261" w:name="_Toc184308050"/>
      <w:bookmarkEnd w:id="261"/>
      <w:bookmarkStart w:id="262" w:name="_Toc184313307"/>
      <w:bookmarkEnd w:id="262"/>
      <w:bookmarkStart w:id="263" w:name="_Toc184313266"/>
      <w:bookmarkEnd w:id="263"/>
      <w:bookmarkStart w:id="264" w:name="_Toc184312115"/>
      <w:bookmarkEnd w:id="264"/>
      <w:bookmarkStart w:id="265" w:name="_Toc184313278"/>
      <w:bookmarkEnd w:id="265"/>
      <w:bookmarkStart w:id="266" w:name="_Toc184314481"/>
      <w:bookmarkEnd w:id="266"/>
      <w:bookmarkStart w:id="267" w:name="_Toc184313257"/>
      <w:bookmarkEnd w:id="267"/>
      <w:bookmarkStart w:id="268" w:name="_Toc184313304"/>
      <w:bookmarkEnd w:id="268"/>
      <w:bookmarkStart w:id="269" w:name="_Toc184314443"/>
      <w:bookmarkEnd w:id="269"/>
      <w:bookmarkStart w:id="270" w:name="_Toc184314424"/>
      <w:bookmarkEnd w:id="270"/>
      <w:bookmarkStart w:id="271" w:name="_Toc184313294"/>
      <w:bookmarkEnd w:id="271"/>
      <w:bookmarkStart w:id="272" w:name="_Toc184308056"/>
      <w:bookmarkEnd w:id="272"/>
      <w:bookmarkStart w:id="273" w:name="_Toc184310284"/>
      <w:bookmarkEnd w:id="273"/>
      <w:bookmarkStart w:id="274" w:name="_Toc184313272"/>
      <w:bookmarkEnd w:id="274"/>
      <w:bookmarkStart w:id="275" w:name="_Toc184312075"/>
      <w:bookmarkEnd w:id="275"/>
      <w:bookmarkStart w:id="276" w:name="_Toc184314423"/>
      <w:bookmarkEnd w:id="276"/>
      <w:bookmarkStart w:id="277" w:name="_Toc184308088"/>
      <w:bookmarkEnd w:id="277"/>
      <w:bookmarkStart w:id="278" w:name="_Toc184314459"/>
      <w:bookmarkEnd w:id="278"/>
      <w:bookmarkStart w:id="279" w:name="_Toc184308097"/>
      <w:bookmarkEnd w:id="279"/>
      <w:bookmarkStart w:id="280" w:name="_Toc184312098"/>
      <w:bookmarkEnd w:id="280"/>
      <w:bookmarkStart w:id="281" w:name="_Toc184313277"/>
      <w:bookmarkEnd w:id="281"/>
      <w:bookmarkStart w:id="282" w:name="_Toc184314427"/>
      <w:bookmarkEnd w:id="282"/>
      <w:bookmarkStart w:id="283" w:name="_Toc184314475"/>
      <w:bookmarkEnd w:id="283"/>
      <w:bookmarkStart w:id="284" w:name="_Toc184308080"/>
      <w:bookmarkEnd w:id="284"/>
      <w:bookmarkStart w:id="285" w:name="_Toc184314440"/>
      <w:bookmarkEnd w:id="285"/>
      <w:bookmarkStart w:id="286" w:name="_Toc184310320"/>
      <w:bookmarkEnd w:id="286"/>
      <w:bookmarkStart w:id="287" w:name="_Toc184312078"/>
      <w:bookmarkEnd w:id="287"/>
      <w:bookmarkStart w:id="288" w:name="_Toc184314414"/>
      <w:bookmarkEnd w:id="288"/>
      <w:bookmarkStart w:id="289" w:name="_Toc184314474"/>
      <w:bookmarkEnd w:id="289"/>
      <w:bookmarkStart w:id="290" w:name="_Toc184313248"/>
      <w:bookmarkEnd w:id="290"/>
      <w:bookmarkStart w:id="291" w:name="_Toc184310291"/>
      <w:bookmarkEnd w:id="291"/>
      <w:bookmarkStart w:id="292" w:name="_Toc184308061"/>
      <w:bookmarkEnd w:id="292"/>
      <w:bookmarkStart w:id="293" w:name="_Toc184314425"/>
      <w:bookmarkEnd w:id="293"/>
      <w:bookmarkStart w:id="294" w:name="_Toc184312109"/>
      <w:bookmarkEnd w:id="294"/>
      <w:bookmarkStart w:id="295" w:name="_Toc184313296"/>
      <w:bookmarkEnd w:id="295"/>
      <w:bookmarkStart w:id="296" w:name="_Toc184308078"/>
      <w:bookmarkEnd w:id="296"/>
      <w:bookmarkStart w:id="297" w:name="_Toc184312111"/>
      <w:bookmarkEnd w:id="297"/>
      <w:bookmarkStart w:id="298" w:name="_Toc184308068"/>
      <w:bookmarkEnd w:id="298"/>
      <w:bookmarkStart w:id="299" w:name="_Toc184314453"/>
      <w:bookmarkEnd w:id="299"/>
      <w:bookmarkStart w:id="300" w:name="_Toc184310298"/>
      <w:bookmarkEnd w:id="300"/>
      <w:bookmarkStart w:id="301" w:name="_Toc184308069"/>
      <w:bookmarkEnd w:id="301"/>
      <w:bookmarkStart w:id="302" w:name="_Toc184312069"/>
      <w:bookmarkEnd w:id="302"/>
      <w:bookmarkStart w:id="303" w:name="_Toc184312087"/>
      <w:bookmarkEnd w:id="303"/>
      <w:bookmarkStart w:id="304" w:name="_Toc184313288"/>
      <w:bookmarkEnd w:id="304"/>
      <w:bookmarkStart w:id="305" w:name="_Toc184308083"/>
      <w:bookmarkEnd w:id="305"/>
      <w:bookmarkStart w:id="306" w:name="_Toc184310309"/>
      <w:bookmarkEnd w:id="306"/>
      <w:bookmarkStart w:id="307" w:name="_Toc184308091"/>
      <w:bookmarkEnd w:id="307"/>
      <w:bookmarkStart w:id="308" w:name="_Toc184312124"/>
      <w:bookmarkEnd w:id="308"/>
      <w:bookmarkStart w:id="309" w:name="_Toc184312068"/>
      <w:bookmarkEnd w:id="309"/>
      <w:bookmarkStart w:id="310" w:name="_Toc184308093"/>
      <w:bookmarkEnd w:id="310"/>
      <w:bookmarkStart w:id="311" w:name="_Toc184310288"/>
      <w:bookmarkEnd w:id="311"/>
      <w:bookmarkStart w:id="312" w:name="_Toc184312094"/>
      <w:bookmarkEnd w:id="312"/>
      <w:bookmarkStart w:id="313" w:name="_Toc184313255"/>
      <w:bookmarkEnd w:id="313"/>
      <w:bookmarkStart w:id="314" w:name="_Toc184310287"/>
      <w:bookmarkEnd w:id="314"/>
      <w:bookmarkStart w:id="315" w:name="_Toc184314419"/>
      <w:bookmarkEnd w:id="315"/>
      <w:bookmarkStart w:id="316" w:name="_Toc184308106"/>
      <w:bookmarkEnd w:id="316"/>
      <w:bookmarkStart w:id="317" w:name="_Toc184308087"/>
      <w:bookmarkEnd w:id="317"/>
      <w:bookmarkStart w:id="318" w:name="_Toc184308094"/>
      <w:bookmarkEnd w:id="318"/>
      <w:bookmarkStart w:id="319" w:name="_Toc184312090"/>
      <w:bookmarkEnd w:id="319"/>
      <w:bookmarkStart w:id="320" w:name="_Toc184314476"/>
      <w:bookmarkEnd w:id="320"/>
      <w:bookmarkStart w:id="321" w:name="_Toc184308082"/>
      <w:bookmarkEnd w:id="321"/>
      <w:bookmarkStart w:id="322" w:name="_Toc184314455"/>
      <w:bookmarkEnd w:id="322"/>
      <w:bookmarkStart w:id="323" w:name="_Toc184308079"/>
      <w:bookmarkEnd w:id="323"/>
      <w:bookmarkStart w:id="324" w:name="_Toc184313276"/>
      <w:bookmarkEnd w:id="324"/>
      <w:bookmarkStart w:id="325" w:name="_Toc184313267"/>
      <w:bookmarkEnd w:id="325"/>
      <w:bookmarkStart w:id="326" w:name="_Toc184312130"/>
      <w:bookmarkEnd w:id="326"/>
      <w:bookmarkStart w:id="327" w:name="_Toc184314472"/>
      <w:bookmarkEnd w:id="327"/>
      <w:bookmarkStart w:id="328" w:name="_Toc184313263"/>
      <w:bookmarkEnd w:id="328"/>
      <w:bookmarkStart w:id="329" w:name="_Toc184314469"/>
      <w:bookmarkEnd w:id="329"/>
      <w:bookmarkStart w:id="330" w:name="_Toc184314456"/>
      <w:bookmarkEnd w:id="330"/>
      <w:bookmarkStart w:id="331" w:name="_Toc184308103"/>
      <w:bookmarkEnd w:id="331"/>
      <w:bookmarkStart w:id="332" w:name="_Toc184308074"/>
      <w:bookmarkEnd w:id="332"/>
      <w:bookmarkStart w:id="333" w:name="_Toc184308099"/>
      <w:bookmarkEnd w:id="333"/>
      <w:bookmarkStart w:id="334" w:name="_Toc184310319"/>
      <w:bookmarkEnd w:id="334"/>
      <w:bookmarkStart w:id="335" w:name="_Toc184313302"/>
      <w:bookmarkEnd w:id="335"/>
      <w:bookmarkStart w:id="336" w:name="_Toc184313238"/>
      <w:bookmarkEnd w:id="336"/>
      <w:bookmarkStart w:id="337" w:name="_Toc184313250"/>
      <w:bookmarkEnd w:id="337"/>
      <w:bookmarkStart w:id="338" w:name="_Toc184310305"/>
      <w:bookmarkEnd w:id="338"/>
      <w:bookmarkStart w:id="339" w:name="_Toc184313284"/>
      <w:bookmarkEnd w:id="339"/>
      <w:bookmarkStart w:id="340" w:name="_Toc184314438"/>
      <w:bookmarkEnd w:id="340"/>
      <w:bookmarkStart w:id="341" w:name="_Toc184308075"/>
      <w:bookmarkEnd w:id="341"/>
      <w:bookmarkStart w:id="342" w:name="_Toc184310286"/>
      <w:bookmarkEnd w:id="342"/>
      <w:bookmarkStart w:id="343" w:name="_Toc184313273"/>
      <w:bookmarkEnd w:id="343"/>
      <w:bookmarkStart w:id="344" w:name="_Toc184310341"/>
      <w:bookmarkEnd w:id="344"/>
      <w:bookmarkStart w:id="345" w:name="_Toc184314464"/>
      <w:bookmarkEnd w:id="345"/>
      <w:bookmarkStart w:id="346" w:name="_Toc184314451"/>
      <w:bookmarkEnd w:id="346"/>
      <w:bookmarkStart w:id="347" w:name="_Toc184312077"/>
      <w:bookmarkEnd w:id="347"/>
      <w:bookmarkStart w:id="348" w:name="_Toc184308072"/>
      <w:bookmarkEnd w:id="348"/>
      <w:bookmarkStart w:id="349" w:name="_Toc184312139"/>
      <w:bookmarkEnd w:id="349"/>
      <w:bookmarkStart w:id="350" w:name="_Toc184313301"/>
      <w:bookmarkEnd w:id="350"/>
      <w:bookmarkStart w:id="351" w:name="_Toc184313292"/>
      <w:bookmarkEnd w:id="351"/>
      <w:bookmarkStart w:id="352" w:name="_Toc184314473"/>
      <w:bookmarkEnd w:id="352"/>
      <w:bookmarkStart w:id="353" w:name="_Toc184312092"/>
      <w:bookmarkEnd w:id="353"/>
      <w:bookmarkStart w:id="354" w:name="_Toc184313240"/>
      <w:bookmarkEnd w:id="354"/>
      <w:bookmarkStart w:id="355" w:name="_Toc184313298"/>
      <w:bookmarkEnd w:id="355"/>
      <w:bookmarkStart w:id="356" w:name="_Toc184308071"/>
      <w:bookmarkEnd w:id="356"/>
      <w:bookmarkStart w:id="357" w:name="_Toc184310312"/>
      <w:bookmarkEnd w:id="357"/>
      <w:bookmarkStart w:id="358" w:name="_Toc184313244"/>
      <w:bookmarkEnd w:id="358"/>
      <w:bookmarkStart w:id="359" w:name="_Toc184312095"/>
      <w:bookmarkEnd w:id="359"/>
      <w:bookmarkStart w:id="360" w:name="_Toc184308090"/>
      <w:bookmarkEnd w:id="360"/>
      <w:bookmarkStart w:id="361" w:name="_Toc184313309"/>
      <w:bookmarkEnd w:id="361"/>
      <w:bookmarkStart w:id="362" w:name="_Toc184314458"/>
      <w:bookmarkEnd w:id="362"/>
      <w:bookmarkStart w:id="363" w:name="_Toc184308076"/>
      <w:bookmarkEnd w:id="363"/>
      <w:bookmarkStart w:id="364" w:name="_Toc184314434"/>
      <w:bookmarkEnd w:id="364"/>
      <w:bookmarkStart w:id="365" w:name="_Toc184308053"/>
      <w:bookmarkEnd w:id="365"/>
      <w:bookmarkStart w:id="366" w:name="_Toc184310281"/>
      <w:bookmarkEnd w:id="366"/>
      <w:bookmarkStart w:id="367" w:name="_Toc184308086"/>
      <w:bookmarkEnd w:id="367"/>
      <w:bookmarkStart w:id="368" w:name="_Toc184313251"/>
      <w:bookmarkEnd w:id="368"/>
      <w:bookmarkStart w:id="369" w:name="_Toc184310313"/>
      <w:bookmarkEnd w:id="369"/>
      <w:bookmarkStart w:id="370" w:name="_Toc184310332"/>
      <w:bookmarkEnd w:id="370"/>
      <w:bookmarkStart w:id="371" w:name="_Toc184310277"/>
      <w:bookmarkEnd w:id="371"/>
      <w:bookmarkStart w:id="372" w:name="_Toc184308039"/>
      <w:bookmarkEnd w:id="372"/>
      <w:bookmarkStart w:id="373" w:name="_Toc184313271"/>
      <w:bookmarkEnd w:id="373"/>
      <w:bookmarkStart w:id="374" w:name="_Toc184313305"/>
      <w:bookmarkEnd w:id="374"/>
      <w:bookmarkStart w:id="375" w:name="_Toc184314467"/>
      <w:bookmarkEnd w:id="375"/>
      <w:bookmarkStart w:id="376" w:name="_Toc184312106"/>
      <w:bookmarkEnd w:id="376"/>
      <w:bookmarkStart w:id="377" w:name="_Toc184312134"/>
      <w:bookmarkEnd w:id="377"/>
      <w:bookmarkStart w:id="378" w:name="_Toc184314429"/>
      <w:bookmarkEnd w:id="378"/>
      <w:bookmarkStart w:id="379" w:name="_Toc184314435"/>
      <w:bookmarkEnd w:id="379"/>
      <w:bookmarkStart w:id="380" w:name="_Toc184313281"/>
      <w:bookmarkEnd w:id="380"/>
      <w:bookmarkStart w:id="381" w:name="_Toc184312093"/>
      <w:bookmarkEnd w:id="381"/>
      <w:bookmarkStart w:id="382" w:name="_Toc184308081"/>
      <w:bookmarkEnd w:id="382"/>
      <w:bookmarkStart w:id="383" w:name="_Toc184310275"/>
      <w:bookmarkEnd w:id="383"/>
      <w:bookmarkStart w:id="384" w:name="_Toc184312091"/>
      <w:bookmarkEnd w:id="384"/>
      <w:bookmarkStart w:id="385" w:name="_Toc184310314"/>
      <w:bookmarkEnd w:id="385"/>
      <w:bookmarkStart w:id="386" w:name="_Toc184308084"/>
      <w:bookmarkEnd w:id="386"/>
      <w:bookmarkStart w:id="387" w:name="_Toc184312128"/>
      <w:bookmarkEnd w:id="387"/>
      <w:bookmarkStart w:id="388" w:name="_Toc184314422"/>
      <w:bookmarkEnd w:id="388"/>
      <w:bookmarkStart w:id="389" w:name="_Toc184308100"/>
      <w:bookmarkEnd w:id="389"/>
      <w:bookmarkStart w:id="390" w:name="_Toc184312097"/>
      <w:bookmarkEnd w:id="390"/>
      <w:r>
        <w:rPr>
          <w:rFonts w:hint="eastAsia" w:cs="仿宋" w:asciiTheme="minorEastAsia" w:hAnsiTheme="minorEastAsia"/>
          <w:b/>
          <w:color w:val="auto"/>
          <w:sz w:val="36"/>
          <w:szCs w:val="36"/>
          <w:highlight w:val="none"/>
        </w:rPr>
        <w:t>评审方法</w:t>
      </w:r>
    </w:p>
    <w:p w14:paraId="518D5A87">
      <w:pPr>
        <w:adjustRightInd w:val="0"/>
        <w:snapToGrid w:val="0"/>
        <w:spacing w:line="460" w:lineRule="exact"/>
        <w:ind w:firstLine="480" w:firstLineChars="200"/>
        <w:rPr>
          <w:rFonts w:cs="仿宋" w:asciiTheme="minorEastAsia" w:hAnsiTheme="minorEastAsia"/>
          <w:color w:val="auto"/>
          <w:sz w:val="24"/>
          <w:highlight w:val="none"/>
        </w:rPr>
      </w:pPr>
    </w:p>
    <w:p w14:paraId="7E587F5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63701B7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5850843">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26B4FE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5E542B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3D089D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6F3CCDA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4D8706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09D56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1DAAF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14:paraId="20A6B097">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1B6C9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3A9F03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38D8160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1.评审办法：询价评审小组应当从质量和服务均能满足询价采购文件实质性响应要求的供应商中，按照</w:t>
      </w:r>
      <w:r>
        <w:rPr>
          <w:rFonts w:hint="eastAsia" w:cs="仿宋" w:asciiTheme="minorEastAsia" w:hAnsiTheme="minorEastAsia"/>
          <w:color w:val="0000FF"/>
          <w:sz w:val="24"/>
          <w:highlight w:val="none"/>
          <w:lang w:val="en-US" w:eastAsia="zh-CN"/>
        </w:rPr>
        <w:t>本项目10年所需总金额的</w:t>
      </w:r>
      <w:r>
        <w:rPr>
          <w:rFonts w:hint="eastAsia" w:cs="仿宋" w:asciiTheme="minorEastAsia" w:hAnsiTheme="minorEastAsia"/>
          <w:b/>
          <w:bCs/>
          <w:color w:val="auto"/>
          <w:sz w:val="24"/>
          <w:highlight w:val="none"/>
          <w:lang w:eastAsia="zh-CN"/>
        </w:rPr>
        <w:t>除税总金额</w:t>
      </w:r>
      <w:r>
        <w:rPr>
          <w:rFonts w:hint="eastAsia" w:cs="仿宋" w:asciiTheme="minorEastAsia" w:hAnsiTheme="minorEastAsia"/>
          <w:color w:val="auto"/>
          <w:sz w:val="24"/>
          <w:highlight w:val="none"/>
          <w:lang w:eastAsia="zh-CN"/>
        </w:rPr>
        <w:t>由低到高的顺序推荐成交候选人。</w:t>
      </w:r>
    </w:p>
    <w:p w14:paraId="71E5FCC1">
      <w:pPr>
        <w:widowControl/>
        <w:numPr>
          <w:ilvl w:val="0"/>
          <w:numId w:val="0"/>
        </w:numPr>
        <w:snapToGrid w:val="0"/>
        <w:spacing w:line="460" w:lineRule="exact"/>
        <w:ind w:firstLine="803" w:firstLineChars="200"/>
        <w:rPr>
          <w:rFonts w:hint="default" w:cs="仿宋" w:asciiTheme="minorEastAsia" w:hAnsiTheme="minorEastAsia"/>
          <w:b/>
          <w:bCs/>
          <w:color w:val="auto"/>
          <w:sz w:val="40"/>
          <w:szCs w:val="40"/>
          <w:highlight w:val="none"/>
          <w:lang w:val="en-US" w:eastAsia="zh-CN"/>
        </w:rPr>
      </w:pPr>
      <w:r>
        <w:rPr>
          <w:rFonts w:hint="eastAsia" w:cs="仿宋" w:asciiTheme="minorEastAsia" w:hAnsiTheme="minorEastAsia"/>
          <w:b/>
          <w:bCs/>
          <w:color w:val="0000FF"/>
          <w:sz w:val="40"/>
          <w:szCs w:val="40"/>
          <w:highlight w:val="none"/>
          <w:lang w:val="en-US" w:eastAsia="zh-CN"/>
        </w:rPr>
        <w:t>本项目所需总金额=本项目供应链管理平台系统的软件金额+每年维保维保费*10年</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lang w:eastAsia="zh-CN"/>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0000FF"/>
          <w:sz w:val="24"/>
          <w:highlight w:val="none"/>
          <w:lang w:val="en-US" w:eastAsia="zh-CN"/>
        </w:rPr>
        <w:t>中供应链管理平台系统的软件费用</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lang w:val="en-US" w:eastAsia="zh-CN"/>
        </w:rPr>
        <w:t>中</w:t>
      </w:r>
      <w:r>
        <w:rPr>
          <w:rFonts w:hint="eastAsia" w:cs="仿宋" w:asciiTheme="minorEastAsia" w:hAnsiTheme="minorEastAsia"/>
          <w:color w:val="0000FF"/>
          <w:sz w:val="24"/>
          <w:highlight w:val="none"/>
          <w:lang w:val="en-US" w:eastAsia="zh-CN"/>
        </w:rPr>
        <w:t>供应链管理平台系统的软件费用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w:t>
      </w:r>
      <w:r>
        <w:rPr>
          <w:rFonts w:hint="eastAsia" w:cs="仿宋" w:asciiTheme="minorEastAsia" w:hAnsiTheme="minorEastAsia"/>
          <w:color w:val="0000FF"/>
          <w:sz w:val="24"/>
          <w:highlight w:val="none"/>
          <w:lang w:val="en-US" w:eastAsia="zh-CN"/>
        </w:rPr>
        <w:t>中供应链管理平台系统的软件费用</w:t>
      </w:r>
      <w:r>
        <w:rPr>
          <w:rFonts w:hint="eastAsia" w:cs="仿宋" w:asciiTheme="minorEastAsia" w:hAnsiTheme="minorEastAsia"/>
          <w:color w:val="auto"/>
          <w:sz w:val="24"/>
          <w:highlight w:val="none"/>
        </w:rPr>
        <w:t>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2DC85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31ED64B3">
      <w:pPr>
        <w:pStyle w:val="12"/>
        <w:rPr>
          <w:rFonts w:cs="仿宋" w:asciiTheme="minorEastAsia" w:hAnsiTheme="minorEastAsia"/>
          <w:color w:val="auto"/>
          <w:highlight w:val="none"/>
        </w:rPr>
      </w:pPr>
    </w:p>
    <w:p w14:paraId="4A29AA88">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5082DDFE">
      <w:pPr>
        <w:spacing w:line="480" w:lineRule="auto"/>
        <w:jc w:val="center"/>
        <w:rPr>
          <w:rFonts w:ascii="宋体" w:hAnsi="宋体" w:cs="宋体"/>
          <w:b/>
          <w:color w:val="auto"/>
          <w:sz w:val="28"/>
          <w:szCs w:val="28"/>
          <w:highlight w:val="none"/>
        </w:rPr>
      </w:pPr>
    </w:p>
    <w:p w14:paraId="5AB8614F">
      <w:pPr>
        <w:spacing w:line="480" w:lineRule="auto"/>
        <w:jc w:val="center"/>
        <w:rPr>
          <w:rFonts w:ascii="宋体" w:hAnsi="宋体" w:cs="宋体"/>
          <w:b/>
          <w:color w:val="auto"/>
          <w:sz w:val="24"/>
          <w:highlight w:val="none"/>
        </w:rPr>
      </w:pPr>
    </w:p>
    <w:p w14:paraId="603B2F36">
      <w:pPr>
        <w:spacing w:line="480" w:lineRule="auto"/>
        <w:jc w:val="center"/>
        <w:rPr>
          <w:rFonts w:ascii="宋体" w:hAnsi="宋体" w:cs="宋体"/>
          <w:b/>
          <w:color w:val="auto"/>
          <w:sz w:val="24"/>
          <w:highlight w:val="none"/>
        </w:rPr>
      </w:pPr>
    </w:p>
    <w:p w14:paraId="088E23D3">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79A51E0E">
      <w:pPr>
        <w:spacing w:before="120" w:line="22" w:lineRule="atLeast"/>
        <w:rPr>
          <w:rFonts w:ascii="宋体" w:hAnsi="宋体" w:cs="宋体"/>
          <w:color w:val="auto"/>
          <w:sz w:val="24"/>
          <w:highlight w:val="none"/>
        </w:rPr>
      </w:pPr>
    </w:p>
    <w:p w14:paraId="57A58323">
      <w:pPr>
        <w:pStyle w:val="3"/>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76D7C06C">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2025-2026年供应链管理平台系统采购项目（第二次）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28E715EA">
      <w:pPr>
        <w:rPr>
          <w:rFonts w:ascii="宋体" w:hAnsi="宋体" w:cs="宋体"/>
          <w:color w:val="auto"/>
          <w:sz w:val="24"/>
          <w:highlight w:val="none"/>
        </w:rPr>
      </w:pPr>
    </w:p>
    <w:p w14:paraId="3A5C8F1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3D42BA83">
      <w:pPr>
        <w:spacing w:before="120" w:line="22" w:lineRule="atLeast"/>
        <w:rPr>
          <w:rFonts w:ascii="宋体" w:hAnsi="宋体" w:cs="宋体"/>
          <w:color w:val="auto"/>
          <w:sz w:val="24"/>
          <w:highlight w:val="none"/>
        </w:rPr>
      </w:pPr>
    </w:p>
    <w:p w14:paraId="7BEA6B5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117415F">
      <w:pPr>
        <w:spacing w:before="120" w:line="22" w:lineRule="atLeast"/>
        <w:rPr>
          <w:rFonts w:ascii="宋体" w:hAnsi="宋体" w:cs="宋体"/>
          <w:color w:val="auto"/>
          <w:sz w:val="24"/>
          <w:highlight w:val="none"/>
        </w:rPr>
      </w:pPr>
    </w:p>
    <w:p w14:paraId="3F0D2B7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2834D64D">
      <w:pPr>
        <w:spacing w:before="120" w:line="22" w:lineRule="atLeast"/>
        <w:rPr>
          <w:rFonts w:ascii="宋体" w:hAnsi="宋体" w:cs="宋体"/>
          <w:color w:val="auto"/>
          <w:sz w:val="24"/>
          <w:highlight w:val="none"/>
        </w:rPr>
      </w:pPr>
    </w:p>
    <w:p w14:paraId="639AA1F5">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576C117">
      <w:pPr>
        <w:pStyle w:val="15"/>
        <w:ind w:firstLine="214"/>
        <w:jc w:val="center"/>
        <w:rPr>
          <w:rFonts w:hint="eastAsia"/>
          <w:b/>
          <w:bCs/>
          <w:color w:val="auto"/>
          <w:highlight w:val="none"/>
        </w:rPr>
      </w:pPr>
      <w:r>
        <w:rPr>
          <w:rFonts w:hint="eastAsia"/>
          <w:b/>
          <w:bCs/>
          <w:color w:val="auto"/>
          <w:highlight w:val="none"/>
        </w:rPr>
        <w:t>目录</w:t>
      </w:r>
    </w:p>
    <w:p w14:paraId="42226846">
      <w:pPr>
        <w:pStyle w:val="7"/>
        <w:spacing w:line="360" w:lineRule="auto"/>
        <w:ind w:firstLine="240" w:firstLineChars="100"/>
        <w:rPr>
          <w:color w:val="auto"/>
          <w:highlight w:val="none"/>
        </w:rPr>
      </w:pPr>
      <w:r>
        <w:rPr>
          <w:rFonts w:hint="eastAsia"/>
          <w:color w:val="auto"/>
          <w:highlight w:val="none"/>
        </w:rPr>
        <w:t>第一章 合同书  …………………………………………………………（页码）</w:t>
      </w:r>
    </w:p>
    <w:p w14:paraId="0A2D4BD9">
      <w:pPr>
        <w:pStyle w:val="7"/>
        <w:spacing w:line="360" w:lineRule="auto"/>
        <w:ind w:firstLine="240" w:firstLineChars="100"/>
        <w:rPr>
          <w:rFonts w:hint="eastAsia"/>
          <w:color w:val="auto"/>
          <w:highlight w:val="none"/>
        </w:rPr>
      </w:pPr>
      <w:r>
        <w:rPr>
          <w:rFonts w:hint="eastAsia"/>
          <w:color w:val="auto"/>
          <w:highlight w:val="none"/>
        </w:rPr>
        <w:t>第二章 合同一般条款……………………………………………………（页码）</w:t>
      </w:r>
    </w:p>
    <w:p w14:paraId="08797FF3">
      <w:pPr>
        <w:pStyle w:val="7"/>
        <w:spacing w:line="360" w:lineRule="auto"/>
        <w:ind w:firstLine="240" w:firstLineChars="100"/>
        <w:rPr>
          <w:rFonts w:hint="eastAsia"/>
          <w:color w:val="auto"/>
          <w:highlight w:val="none"/>
        </w:rPr>
      </w:pPr>
      <w:r>
        <w:rPr>
          <w:rFonts w:hint="eastAsia"/>
          <w:color w:val="auto"/>
          <w:highlight w:val="none"/>
        </w:rPr>
        <w:t>第三章 安全协议…………………………………………………………（页码）</w:t>
      </w:r>
    </w:p>
    <w:p w14:paraId="20E34750">
      <w:pPr>
        <w:pStyle w:val="7"/>
        <w:spacing w:line="360" w:lineRule="auto"/>
        <w:ind w:firstLine="240" w:firstLineChars="100"/>
        <w:rPr>
          <w:color w:val="auto"/>
          <w:highlight w:val="none"/>
        </w:rPr>
      </w:pPr>
      <w:r>
        <w:rPr>
          <w:rFonts w:hint="eastAsia"/>
          <w:color w:val="auto"/>
          <w:highlight w:val="none"/>
        </w:rPr>
        <w:t>第四章 廉洁协议…………………………………………………………（页码）</w:t>
      </w:r>
    </w:p>
    <w:p w14:paraId="59C969E5">
      <w:pPr>
        <w:spacing w:line="360" w:lineRule="auto"/>
        <w:ind w:firstLine="480" w:firstLineChars="200"/>
        <w:rPr>
          <w:rFonts w:ascii="宋体" w:hAnsi="宋体"/>
          <w:color w:val="auto"/>
          <w:sz w:val="24"/>
          <w:highlight w:val="none"/>
          <w:u w:val="single"/>
          <w:lang w:val="zh-CN"/>
        </w:rPr>
      </w:pPr>
    </w:p>
    <w:p w14:paraId="627E96A9">
      <w:pPr>
        <w:spacing w:line="360" w:lineRule="auto"/>
        <w:ind w:firstLine="480" w:firstLineChars="200"/>
        <w:rPr>
          <w:rFonts w:ascii="宋体" w:hAnsi="宋体"/>
          <w:color w:val="auto"/>
          <w:sz w:val="24"/>
          <w:highlight w:val="none"/>
          <w:u w:val="single"/>
          <w:lang w:val="zh-CN"/>
        </w:rPr>
      </w:pPr>
    </w:p>
    <w:p w14:paraId="38CA327D">
      <w:pPr>
        <w:spacing w:line="360" w:lineRule="auto"/>
        <w:ind w:firstLine="480" w:firstLineChars="200"/>
        <w:rPr>
          <w:rFonts w:ascii="宋体" w:hAnsi="宋体"/>
          <w:color w:val="auto"/>
          <w:sz w:val="24"/>
          <w:highlight w:val="none"/>
          <w:u w:val="single"/>
          <w:lang w:val="zh-CN"/>
        </w:rPr>
      </w:pPr>
    </w:p>
    <w:p w14:paraId="38CCCB72">
      <w:pPr>
        <w:spacing w:line="360" w:lineRule="auto"/>
        <w:ind w:firstLine="480" w:firstLineChars="200"/>
        <w:rPr>
          <w:rFonts w:ascii="宋体" w:hAnsi="宋体"/>
          <w:color w:val="auto"/>
          <w:sz w:val="24"/>
          <w:highlight w:val="none"/>
          <w:u w:val="single"/>
          <w:lang w:val="zh-CN"/>
        </w:rPr>
      </w:pPr>
    </w:p>
    <w:p w14:paraId="0939252B">
      <w:pPr>
        <w:spacing w:line="360" w:lineRule="auto"/>
        <w:ind w:firstLine="480" w:firstLineChars="200"/>
        <w:rPr>
          <w:rFonts w:ascii="宋体" w:hAnsi="宋体"/>
          <w:color w:val="auto"/>
          <w:sz w:val="24"/>
          <w:highlight w:val="none"/>
          <w:u w:val="single"/>
          <w:lang w:val="zh-CN"/>
        </w:rPr>
      </w:pPr>
    </w:p>
    <w:p w14:paraId="6EDCFD61">
      <w:pPr>
        <w:spacing w:line="360" w:lineRule="auto"/>
        <w:ind w:firstLine="480" w:firstLineChars="200"/>
        <w:rPr>
          <w:rFonts w:ascii="宋体" w:hAnsi="宋体"/>
          <w:color w:val="auto"/>
          <w:sz w:val="24"/>
          <w:highlight w:val="none"/>
          <w:u w:val="single"/>
          <w:lang w:val="zh-CN"/>
        </w:rPr>
      </w:pPr>
    </w:p>
    <w:p w14:paraId="125CC0BD">
      <w:pPr>
        <w:spacing w:line="360" w:lineRule="auto"/>
        <w:ind w:firstLine="480" w:firstLineChars="200"/>
        <w:rPr>
          <w:rFonts w:ascii="宋体" w:hAnsi="宋体"/>
          <w:color w:val="auto"/>
          <w:sz w:val="24"/>
          <w:highlight w:val="none"/>
          <w:u w:val="single"/>
          <w:lang w:val="zh-CN"/>
        </w:rPr>
      </w:pPr>
    </w:p>
    <w:p w14:paraId="479BC500">
      <w:pPr>
        <w:spacing w:line="360" w:lineRule="auto"/>
        <w:ind w:firstLine="480" w:firstLineChars="200"/>
        <w:rPr>
          <w:rFonts w:ascii="宋体" w:hAnsi="宋体"/>
          <w:color w:val="auto"/>
          <w:sz w:val="24"/>
          <w:highlight w:val="none"/>
          <w:u w:val="single"/>
          <w:lang w:val="zh-CN"/>
        </w:rPr>
      </w:pPr>
    </w:p>
    <w:p w14:paraId="05FAA6B0">
      <w:pPr>
        <w:spacing w:line="360" w:lineRule="auto"/>
        <w:ind w:firstLine="480" w:firstLineChars="200"/>
        <w:rPr>
          <w:rFonts w:ascii="宋体" w:hAnsi="宋体"/>
          <w:color w:val="auto"/>
          <w:sz w:val="24"/>
          <w:highlight w:val="none"/>
          <w:u w:val="single"/>
          <w:lang w:val="zh-CN"/>
        </w:rPr>
      </w:pPr>
    </w:p>
    <w:p w14:paraId="6B88391B">
      <w:pPr>
        <w:spacing w:line="360" w:lineRule="auto"/>
        <w:ind w:firstLine="480" w:firstLineChars="200"/>
        <w:rPr>
          <w:rFonts w:ascii="宋体" w:hAnsi="宋体"/>
          <w:color w:val="auto"/>
          <w:sz w:val="24"/>
          <w:highlight w:val="none"/>
          <w:u w:val="single"/>
          <w:lang w:val="zh-CN"/>
        </w:rPr>
      </w:pPr>
    </w:p>
    <w:p w14:paraId="6ADA07AC">
      <w:pPr>
        <w:spacing w:line="360" w:lineRule="auto"/>
        <w:ind w:firstLine="480" w:firstLineChars="200"/>
        <w:rPr>
          <w:rFonts w:ascii="宋体" w:hAnsi="宋体"/>
          <w:color w:val="auto"/>
          <w:sz w:val="24"/>
          <w:highlight w:val="none"/>
          <w:u w:val="single"/>
          <w:lang w:val="zh-CN"/>
        </w:rPr>
      </w:pPr>
    </w:p>
    <w:p w14:paraId="705A1AAF">
      <w:pPr>
        <w:spacing w:line="360" w:lineRule="auto"/>
        <w:ind w:firstLine="480" w:firstLineChars="200"/>
        <w:rPr>
          <w:rFonts w:ascii="宋体" w:hAnsi="宋体"/>
          <w:color w:val="auto"/>
          <w:sz w:val="24"/>
          <w:highlight w:val="none"/>
          <w:u w:val="single"/>
          <w:lang w:val="zh-CN"/>
        </w:rPr>
      </w:pPr>
    </w:p>
    <w:p w14:paraId="4D6CDB86">
      <w:pPr>
        <w:spacing w:line="360" w:lineRule="auto"/>
        <w:ind w:firstLine="480" w:firstLineChars="200"/>
        <w:rPr>
          <w:rFonts w:ascii="宋体" w:hAnsi="宋体"/>
          <w:color w:val="auto"/>
          <w:sz w:val="24"/>
          <w:highlight w:val="none"/>
          <w:u w:val="single"/>
          <w:lang w:val="zh-CN"/>
        </w:rPr>
      </w:pPr>
    </w:p>
    <w:p w14:paraId="5323D782">
      <w:pPr>
        <w:spacing w:line="360" w:lineRule="auto"/>
        <w:ind w:firstLine="480" w:firstLineChars="200"/>
        <w:rPr>
          <w:rFonts w:ascii="宋体" w:hAnsi="宋体"/>
          <w:color w:val="auto"/>
          <w:sz w:val="24"/>
          <w:highlight w:val="none"/>
          <w:u w:val="single"/>
          <w:lang w:val="zh-CN"/>
        </w:rPr>
      </w:pPr>
    </w:p>
    <w:p w14:paraId="116EACE0">
      <w:pPr>
        <w:spacing w:line="360" w:lineRule="auto"/>
        <w:ind w:firstLine="480" w:firstLineChars="200"/>
        <w:rPr>
          <w:rFonts w:ascii="宋体" w:hAnsi="宋体"/>
          <w:color w:val="auto"/>
          <w:sz w:val="24"/>
          <w:highlight w:val="none"/>
          <w:u w:val="single"/>
          <w:lang w:val="zh-CN"/>
        </w:rPr>
      </w:pPr>
    </w:p>
    <w:p w14:paraId="01656BBA">
      <w:pPr>
        <w:spacing w:line="360" w:lineRule="auto"/>
        <w:ind w:firstLine="480" w:firstLineChars="200"/>
        <w:rPr>
          <w:rFonts w:ascii="宋体" w:hAnsi="宋体"/>
          <w:color w:val="auto"/>
          <w:sz w:val="24"/>
          <w:highlight w:val="none"/>
          <w:u w:val="single"/>
          <w:lang w:val="zh-CN"/>
        </w:rPr>
      </w:pPr>
    </w:p>
    <w:p w14:paraId="7A0E1F2C">
      <w:pPr>
        <w:spacing w:line="360" w:lineRule="auto"/>
        <w:ind w:firstLine="480" w:firstLineChars="200"/>
        <w:rPr>
          <w:rFonts w:ascii="宋体" w:hAnsi="宋体"/>
          <w:color w:val="auto"/>
          <w:sz w:val="24"/>
          <w:highlight w:val="none"/>
          <w:u w:val="single"/>
          <w:lang w:val="zh-CN"/>
        </w:rPr>
      </w:pPr>
    </w:p>
    <w:p w14:paraId="3B4ABD6A">
      <w:pPr>
        <w:spacing w:line="360" w:lineRule="auto"/>
        <w:ind w:firstLine="480" w:firstLineChars="200"/>
        <w:rPr>
          <w:rFonts w:ascii="宋体" w:hAnsi="宋体"/>
          <w:color w:val="auto"/>
          <w:sz w:val="24"/>
          <w:highlight w:val="none"/>
          <w:u w:val="single"/>
          <w:lang w:val="zh-CN"/>
        </w:rPr>
      </w:pPr>
    </w:p>
    <w:p w14:paraId="6F8A8FE4">
      <w:pPr>
        <w:spacing w:line="360" w:lineRule="auto"/>
        <w:ind w:firstLine="480" w:firstLineChars="200"/>
        <w:rPr>
          <w:rFonts w:ascii="宋体" w:hAnsi="宋体"/>
          <w:color w:val="auto"/>
          <w:sz w:val="24"/>
          <w:highlight w:val="none"/>
          <w:u w:val="single"/>
          <w:lang w:val="zh-CN"/>
        </w:rPr>
      </w:pPr>
    </w:p>
    <w:p w14:paraId="53FFACA9">
      <w:pPr>
        <w:spacing w:line="360" w:lineRule="auto"/>
        <w:ind w:firstLine="480" w:firstLineChars="200"/>
        <w:rPr>
          <w:rFonts w:ascii="宋体" w:hAnsi="宋体"/>
          <w:color w:val="auto"/>
          <w:sz w:val="24"/>
          <w:highlight w:val="none"/>
          <w:u w:val="single"/>
          <w:lang w:val="zh-CN"/>
        </w:rPr>
      </w:pPr>
    </w:p>
    <w:p w14:paraId="7C7DE153">
      <w:pPr>
        <w:spacing w:line="360" w:lineRule="auto"/>
        <w:ind w:firstLine="480" w:firstLineChars="200"/>
        <w:rPr>
          <w:rFonts w:ascii="宋体" w:hAnsi="宋体"/>
          <w:color w:val="auto"/>
          <w:sz w:val="24"/>
          <w:highlight w:val="none"/>
          <w:u w:val="single"/>
          <w:lang w:val="zh-CN"/>
        </w:rPr>
      </w:pPr>
    </w:p>
    <w:p w14:paraId="4F962C85">
      <w:pPr>
        <w:spacing w:line="360" w:lineRule="auto"/>
        <w:ind w:firstLine="480" w:firstLineChars="200"/>
        <w:rPr>
          <w:rFonts w:ascii="宋体" w:hAnsi="宋体"/>
          <w:color w:val="auto"/>
          <w:sz w:val="24"/>
          <w:highlight w:val="none"/>
          <w:u w:val="single"/>
          <w:lang w:val="zh-CN"/>
        </w:rPr>
      </w:pPr>
    </w:p>
    <w:p w14:paraId="4CB1F93D">
      <w:pPr>
        <w:pStyle w:val="6"/>
        <w:rPr>
          <w:color w:val="auto"/>
          <w:highlight w:val="none"/>
          <w:lang w:val="zh-CN"/>
        </w:rPr>
      </w:pPr>
    </w:p>
    <w:p w14:paraId="68B1D6B4">
      <w:pPr>
        <w:spacing w:line="360" w:lineRule="auto"/>
        <w:ind w:firstLine="480" w:firstLineChars="200"/>
        <w:rPr>
          <w:rFonts w:ascii="宋体" w:hAnsi="宋体"/>
          <w:color w:val="auto"/>
          <w:sz w:val="24"/>
          <w:highlight w:val="none"/>
          <w:u w:val="single"/>
          <w:lang w:val="zh-CN"/>
        </w:rPr>
      </w:pPr>
    </w:p>
    <w:p w14:paraId="76C2C7B3">
      <w:pPr>
        <w:spacing w:line="360" w:lineRule="auto"/>
        <w:ind w:firstLine="480" w:firstLineChars="200"/>
        <w:rPr>
          <w:rFonts w:ascii="宋体" w:hAnsi="宋体"/>
          <w:color w:val="auto"/>
          <w:sz w:val="24"/>
          <w:highlight w:val="none"/>
          <w:u w:val="single"/>
          <w:lang w:val="zh-CN"/>
        </w:rPr>
      </w:pPr>
    </w:p>
    <w:p w14:paraId="39290C41">
      <w:pPr>
        <w:pStyle w:val="24"/>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6CB34601">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none"/>
        </w:rPr>
        <w:t xml:space="preserve"> </w:t>
      </w:r>
      <w:r>
        <w:rPr>
          <w:rFonts w:hint="eastAsia" w:ascii="宋体" w:hAnsi="宋体"/>
          <w:color w:val="auto"/>
          <w:sz w:val="24"/>
          <w:highlight w:val="none"/>
          <w:u w:val="non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公开询价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2025-2026年供应链管理平台系统采购项目（第二次）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49D97AEF">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ascii="宋体" w:hAnsi="宋体"/>
          <w:color w:val="auto"/>
          <w:sz w:val="24"/>
          <w:highlight w:val="none"/>
          <w:u w:val="non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3CC65F15">
      <w:pPr>
        <w:spacing w:line="360" w:lineRule="auto"/>
        <w:ind w:firstLine="482" w:firstLineChars="200"/>
        <w:outlineLvl w:val="0"/>
        <w:rPr>
          <w:rFonts w:ascii="宋体" w:hAnsi="宋体"/>
          <w:color w:val="auto"/>
          <w:sz w:val="24"/>
          <w:highlight w:val="none"/>
        </w:rPr>
      </w:pPr>
      <w:bookmarkStart w:id="391" w:name="_Toc22967"/>
      <w:bookmarkStart w:id="392" w:name="_Toc15367"/>
      <w:bookmarkStart w:id="393" w:name="_Toc19273"/>
      <w:bookmarkStart w:id="394" w:name="_Toc20421"/>
      <w:bookmarkStart w:id="395" w:name="_Toc28855"/>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91"/>
      <w:bookmarkEnd w:id="392"/>
      <w:bookmarkEnd w:id="393"/>
      <w:bookmarkEnd w:id="394"/>
      <w:bookmarkEnd w:id="395"/>
    </w:p>
    <w:p w14:paraId="5C1E2A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DCD82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4B303A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6AA8DE9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4D929B2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377C1CC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184BA734">
      <w:pPr>
        <w:spacing w:line="360" w:lineRule="auto"/>
        <w:ind w:firstLine="482" w:firstLineChars="200"/>
        <w:outlineLvl w:val="0"/>
        <w:rPr>
          <w:rFonts w:hint="eastAsia" w:ascii="宋体" w:hAnsi="宋体"/>
          <w:b/>
          <w:color w:val="auto"/>
          <w:sz w:val="24"/>
          <w:highlight w:val="none"/>
        </w:rPr>
      </w:pPr>
      <w:bookmarkStart w:id="396" w:name="_Toc18585"/>
      <w:bookmarkStart w:id="397" w:name="_Toc22185"/>
      <w:bookmarkStart w:id="398" w:name="_Toc2918"/>
      <w:bookmarkStart w:id="399" w:name="_Toc6773"/>
      <w:bookmarkStart w:id="400" w:name="_Toc6311"/>
      <w:r>
        <w:rPr>
          <w:rFonts w:hint="eastAsia" w:ascii="宋体" w:hAnsi="宋体"/>
          <w:b/>
          <w:color w:val="auto"/>
          <w:sz w:val="24"/>
          <w:highlight w:val="none"/>
        </w:rPr>
        <w:t>二、合同标的</w:t>
      </w:r>
      <w:bookmarkEnd w:id="396"/>
      <w:bookmarkEnd w:id="397"/>
      <w:bookmarkEnd w:id="398"/>
      <w:bookmarkEnd w:id="399"/>
      <w:bookmarkEnd w:id="400"/>
      <w:r>
        <w:rPr>
          <w:rFonts w:hint="eastAsia" w:ascii="宋体" w:hAnsi="宋体"/>
          <w:b/>
          <w:color w:val="auto"/>
          <w:sz w:val="24"/>
          <w:highlight w:val="none"/>
        </w:rPr>
        <w:t>及价款</w:t>
      </w:r>
    </w:p>
    <w:p w14:paraId="6B2DB5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1D73972C">
      <w:pPr>
        <w:spacing w:line="360" w:lineRule="auto"/>
        <w:ind w:firstLine="480" w:firstLineChars="200"/>
        <w:outlineLvl w:val="0"/>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ascii="宋体" w:hAnsi="宋体" w:cs="宋体"/>
          <w:color w:val="auto"/>
          <w:sz w:val="24"/>
          <w:highlight w:val="none"/>
        </w:rPr>
        <w:t>该价格已包含甲方为履行本合同所需的全部费用，未</w:t>
      </w:r>
      <w:r>
        <w:rPr>
          <w:rFonts w:hint="eastAsia" w:ascii="宋体" w:hAnsi="宋体" w:cs="宋体"/>
          <w:color w:val="auto"/>
          <w:sz w:val="24"/>
          <w:highlight w:val="none"/>
          <w:lang w:eastAsia="zh-CN"/>
        </w:rPr>
        <w:t>列明</w:t>
      </w:r>
      <w:r>
        <w:rPr>
          <w:rFonts w:ascii="宋体" w:hAnsi="宋体" w:cs="宋体"/>
          <w:color w:val="auto"/>
          <w:sz w:val="24"/>
          <w:highlight w:val="none"/>
        </w:rPr>
        <w:t>的分项视为优惠,</w:t>
      </w:r>
      <w:r>
        <w:rPr>
          <w:rFonts w:hint="eastAsia" w:ascii="宋体" w:hAnsi="宋体" w:cs="宋体"/>
          <w:color w:val="auto"/>
          <w:sz w:val="24"/>
          <w:highlight w:val="none"/>
        </w:rPr>
        <w:t>本合同履行中，甲方不再另行支付任何费用。</w:t>
      </w:r>
      <w:r>
        <w:rPr>
          <w:rFonts w:hint="eastAsia" w:ascii="宋体" w:hAnsi="宋体" w:cs="宋体"/>
          <w:color w:val="auto"/>
          <w:sz w:val="24"/>
          <w:highlight w:val="none"/>
          <w:u w:val="single"/>
        </w:rPr>
        <w:t>本项目涉及的硬件</w:t>
      </w:r>
      <w:r>
        <w:rPr>
          <w:rFonts w:hint="eastAsia" w:ascii="宋体" w:hAnsi="宋体" w:cs="宋体"/>
          <w:color w:val="auto"/>
          <w:sz w:val="24"/>
          <w:highlight w:val="none"/>
          <w:u w:val="single"/>
          <w:lang w:val="en-US" w:eastAsia="zh-CN"/>
        </w:rPr>
        <w:t>及</w:t>
      </w:r>
      <w:r>
        <w:rPr>
          <w:rFonts w:hint="eastAsia" w:ascii="宋体" w:hAnsi="宋体" w:cs="宋体"/>
          <w:color w:val="auto"/>
          <w:sz w:val="24"/>
          <w:highlight w:val="none"/>
          <w:u w:val="single"/>
        </w:rPr>
        <w:t>硬件</w:t>
      </w:r>
      <w:r>
        <w:rPr>
          <w:rFonts w:hint="eastAsia" w:ascii="宋体" w:hAnsi="宋体" w:cs="宋体"/>
          <w:color w:val="auto"/>
          <w:sz w:val="24"/>
          <w:highlight w:val="none"/>
          <w:u w:val="single"/>
          <w:lang w:val="en-US" w:eastAsia="zh-CN"/>
        </w:rPr>
        <w:t>配套的软件</w:t>
      </w:r>
      <w:r>
        <w:rPr>
          <w:rFonts w:hint="eastAsia" w:ascii="宋体" w:hAnsi="宋体" w:cs="宋体"/>
          <w:color w:val="auto"/>
          <w:sz w:val="24"/>
          <w:highlight w:val="none"/>
          <w:u w:val="single"/>
        </w:rPr>
        <w:t>由</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负责提供清单，</w:t>
      </w:r>
      <w:r>
        <w:rPr>
          <w:rFonts w:hint="eastAsia" w:ascii="宋体" w:hAnsi="宋体" w:cs="宋体"/>
          <w:color w:val="auto"/>
          <w:sz w:val="24"/>
          <w:highlight w:val="none"/>
          <w:u w:val="single"/>
          <w:lang w:val="en-US" w:eastAsia="zh-CN"/>
        </w:rPr>
        <w:t>甲方另外提供，甲方负责安装布置就位和调试，不含在本次采购范围内；本项目涉及软件及整体调试服务均含在本次采购范围内，甲方不另外支付费用</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具体内容详见附件。</w:t>
      </w:r>
      <w:r>
        <w:rPr>
          <w:rFonts w:hint="eastAsia" w:ascii="宋体" w:hAnsi="宋体" w:cs="宋体"/>
          <w:color w:val="auto"/>
          <w:sz w:val="24"/>
          <w:highlight w:val="none"/>
          <w:lang w:val="en-US" w:eastAsia="zh-CN"/>
        </w:rPr>
        <w:t>甲方免费提供1个住宿房间，洗漱用品、床上用品由乙方自备；乙方人员在甲方食堂就餐，由乙方自行充值，按甲方食堂管理规定执行，甲方不额外支付费用。</w:t>
      </w:r>
    </w:p>
    <w:p w14:paraId="1D6CAD19">
      <w:pPr>
        <w:spacing w:line="360" w:lineRule="auto"/>
        <w:ind w:firstLine="482" w:firstLineChars="200"/>
        <w:outlineLvl w:val="0"/>
        <w:rPr>
          <w:rFonts w:ascii="宋体" w:hAnsi="宋体"/>
          <w:b/>
          <w:color w:val="auto"/>
          <w:sz w:val="24"/>
          <w:highlight w:val="none"/>
        </w:rPr>
      </w:pPr>
      <w:bookmarkStart w:id="401" w:name="_Toc1814"/>
      <w:bookmarkStart w:id="402" w:name="_Toc22618"/>
      <w:bookmarkStart w:id="403" w:name="_Toc10340"/>
      <w:bookmarkStart w:id="404" w:name="_Toc8772"/>
      <w:bookmarkStart w:id="405" w:name="_Toc4760"/>
      <w:bookmarkStart w:id="406" w:name="_Toc31421"/>
      <w:bookmarkStart w:id="407" w:name="_Toc11108"/>
      <w:bookmarkStart w:id="408" w:name="_Toc3625"/>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6031A646">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1.</w:t>
      </w:r>
      <w:r>
        <w:rPr>
          <w:rFonts w:hint="eastAsia" w:ascii="宋体" w:hAnsi="宋体"/>
          <w:color w:val="auto"/>
          <w:sz w:val="24"/>
          <w:highlight w:val="none"/>
          <w:lang w:val="en-US" w:eastAsia="zh-CN"/>
        </w:rPr>
        <w:t>合同服务期限</w:t>
      </w:r>
      <w:r>
        <w:rPr>
          <w:rFonts w:ascii="宋体" w:hAnsi="宋体"/>
          <w:color w:val="auto"/>
          <w:sz w:val="24"/>
          <w:highlight w:val="none"/>
        </w:rPr>
        <w:t>：</w:t>
      </w:r>
    </w:p>
    <w:p w14:paraId="4B899C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6个月自动终止；</w:t>
      </w:r>
    </w:p>
    <w:p w14:paraId="7C4701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14:paraId="4A36AE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在合同签订后6个月完成平台系统交付</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6B693AD6">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7C99F4D">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3F070C3D">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20EEB29D">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1.根据甲方要求按时、按质、按量完成服务，履行合同义务。</w:t>
      </w:r>
    </w:p>
    <w:p w14:paraId="1729CF97">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2.乙方所供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应满足合同约定要求，有国家、地方、行业标准、规范（含强制适用标准、规范和推荐适用标准、规范）的，按相应标准、规范执行（不同标准、规范之间要求不一的，按要求较高者执行）；</w:t>
      </w:r>
    </w:p>
    <w:p w14:paraId="184D9A1C">
      <w:pPr>
        <w:spacing w:line="360" w:lineRule="auto"/>
        <w:ind w:firstLine="480" w:firstLineChars="200"/>
        <w:outlineLvl w:val="0"/>
        <w:rPr>
          <w:rFonts w:hint="eastAsia" w:ascii="宋体" w:hAnsi="宋体" w:cs="宋体"/>
          <w:color w:val="auto"/>
          <w:sz w:val="24"/>
          <w:highlight w:val="none"/>
          <w:lang w:val="en-US" w:eastAsia="zh-CN"/>
        </w:rPr>
      </w:pPr>
      <w:bookmarkStart w:id="409" w:name="_Toc6596"/>
      <w:bookmarkStart w:id="410" w:name="_Toc14563"/>
      <w:bookmarkStart w:id="411" w:name="_Toc1125"/>
      <w:r>
        <w:rPr>
          <w:rFonts w:hint="eastAsia" w:ascii="宋体" w:hAnsi="宋体" w:cs="宋体"/>
          <w:color w:val="auto"/>
          <w:sz w:val="24"/>
          <w:highlight w:val="none"/>
          <w:lang w:val="en-US" w:eastAsia="zh-CN"/>
        </w:rPr>
        <w:t>3.乙方完成甲方现有库存数据初始化工作，如库存、待结算信息等，甲方协助完成；</w:t>
      </w:r>
    </w:p>
    <w:p w14:paraId="3CD25BCC">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4.乙方根据甲方提供的历史数据，将2020、2021、2022、2023、2024、2025年历史数据按照格式导入数据库。</w:t>
      </w:r>
    </w:p>
    <w:p w14:paraId="58A2145D">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5.系统免费开放标准数据接口，便于甲方自行与本系统对接数据。</w:t>
      </w:r>
    </w:p>
    <w:p w14:paraId="25674EC1">
      <w:pPr>
        <w:pStyle w:val="6"/>
        <w:numPr>
          <w:ilvl w:val="0"/>
          <w:numId w:val="0"/>
        </w:numPr>
        <w:ind w:firstLine="480" w:firstLineChars="200"/>
        <w:rPr>
          <w:rFonts w:hint="eastAsia" w:ascii="宋体"/>
          <w:b/>
          <w:bCs/>
          <w:color w:val="auto"/>
          <w:highlight w:val="none"/>
          <w:lang w:val="en-US" w:eastAsia="zh-CN"/>
        </w:rPr>
      </w:pPr>
      <w:r>
        <w:rPr>
          <w:rFonts w:hint="eastAsia" w:ascii="宋体" w:hAnsi="宋体" w:cs="仿宋"/>
          <w:color w:val="auto"/>
          <w:szCs w:val="21"/>
          <w:highlight w:val="none"/>
          <w:lang w:val="en-US" w:eastAsia="zh-CN"/>
        </w:rPr>
        <w:t>6.若因乙方技术能力不足或未按约定履行义务导致项目实施失败无法通过验收，风险责任由乙方全部承担，甲方支付的费用全部乙方需无息退还，同时承担违约责任。若因甲方中途变更核心需求、未配合验收等原因导致项目实施失败，乙方可主张合理成本。</w:t>
      </w:r>
    </w:p>
    <w:p w14:paraId="4A549E24">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五</w:t>
      </w:r>
      <w:r>
        <w:rPr>
          <w:rFonts w:hint="eastAsia" w:ascii="宋体"/>
          <w:b/>
          <w:bCs/>
          <w:color w:val="auto"/>
          <w:highlight w:val="none"/>
          <w:lang w:val="en-US" w:eastAsia="zh"/>
        </w:rPr>
        <w:t>、</w:t>
      </w:r>
      <w:r>
        <w:rPr>
          <w:rFonts w:hint="eastAsia" w:ascii="宋体"/>
          <w:b/>
          <w:bCs/>
          <w:color w:val="auto"/>
          <w:highlight w:val="none"/>
          <w:lang w:val="en-US" w:eastAsia="zh-CN"/>
        </w:rPr>
        <w:t>项目实施</w:t>
      </w:r>
    </w:p>
    <w:p w14:paraId="24BB5EA9">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（一）</w:t>
      </w:r>
      <w:r>
        <w:rPr>
          <w:rFonts w:hint="eastAsia"/>
          <w:color w:val="auto"/>
          <w:highlight w:val="none"/>
          <w:lang w:val="en-US" w:eastAsia="zh-CN"/>
        </w:rPr>
        <w:t>进度安排</w:t>
      </w:r>
    </w:p>
    <w:p w14:paraId="0289853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乙方</w:t>
      </w:r>
      <w:r>
        <w:rPr>
          <w:rFonts w:hint="eastAsia" w:ascii="宋体"/>
          <w:color w:val="auto"/>
          <w:highlight w:val="none"/>
          <w:lang w:val="en-US" w:eastAsia="zh"/>
        </w:rPr>
        <w:t>应按照</w:t>
      </w:r>
      <w:r>
        <w:rPr>
          <w:rFonts w:hint="eastAsia" w:ascii="宋体"/>
          <w:color w:val="auto"/>
          <w:highlight w:val="none"/>
          <w:lang w:val="en-US" w:eastAsia="zh-CN"/>
        </w:rPr>
        <w:t>甲方</w:t>
      </w:r>
      <w:r>
        <w:rPr>
          <w:rFonts w:hint="eastAsia" w:ascii="宋体"/>
          <w:color w:val="auto"/>
          <w:highlight w:val="none"/>
          <w:lang w:val="en-US" w:eastAsia="zh"/>
        </w:rPr>
        <w:t>的要求，统一规划、分步实施。本项目建设总周期为</w:t>
      </w:r>
      <w:r>
        <w:rPr>
          <w:rFonts w:hint="eastAsia" w:ascii="宋体"/>
          <w:color w:val="auto"/>
          <w:highlight w:val="none"/>
          <w:lang w:val="en-US" w:eastAsia="zh-CN"/>
        </w:rPr>
        <w:t>自</w:t>
      </w:r>
      <w:r>
        <w:rPr>
          <w:rFonts w:hint="eastAsia" w:ascii="宋体"/>
          <w:color w:val="auto"/>
          <w:highlight w:val="none"/>
          <w:lang w:val="en-US" w:eastAsia="zh"/>
        </w:rPr>
        <w:t>合同签订之日起</w:t>
      </w:r>
      <w:r>
        <w:rPr>
          <w:rFonts w:hint="eastAsia" w:ascii="宋体"/>
          <w:color w:val="auto"/>
          <w:highlight w:val="none"/>
          <w:lang w:val="en-US" w:eastAsia="zh-CN"/>
        </w:rPr>
        <w:t>6</w:t>
      </w:r>
      <w:r>
        <w:rPr>
          <w:rFonts w:hint="eastAsia" w:ascii="宋体"/>
          <w:color w:val="auto"/>
          <w:highlight w:val="none"/>
          <w:lang w:val="en-US" w:eastAsia="zh"/>
        </w:rPr>
        <w:t>个月，具体进度要求如下：</w:t>
      </w:r>
    </w:p>
    <w:p w14:paraId="3AA1C81B">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1.</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乙方</w:t>
      </w:r>
      <w:r>
        <w:rPr>
          <w:rFonts w:hint="eastAsia" w:ascii="宋体"/>
          <w:color w:val="auto"/>
          <w:highlight w:val="none"/>
          <w:lang w:val="en-US" w:eastAsia="zh"/>
        </w:rPr>
        <w:t>应于20日内完成需求深化调研，</w:t>
      </w:r>
      <w:r>
        <w:rPr>
          <w:rFonts w:hint="eastAsia"/>
          <w:color w:val="auto"/>
          <w:highlight w:val="none"/>
          <w:lang w:val="en-US" w:eastAsia="zh-CN"/>
        </w:rPr>
        <w:t>乙方</w:t>
      </w:r>
      <w:r>
        <w:rPr>
          <w:rFonts w:hint="eastAsia" w:ascii="宋体"/>
          <w:color w:val="auto"/>
          <w:highlight w:val="none"/>
          <w:lang w:val="en-US" w:eastAsia="zh-CN"/>
        </w:rPr>
        <w:t>进一步细化要求</w:t>
      </w:r>
      <w:r>
        <w:rPr>
          <w:rFonts w:hint="eastAsia"/>
          <w:color w:val="auto"/>
          <w:highlight w:val="none"/>
          <w:lang w:val="en-US" w:eastAsia="zh-CN"/>
        </w:rPr>
        <w:t>并制定详细实施方案，在不改变实际功能的情况，允许乙方做出调整和优化</w:t>
      </w:r>
      <w:r>
        <w:rPr>
          <w:rFonts w:hint="eastAsia" w:ascii="宋体"/>
          <w:color w:val="auto"/>
          <w:highlight w:val="none"/>
          <w:lang w:val="en-US" w:eastAsia="zh"/>
        </w:rPr>
        <w:t>，经</w:t>
      </w:r>
      <w:r>
        <w:rPr>
          <w:rFonts w:hint="eastAsia" w:ascii="宋体"/>
          <w:color w:val="auto"/>
          <w:highlight w:val="none"/>
          <w:lang w:val="en-US" w:eastAsia="zh-CN"/>
        </w:rPr>
        <w:t>甲方</w:t>
      </w:r>
      <w:r>
        <w:rPr>
          <w:rFonts w:hint="eastAsia" w:ascii="宋体"/>
          <w:color w:val="auto"/>
          <w:highlight w:val="none"/>
          <w:lang w:val="en-US" w:eastAsia="zh"/>
        </w:rPr>
        <w:t>确认</w:t>
      </w:r>
      <w:r>
        <w:rPr>
          <w:rFonts w:hint="eastAsia" w:ascii="宋体"/>
          <w:color w:val="auto"/>
          <w:highlight w:val="none"/>
          <w:lang w:val="en-US" w:eastAsia="zh-CN"/>
        </w:rPr>
        <w:t>后实施</w:t>
      </w:r>
      <w:r>
        <w:rPr>
          <w:rFonts w:hint="eastAsia"/>
          <w:color w:val="auto"/>
          <w:highlight w:val="none"/>
          <w:lang w:val="en-US" w:eastAsia="zh-CN"/>
        </w:rPr>
        <w:t>，最终以确认后的实施方案为准</w:t>
      </w:r>
      <w:r>
        <w:rPr>
          <w:rFonts w:hint="eastAsia" w:ascii="宋体"/>
          <w:color w:val="auto"/>
          <w:highlight w:val="none"/>
          <w:lang w:val="en-US" w:eastAsia="zh"/>
        </w:rPr>
        <w:t>。开发环境和场地由</w:t>
      </w:r>
      <w:r>
        <w:rPr>
          <w:rFonts w:hint="eastAsia" w:ascii="宋体"/>
          <w:color w:val="auto"/>
          <w:highlight w:val="none"/>
          <w:lang w:val="en-US" w:eastAsia="zh-CN"/>
        </w:rPr>
        <w:t>乙方</w:t>
      </w:r>
      <w:r>
        <w:rPr>
          <w:rFonts w:hint="eastAsia" w:ascii="宋体"/>
          <w:color w:val="auto"/>
          <w:highlight w:val="none"/>
          <w:lang w:val="en-US" w:eastAsia="zh"/>
        </w:rPr>
        <w:t>自</w:t>
      </w:r>
      <w:r>
        <w:rPr>
          <w:rFonts w:hint="eastAsia" w:ascii="宋体"/>
          <w:color w:val="auto"/>
          <w:highlight w:val="none"/>
          <w:lang w:val="en-US" w:eastAsia="zh-CN"/>
        </w:rPr>
        <w:t>行解决</w:t>
      </w:r>
      <w:r>
        <w:rPr>
          <w:rFonts w:hint="eastAsia" w:ascii="宋体"/>
          <w:color w:val="auto"/>
          <w:highlight w:val="none"/>
          <w:lang w:val="en-US" w:eastAsia="zh"/>
        </w:rPr>
        <w:t>。</w:t>
      </w:r>
    </w:p>
    <w:p w14:paraId="48DC1677">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2.在</w:t>
      </w:r>
      <w:r>
        <w:rPr>
          <w:rFonts w:hint="eastAsia" w:ascii="宋体"/>
          <w:color w:val="auto"/>
          <w:highlight w:val="none"/>
          <w:lang w:val="en-US" w:eastAsia="zh"/>
        </w:rPr>
        <w:t>合同</w:t>
      </w:r>
      <w:r>
        <w:rPr>
          <w:rFonts w:hint="eastAsia" w:ascii="宋体"/>
          <w:color w:val="auto"/>
          <w:highlight w:val="none"/>
          <w:lang w:val="en-US" w:eastAsia="zh-CN"/>
        </w:rPr>
        <w:t>签订</w:t>
      </w:r>
      <w:r>
        <w:rPr>
          <w:rFonts w:hint="eastAsia" w:ascii="宋体"/>
          <w:color w:val="auto"/>
          <w:highlight w:val="none"/>
          <w:lang w:val="en-US" w:eastAsia="zh"/>
        </w:rPr>
        <w:t>后</w:t>
      </w:r>
      <w:r>
        <w:rPr>
          <w:rFonts w:hint="eastAsia" w:ascii="宋体"/>
          <w:color w:val="auto"/>
          <w:highlight w:val="none"/>
          <w:lang w:val="en-US" w:eastAsia="zh-CN"/>
        </w:rPr>
        <w:t>3</w:t>
      </w:r>
      <w:r>
        <w:rPr>
          <w:rFonts w:hint="eastAsia" w:ascii="宋体"/>
          <w:color w:val="auto"/>
          <w:highlight w:val="none"/>
          <w:lang w:val="en-US" w:eastAsia="zh"/>
        </w:rPr>
        <w:t>个月</w:t>
      </w:r>
      <w:r>
        <w:rPr>
          <w:rFonts w:hint="eastAsia" w:ascii="宋体"/>
          <w:color w:val="auto"/>
          <w:highlight w:val="none"/>
          <w:lang w:val="en-US" w:eastAsia="zh-CN"/>
        </w:rPr>
        <w:t>内完成</w:t>
      </w:r>
      <w:r>
        <w:rPr>
          <w:rFonts w:hint="eastAsia" w:ascii="宋体"/>
          <w:color w:val="auto"/>
          <w:highlight w:val="none"/>
          <w:lang w:val="en-US" w:eastAsia="zh"/>
        </w:rPr>
        <w:t>系统</w:t>
      </w:r>
      <w:r>
        <w:rPr>
          <w:rFonts w:hint="eastAsia" w:ascii="宋体"/>
          <w:color w:val="auto"/>
          <w:highlight w:val="none"/>
          <w:lang w:val="en-US" w:eastAsia="zh-CN"/>
        </w:rPr>
        <w:t>全部</w:t>
      </w:r>
      <w:r>
        <w:rPr>
          <w:rFonts w:hint="eastAsia" w:ascii="宋体"/>
          <w:color w:val="auto"/>
          <w:highlight w:val="none"/>
          <w:lang w:val="en-US" w:eastAsia="zh"/>
        </w:rPr>
        <w:t>功能开发，</w:t>
      </w:r>
      <w:r>
        <w:rPr>
          <w:rFonts w:hint="eastAsia" w:ascii="宋体"/>
          <w:color w:val="auto"/>
          <w:highlight w:val="none"/>
          <w:lang w:val="en-US" w:eastAsia="zh-CN"/>
        </w:rPr>
        <w:t>经乙方申请，甲方同意后进入3个月</w:t>
      </w:r>
      <w:r>
        <w:rPr>
          <w:rFonts w:hint="eastAsia" w:ascii="宋体"/>
          <w:color w:val="auto"/>
          <w:highlight w:val="none"/>
          <w:lang w:val="en-US" w:eastAsia="zh"/>
        </w:rPr>
        <w:t>试运行</w:t>
      </w:r>
      <w:r>
        <w:rPr>
          <w:rFonts w:hint="eastAsia" w:ascii="宋体"/>
          <w:color w:val="auto"/>
          <w:highlight w:val="none"/>
          <w:lang w:val="en-US" w:eastAsia="zh-CN"/>
        </w:rPr>
        <w:t>期。自本项目试运行开始至验收合格之日，</w:t>
      </w:r>
      <w:r>
        <w:rPr>
          <w:rFonts w:hint="eastAsia"/>
          <w:color w:val="auto"/>
          <w:highlight w:val="none"/>
          <w:lang w:val="en-US" w:eastAsia="zh-CN"/>
        </w:rPr>
        <w:t>乙方每天安排1名技术服务人员与甲方</w:t>
      </w:r>
      <w:r>
        <w:rPr>
          <w:rFonts w:hint="eastAsia" w:ascii="宋体"/>
          <w:color w:val="auto"/>
          <w:highlight w:val="none"/>
          <w:lang w:val="en-US" w:eastAsia="zh-CN"/>
        </w:rPr>
        <w:t>对接，</w:t>
      </w:r>
      <w:r>
        <w:rPr>
          <w:rFonts w:hint="eastAsia"/>
          <w:color w:val="auto"/>
          <w:highlight w:val="none"/>
          <w:lang w:val="en-US" w:eastAsia="zh-CN"/>
        </w:rPr>
        <w:t>乙方</w:t>
      </w:r>
      <w:r>
        <w:rPr>
          <w:rFonts w:hint="eastAsia" w:ascii="宋体"/>
          <w:color w:val="auto"/>
          <w:highlight w:val="none"/>
          <w:lang w:val="en-US" w:eastAsia="zh-CN"/>
        </w:rPr>
        <w:t>按需提供驻场服务支持，及时解决系统运行过程存在的问题</w:t>
      </w:r>
      <w:r>
        <w:rPr>
          <w:rFonts w:hint="eastAsia"/>
          <w:color w:val="auto"/>
          <w:highlight w:val="none"/>
          <w:lang w:val="en-US" w:eastAsia="zh-CN"/>
        </w:rPr>
        <w:t>。</w:t>
      </w:r>
    </w:p>
    <w:p w14:paraId="0C8A453B">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
        </w:rPr>
        <w:t>（二）</w:t>
      </w:r>
      <w:r>
        <w:rPr>
          <w:rFonts w:hint="eastAsia" w:ascii="宋体"/>
          <w:color w:val="auto"/>
          <w:highlight w:val="none"/>
          <w:lang w:val="en-US" w:eastAsia="zh-CN"/>
        </w:rPr>
        <w:t>免费</w:t>
      </w:r>
      <w:r>
        <w:rPr>
          <w:rFonts w:hint="eastAsia" w:ascii="宋体"/>
          <w:color w:val="auto"/>
          <w:highlight w:val="none"/>
          <w:lang w:val="en-US" w:eastAsia="zh"/>
        </w:rPr>
        <w:t>维期服务内容及响应</w:t>
      </w:r>
    </w:p>
    <w:p w14:paraId="6613CA08">
      <w:pPr>
        <w:pStyle w:val="6"/>
        <w:numPr>
          <w:ilvl w:val="0"/>
          <w:numId w:val="0"/>
        </w:numPr>
        <w:ind w:firstLine="480" w:firstLineChars="200"/>
        <w:rPr>
          <w:rFonts w:hint="eastAsia"/>
          <w:b/>
          <w:bCs/>
          <w:color w:val="auto"/>
          <w:highlight w:val="none"/>
          <w:u w:val="single"/>
          <w:lang w:val="en-US" w:eastAsia="zh-CN"/>
        </w:rPr>
      </w:pPr>
      <w:r>
        <w:rPr>
          <w:rFonts w:hint="eastAsia" w:ascii="宋体"/>
          <w:color w:val="auto"/>
          <w:highlight w:val="none"/>
          <w:lang w:val="en-US" w:eastAsia="zh"/>
        </w:rPr>
        <w:t>1.</w:t>
      </w:r>
      <w:r>
        <w:rPr>
          <w:rFonts w:hint="eastAsia"/>
          <w:color w:val="auto"/>
          <w:highlight w:val="none"/>
          <w:lang w:val="en-US" w:eastAsia="zh-CN"/>
        </w:rPr>
        <w:t>免费运维</w:t>
      </w:r>
      <w:r>
        <w:rPr>
          <w:rFonts w:hint="eastAsia" w:ascii="宋体"/>
          <w:color w:val="auto"/>
          <w:highlight w:val="none"/>
          <w:lang w:val="en-US" w:eastAsia="zh"/>
        </w:rPr>
        <w:t>服务期：</w:t>
      </w:r>
      <w:r>
        <w:rPr>
          <w:rFonts w:hint="eastAsia" w:ascii="宋体"/>
          <w:color w:val="auto"/>
          <w:highlight w:val="none"/>
          <w:lang w:val="en-US" w:eastAsia="zh-CN"/>
        </w:rPr>
        <w:t>自</w:t>
      </w:r>
      <w:r>
        <w:rPr>
          <w:rFonts w:hint="eastAsia" w:ascii="宋体"/>
          <w:color w:val="auto"/>
          <w:highlight w:val="none"/>
          <w:lang w:val="en-US" w:eastAsia="zh"/>
        </w:rPr>
        <w:t>项目验收</w:t>
      </w:r>
      <w:r>
        <w:rPr>
          <w:rFonts w:hint="eastAsia" w:ascii="宋体"/>
          <w:color w:val="auto"/>
          <w:highlight w:val="none"/>
          <w:lang w:val="en-US" w:eastAsia="zh-CN"/>
        </w:rPr>
        <w:t>合格之日起</w:t>
      </w:r>
      <w:r>
        <w:rPr>
          <w:rFonts w:hint="eastAsia" w:ascii="宋体"/>
          <w:color w:val="auto"/>
          <w:highlight w:val="none"/>
          <w:lang w:val="en-US" w:eastAsia="zh"/>
        </w:rPr>
        <w:t>1年</w:t>
      </w:r>
      <w:r>
        <w:rPr>
          <w:rFonts w:hint="eastAsia"/>
          <w:color w:val="auto"/>
          <w:highlight w:val="none"/>
          <w:lang w:val="en-US" w:eastAsia="zh-CN"/>
        </w:rPr>
        <w:t>免费</w:t>
      </w:r>
      <w:r>
        <w:rPr>
          <w:rFonts w:hint="eastAsia" w:ascii="宋体"/>
          <w:color w:val="auto"/>
          <w:highlight w:val="none"/>
          <w:lang w:val="en-US" w:eastAsia="zh"/>
        </w:rPr>
        <w:t>运维服务。服务的内容涵盖：</w:t>
      </w:r>
      <w:r>
        <w:rPr>
          <w:rFonts w:hint="eastAsia" w:ascii="宋体"/>
          <w:color w:val="auto"/>
          <w:highlight w:val="none"/>
          <w:lang w:val="en-US" w:eastAsia="zh-CN"/>
        </w:rPr>
        <w:t>软硬件</w:t>
      </w:r>
      <w:r>
        <w:rPr>
          <w:rFonts w:hint="eastAsia" w:ascii="宋体"/>
          <w:color w:val="auto"/>
          <w:highlight w:val="none"/>
          <w:lang w:val="en-US" w:eastAsia="zh"/>
        </w:rPr>
        <w:t>系统维护、</w:t>
      </w:r>
      <w:r>
        <w:rPr>
          <w:rFonts w:hint="eastAsia" w:ascii="宋体"/>
          <w:color w:val="auto"/>
          <w:highlight w:val="none"/>
          <w:lang w:val="en-US" w:eastAsia="zh-CN"/>
        </w:rPr>
        <w:t>BUG修复、</w:t>
      </w:r>
      <w:r>
        <w:rPr>
          <w:rFonts w:hint="eastAsia" w:ascii="宋体"/>
          <w:color w:val="auto"/>
          <w:highlight w:val="none"/>
          <w:lang w:val="en-US" w:eastAsia="zh"/>
        </w:rPr>
        <w:t>流程优化、系统安全、问题响应、故障解决、</w:t>
      </w:r>
      <w:r>
        <w:rPr>
          <w:rFonts w:hint="eastAsia" w:ascii="宋体"/>
          <w:color w:val="auto"/>
          <w:highlight w:val="none"/>
          <w:lang w:val="en-US" w:eastAsia="zh-CN"/>
        </w:rPr>
        <w:t>定期</w:t>
      </w:r>
      <w:r>
        <w:rPr>
          <w:rFonts w:hint="eastAsia" w:ascii="宋体"/>
          <w:color w:val="auto"/>
          <w:highlight w:val="none"/>
          <w:lang w:val="en-US" w:eastAsia="zh"/>
        </w:rPr>
        <w:t>巡检、数据处理等运维服务</w:t>
      </w:r>
      <w:r>
        <w:rPr>
          <w:rFonts w:hint="eastAsia" w:ascii="宋体"/>
          <w:color w:val="auto"/>
          <w:highlight w:val="none"/>
          <w:lang w:val="en-US" w:eastAsia="zh-CN"/>
        </w:rPr>
        <w:t>，确保系统稳定运行</w:t>
      </w:r>
      <w:r>
        <w:rPr>
          <w:rFonts w:hint="eastAsia" w:ascii="宋体"/>
          <w:color w:val="auto"/>
          <w:highlight w:val="none"/>
          <w:lang w:val="en-US" w:eastAsia="zh"/>
        </w:rPr>
        <w:t>。</w:t>
      </w:r>
      <w:r>
        <w:rPr>
          <w:rFonts w:hint="eastAsia"/>
          <w:b/>
          <w:bCs/>
          <w:color w:val="auto"/>
          <w:highlight w:val="none"/>
          <w:u w:val="single"/>
          <w:lang w:val="en-US" w:eastAsia="zh-CN"/>
        </w:rPr>
        <w:t>免费运维服务期到期后，双方按每年维保费</w:t>
      </w:r>
    </w:p>
    <w:p w14:paraId="650942AE">
      <w:pPr>
        <w:pStyle w:val="6"/>
        <w:numPr>
          <w:ilvl w:val="0"/>
          <w:numId w:val="0"/>
        </w:numPr>
        <w:rPr>
          <w:rFonts w:hint="default" w:ascii="宋体" w:eastAsiaTheme="minorEastAsia"/>
          <w:b/>
          <w:bCs/>
          <w:color w:val="auto"/>
          <w:highlight w:val="none"/>
          <w:u w:val="single"/>
          <w:lang w:val="en-US" w:eastAsia="zh-CN"/>
        </w:rPr>
      </w:pPr>
      <w:r>
        <w:rPr>
          <w:rFonts w:hint="eastAsia"/>
          <w:b/>
          <w:bCs/>
          <w:color w:val="auto"/>
          <w:highlight w:val="none"/>
          <w:u w:val="single"/>
          <w:lang w:val="en-US" w:eastAsia="zh-CN"/>
        </w:rPr>
        <w:t xml:space="preserve">      元另行签订运维服务合同，暂定付费运维服务期限10年，合同一年一签，不涉及本系统内容二次开发，但统计表格配置除外</w:t>
      </w:r>
      <w:r>
        <w:rPr>
          <w:rFonts w:hint="eastAsia" w:ascii="宋体"/>
          <w:b/>
          <w:bCs/>
          <w:color w:val="auto"/>
          <w:highlight w:val="none"/>
          <w:u w:val="single"/>
          <w:lang w:val="en-US" w:eastAsia="zh-CN"/>
        </w:rPr>
        <w:t>。</w:t>
      </w:r>
    </w:p>
    <w:p w14:paraId="2257A2F9">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2.乙方</w:t>
      </w:r>
      <w:r>
        <w:rPr>
          <w:rFonts w:hint="eastAsia" w:ascii="宋体"/>
          <w:color w:val="auto"/>
          <w:highlight w:val="none"/>
          <w:lang w:val="en-US" w:eastAsia="zh"/>
        </w:rPr>
        <w:t>应</w:t>
      </w:r>
      <w:r>
        <w:rPr>
          <w:rFonts w:hint="eastAsia" w:ascii="宋体"/>
          <w:color w:val="auto"/>
          <w:highlight w:val="none"/>
          <w:lang w:val="en-US" w:eastAsia="zh-CN"/>
        </w:rPr>
        <w:t>承诺</w:t>
      </w:r>
      <w:r>
        <w:rPr>
          <w:rFonts w:hint="eastAsia" w:ascii="宋体"/>
          <w:color w:val="auto"/>
          <w:highlight w:val="none"/>
          <w:lang w:val="en-US" w:eastAsia="zh"/>
        </w:rPr>
        <w:t>提供7×24小时技术支持服务，在接到</w:t>
      </w:r>
      <w:r>
        <w:rPr>
          <w:rFonts w:hint="eastAsia" w:ascii="宋体"/>
          <w:color w:val="auto"/>
          <w:highlight w:val="none"/>
          <w:lang w:val="en-US" w:eastAsia="zh-CN"/>
        </w:rPr>
        <w:t>甲方</w:t>
      </w:r>
      <w:r>
        <w:rPr>
          <w:rFonts w:hint="eastAsia" w:ascii="宋体"/>
          <w:color w:val="auto"/>
          <w:highlight w:val="none"/>
          <w:lang w:val="en-US" w:eastAsia="zh"/>
        </w:rPr>
        <w:t>技术支持要求时，应为系统使用人员提供咨询</w:t>
      </w:r>
      <w:r>
        <w:rPr>
          <w:rFonts w:hint="eastAsia" w:ascii="宋体"/>
          <w:color w:val="auto"/>
          <w:highlight w:val="none"/>
          <w:lang w:val="en-US" w:eastAsia="zh-CN"/>
        </w:rPr>
        <w:t>服务和问题处理</w:t>
      </w:r>
      <w:r>
        <w:rPr>
          <w:rFonts w:hint="eastAsia" w:ascii="宋体"/>
          <w:color w:val="auto"/>
          <w:highlight w:val="none"/>
          <w:lang w:val="en-US" w:eastAsia="zh"/>
        </w:rPr>
        <w:t xml:space="preserve">。 </w:t>
      </w:r>
    </w:p>
    <w:p w14:paraId="7D23EEE4">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3.</w:t>
      </w:r>
      <w:r>
        <w:rPr>
          <w:rFonts w:hint="eastAsia" w:ascii="宋体"/>
          <w:color w:val="auto"/>
          <w:highlight w:val="none"/>
          <w:lang w:val="en-US" w:eastAsia="zh"/>
        </w:rPr>
        <w:t>故障响应</w:t>
      </w:r>
      <w:r>
        <w:rPr>
          <w:rFonts w:hint="eastAsia" w:ascii="宋体"/>
          <w:color w:val="auto"/>
          <w:highlight w:val="none"/>
          <w:lang w:val="en-US" w:eastAsia="zh-CN"/>
        </w:rPr>
        <w:t>：乙方</w:t>
      </w:r>
      <w:r>
        <w:rPr>
          <w:rFonts w:hint="eastAsia" w:ascii="宋体"/>
          <w:color w:val="auto"/>
          <w:highlight w:val="none"/>
          <w:lang w:val="en-US" w:eastAsia="zh"/>
        </w:rPr>
        <w:t>在接到故障报修要求时，</w:t>
      </w:r>
      <w:r>
        <w:rPr>
          <w:rFonts w:hint="eastAsia" w:ascii="宋体"/>
          <w:color w:val="auto"/>
          <w:highlight w:val="none"/>
          <w:lang w:val="en-US" w:eastAsia="zh-CN"/>
        </w:rPr>
        <w:t>承诺</w:t>
      </w:r>
      <w:r>
        <w:rPr>
          <w:rFonts w:hint="eastAsia" w:ascii="宋体"/>
          <w:color w:val="auto"/>
          <w:highlight w:val="none"/>
          <w:lang w:val="en-US" w:eastAsia="zh"/>
        </w:rPr>
        <w:t>1小时内做出明确响应和安排，在2小时内提供维修服务，并做出故障诊断报告。</w:t>
      </w:r>
    </w:p>
    <w:p w14:paraId="5F7F535A">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4</w:t>
      </w:r>
      <w:r>
        <w:rPr>
          <w:rFonts w:hint="eastAsia" w:ascii="宋体"/>
          <w:color w:val="auto"/>
          <w:highlight w:val="none"/>
          <w:lang w:val="en-US" w:eastAsia="zh"/>
        </w:rPr>
        <w:t>.</w:t>
      </w:r>
      <w:r>
        <w:rPr>
          <w:rFonts w:hint="eastAsia" w:ascii="宋体"/>
          <w:color w:val="auto"/>
          <w:highlight w:val="none"/>
          <w:lang w:val="en-US" w:eastAsia="zh-CN"/>
        </w:rPr>
        <w:t>乙方承诺</w:t>
      </w:r>
      <w:r>
        <w:rPr>
          <w:rFonts w:hint="eastAsia" w:ascii="宋体"/>
          <w:color w:val="auto"/>
          <w:highlight w:val="none"/>
          <w:lang w:val="en-US" w:eastAsia="zh"/>
        </w:rPr>
        <w:t>安排经验丰富的培训人员，为系统使用人员提供系统配置、开发、安装、使用和维护等方面的培训。</w:t>
      </w:r>
    </w:p>
    <w:p w14:paraId="1029F373">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5</w:t>
      </w:r>
      <w:r>
        <w:rPr>
          <w:rFonts w:hint="eastAsia" w:ascii="宋体"/>
          <w:color w:val="auto"/>
          <w:highlight w:val="none"/>
          <w:lang w:val="en-US" w:eastAsia="zh"/>
        </w:rPr>
        <w:t>.</w:t>
      </w:r>
      <w:r>
        <w:rPr>
          <w:rFonts w:hint="eastAsia" w:ascii="宋体"/>
          <w:color w:val="auto"/>
          <w:highlight w:val="none"/>
          <w:lang w:val="en-US" w:eastAsia="zh-CN"/>
        </w:rPr>
        <w:t>乙方</w:t>
      </w:r>
      <w:r>
        <w:rPr>
          <w:rFonts w:hint="eastAsia" w:ascii="宋体"/>
          <w:color w:val="auto"/>
          <w:highlight w:val="none"/>
          <w:lang w:val="en-US" w:eastAsia="zh"/>
        </w:rPr>
        <w:t>负责提供培训所需计划和资料、培训教材格式包括视频教材、用户操作手册、培训PPT，培训所使用的语言和教材必须是中文。</w:t>
      </w:r>
    </w:p>
    <w:p w14:paraId="61C797C7">
      <w:pPr>
        <w:pStyle w:val="6"/>
        <w:numPr>
          <w:ilvl w:val="0"/>
          <w:numId w:val="0"/>
        </w:numPr>
        <w:ind w:firstLine="480" w:firstLineChars="200"/>
        <w:rPr>
          <w:rFonts w:hint="eastAsia" w:ascii="宋体"/>
          <w:color w:val="auto"/>
          <w:highlight w:val="none"/>
          <w:lang w:val="en-US" w:eastAsia="zh"/>
        </w:rPr>
      </w:pPr>
      <w:r>
        <w:rPr>
          <w:rFonts w:hint="eastAsia" w:ascii="宋体"/>
          <w:color w:val="auto"/>
          <w:highlight w:val="none"/>
          <w:lang w:val="en-US" w:eastAsia="zh-CN"/>
        </w:rPr>
        <w:t>6</w:t>
      </w:r>
      <w:r>
        <w:rPr>
          <w:rFonts w:hint="eastAsia" w:ascii="宋体"/>
          <w:color w:val="auto"/>
          <w:highlight w:val="none"/>
          <w:lang w:val="en-US" w:eastAsia="zh"/>
        </w:rPr>
        <w:t>.培训的时间、内容、人员、期次等具体内容在</w:t>
      </w:r>
      <w:r>
        <w:rPr>
          <w:rFonts w:hint="eastAsia" w:ascii="宋体"/>
          <w:color w:val="auto"/>
          <w:highlight w:val="none"/>
          <w:lang w:val="en-US" w:eastAsia="zh-CN"/>
        </w:rPr>
        <w:t>项目</w:t>
      </w:r>
      <w:r>
        <w:rPr>
          <w:rFonts w:hint="eastAsia" w:ascii="宋体"/>
          <w:color w:val="auto"/>
          <w:highlight w:val="none"/>
          <w:lang w:val="en-US" w:eastAsia="zh"/>
        </w:rPr>
        <w:t>执行过程中需根据</w:t>
      </w:r>
      <w:r>
        <w:rPr>
          <w:rFonts w:hint="eastAsia" w:ascii="宋体"/>
          <w:color w:val="auto"/>
          <w:highlight w:val="none"/>
          <w:lang w:val="en-US" w:eastAsia="zh-CN"/>
        </w:rPr>
        <w:t>甲方</w:t>
      </w:r>
      <w:r>
        <w:rPr>
          <w:rFonts w:hint="eastAsia" w:ascii="宋体"/>
          <w:color w:val="auto"/>
          <w:highlight w:val="none"/>
          <w:lang w:val="en-US" w:eastAsia="zh"/>
        </w:rPr>
        <w:t>意见进行调整。培训时间包括在项目上线运行前以及项目运行期间按照</w:t>
      </w:r>
      <w:r>
        <w:rPr>
          <w:rFonts w:hint="eastAsia" w:ascii="宋体"/>
          <w:color w:val="auto"/>
          <w:highlight w:val="none"/>
          <w:lang w:val="en-US" w:eastAsia="zh-CN"/>
        </w:rPr>
        <w:t>甲方</w:t>
      </w:r>
      <w:r>
        <w:rPr>
          <w:rFonts w:hint="eastAsia" w:ascii="宋体"/>
          <w:color w:val="auto"/>
          <w:highlight w:val="none"/>
          <w:lang w:val="en-US" w:eastAsia="zh"/>
        </w:rPr>
        <w:t>要求的不定期组织。</w:t>
      </w:r>
    </w:p>
    <w:p w14:paraId="16F45BFF">
      <w:pPr>
        <w:pStyle w:val="6"/>
        <w:numPr>
          <w:ilvl w:val="0"/>
          <w:numId w:val="0"/>
        </w:numPr>
        <w:ind w:firstLine="482" w:firstLineChars="200"/>
        <w:rPr>
          <w:rFonts w:hint="default" w:ascii="宋体"/>
          <w:b/>
          <w:bCs/>
          <w:color w:val="auto"/>
          <w:highlight w:val="none"/>
          <w:lang w:val="en-US" w:eastAsia="zh-CN"/>
        </w:rPr>
      </w:pPr>
      <w:r>
        <w:rPr>
          <w:rFonts w:hint="eastAsia" w:ascii="宋体"/>
          <w:b/>
          <w:bCs/>
          <w:color w:val="auto"/>
          <w:highlight w:val="none"/>
          <w:lang w:val="en-US" w:eastAsia="zh-CN"/>
        </w:rPr>
        <w:t>六、</w:t>
      </w:r>
      <w:r>
        <w:rPr>
          <w:rFonts w:hint="default" w:ascii="宋体"/>
          <w:b/>
          <w:bCs/>
          <w:color w:val="auto"/>
          <w:highlight w:val="none"/>
          <w:lang w:val="en-US" w:eastAsia="zh-CN"/>
        </w:rPr>
        <w:t>系统安全要求</w:t>
      </w:r>
    </w:p>
    <w:p w14:paraId="30109089">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1</w:t>
      </w:r>
      <w:r>
        <w:rPr>
          <w:rFonts w:hint="eastAsia" w:ascii="宋体"/>
          <w:color w:val="auto"/>
          <w:highlight w:val="none"/>
          <w:lang w:val="en-US" w:eastAsia="zh-CN"/>
        </w:rPr>
        <w:t>.</w:t>
      </w:r>
      <w:r>
        <w:rPr>
          <w:rFonts w:hint="default" w:ascii="宋体"/>
          <w:color w:val="auto"/>
          <w:highlight w:val="none"/>
          <w:lang w:val="en-US" w:eastAsia="zh-CN"/>
        </w:rPr>
        <w:t>按照国家信息系统安全等级保护防护2.0</w:t>
      </w:r>
      <w:r>
        <w:rPr>
          <w:rFonts w:hint="eastAsia" w:ascii="宋体"/>
          <w:color w:val="auto"/>
          <w:highlight w:val="none"/>
          <w:lang w:val="en-US" w:eastAsia="zh-CN"/>
        </w:rPr>
        <w:t>二</w:t>
      </w:r>
      <w:r>
        <w:rPr>
          <w:rFonts w:hint="default" w:ascii="宋体"/>
          <w:color w:val="auto"/>
          <w:highlight w:val="none"/>
          <w:lang w:val="en-US" w:eastAsia="zh-CN"/>
        </w:rPr>
        <w:t>级要求,信息系统在软件开发过程中要同步梳理、同步防护相关的安全技术措施、管理措施，在本项目建设中须严格执行、不得遗漏。</w:t>
      </w:r>
    </w:p>
    <w:p w14:paraId="1BCA1609">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2</w:t>
      </w:r>
      <w:r>
        <w:rPr>
          <w:rFonts w:hint="eastAsia" w:ascii="宋体"/>
          <w:color w:val="auto"/>
          <w:highlight w:val="none"/>
          <w:lang w:val="en-US" w:eastAsia="zh-CN"/>
        </w:rPr>
        <w:t>.</w:t>
      </w:r>
      <w:r>
        <w:rPr>
          <w:rFonts w:hint="default" w:ascii="宋体"/>
          <w:color w:val="auto"/>
          <w:highlight w:val="none"/>
          <w:lang w:val="en-US" w:eastAsia="zh-CN"/>
        </w:rPr>
        <w:t>所设计开发系统的安全功能需满足国家法律要求、集团数字化建设安全规范等所需要满足的安全监管要求及其他各类安全标准，相关要求包括不限于以下:《中华人民共和国网络安全法》、《公安部等级保护要求》。</w:t>
      </w:r>
      <w:r>
        <w:rPr>
          <w:rFonts w:hint="eastAsia" w:ascii="宋体"/>
          <w:color w:val="auto"/>
          <w:highlight w:val="none"/>
          <w:lang w:val="en-US" w:eastAsia="zh-CN"/>
        </w:rPr>
        <w:t>乙方</w:t>
      </w:r>
      <w:r>
        <w:rPr>
          <w:rFonts w:hint="default" w:ascii="宋体"/>
          <w:color w:val="auto"/>
          <w:highlight w:val="none"/>
          <w:lang w:val="en-US" w:eastAsia="zh-CN"/>
        </w:rPr>
        <w:t>需承诺交付的系统在通过以上合规要求时提供技术支持;如果遇到因功能缺失导致无法满足合规要求时，</w:t>
      </w:r>
      <w:r>
        <w:rPr>
          <w:rFonts w:hint="eastAsia" w:ascii="宋体"/>
          <w:color w:val="auto"/>
          <w:highlight w:val="none"/>
          <w:lang w:val="en-US" w:eastAsia="zh-CN"/>
        </w:rPr>
        <w:t>乙方</w:t>
      </w:r>
      <w:r>
        <w:rPr>
          <w:rFonts w:hint="default" w:ascii="宋体"/>
          <w:color w:val="auto"/>
          <w:highlight w:val="none"/>
          <w:lang w:val="en-US" w:eastAsia="zh-CN"/>
        </w:rPr>
        <w:t>应立即响应并对安全功能改进。</w:t>
      </w:r>
    </w:p>
    <w:p w14:paraId="3661A755">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default" w:ascii="宋体"/>
          <w:color w:val="auto"/>
          <w:highlight w:val="none"/>
          <w:lang w:val="en-US" w:eastAsia="zh-CN"/>
        </w:rPr>
        <w:t>安全防护中需要另行投资建设的安全防护措施，不在本项目建设范围之内。</w:t>
      </w:r>
    </w:p>
    <w:p w14:paraId="0ACF7159">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4.乙方</w:t>
      </w:r>
      <w:r>
        <w:rPr>
          <w:rFonts w:hint="default" w:ascii="宋体"/>
          <w:color w:val="auto"/>
          <w:highlight w:val="none"/>
          <w:lang w:val="en-US" w:eastAsia="zh-CN"/>
        </w:rPr>
        <w:t>应采取必要的措施和机制保证设计开发系统的安全性。措施应包括不限于以下部分:设置安全专员、定期安全培训、定期安全自查与改进。</w:t>
      </w:r>
      <w:r>
        <w:rPr>
          <w:rFonts w:hint="eastAsia" w:ascii="宋体"/>
          <w:color w:val="auto"/>
          <w:highlight w:val="none"/>
          <w:lang w:val="en-US" w:eastAsia="zh-CN"/>
        </w:rPr>
        <w:t>乙方</w:t>
      </w:r>
      <w:r>
        <w:rPr>
          <w:rFonts w:hint="default" w:ascii="宋体"/>
          <w:color w:val="auto"/>
          <w:highlight w:val="none"/>
          <w:lang w:val="en-US" w:eastAsia="zh-CN"/>
        </w:rPr>
        <w:t>承诺在项目实施过程中应遵循相关开发安全管理规范。</w:t>
      </w:r>
    </w:p>
    <w:p w14:paraId="64865EBE">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5.乙方</w:t>
      </w:r>
      <w:r>
        <w:rPr>
          <w:rFonts w:hint="default" w:ascii="宋体"/>
          <w:color w:val="auto"/>
          <w:highlight w:val="none"/>
          <w:lang w:val="en-US" w:eastAsia="zh-CN"/>
        </w:rPr>
        <w:t>应确保交付的成果不存在中高危漏洞和安全缺陷。不得存在高危漏洞,包括但不限于:</w:t>
      </w:r>
    </w:p>
    <w:p w14:paraId="46F096A4">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a)SOL注入漏洞</w:t>
      </w:r>
    </w:p>
    <w:p w14:paraId="7E6F8DC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b)XSS跨站漏洞</w:t>
      </w:r>
    </w:p>
    <w:p w14:paraId="6FC58E31">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c)已公开的框架漏洞</w:t>
      </w:r>
    </w:p>
    <w:p w14:paraId="5F2EE5E5">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d)CSRF漏洞</w:t>
      </w:r>
    </w:p>
    <w:p w14:paraId="7F1A7D7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e)非法上传漏洞</w:t>
      </w:r>
    </w:p>
    <w:p w14:paraId="370339B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f)远程包含漏洞</w:t>
      </w:r>
    </w:p>
    <w:p w14:paraId="30FF948F">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g)远程执行漏洞</w:t>
      </w:r>
    </w:p>
    <w:p w14:paraId="63D4D0EC">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h)硬编码漏洞</w:t>
      </w:r>
    </w:p>
    <w:p w14:paraId="6B5D777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i)水平权限、垂直权限漏洞</w:t>
      </w:r>
    </w:p>
    <w:p w14:paraId="65645B1F">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j)其他owasp top 10 漏洞</w:t>
      </w:r>
    </w:p>
    <w:p w14:paraId="24C3F71E">
      <w:pPr>
        <w:pStyle w:val="6"/>
        <w:numPr>
          <w:ilvl w:val="0"/>
          <w:numId w:val="0"/>
        </w:numPr>
        <w:ind w:firstLine="482" w:firstLineChars="200"/>
        <w:rPr>
          <w:rFonts w:hint="default" w:ascii="宋体"/>
          <w:b/>
          <w:bCs/>
          <w:color w:val="auto"/>
          <w:highlight w:val="none"/>
          <w:lang w:val="en-US" w:eastAsia="zh-CN"/>
        </w:rPr>
      </w:pPr>
      <w:r>
        <w:rPr>
          <w:rFonts w:hint="default" w:ascii="宋体"/>
          <w:b/>
          <w:bCs/>
          <w:color w:val="auto"/>
          <w:highlight w:val="none"/>
          <w:lang w:val="en-US" w:eastAsia="zh-CN"/>
        </w:rPr>
        <w:t>不得存在安全设计缺陷，包括不限于:</w:t>
      </w:r>
    </w:p>
    <w:p w14:paraId="55E7EBC0">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a)密码未加密或弱加密存储</w:t>
      </w:r>
    </w:p>
    <w:p w14:paraId="6D3DA12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b)已公开的框架漏洞</w:t>
      </w:r>
    </w:p>
    <w:p w14:paraId="74483C2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c)撞库攻击、密码破解遍历漏洞</w:t>
      </w:r>
    </w:p>
    <w:p w14:paraId="5C44247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d)恶意注册漏洞</w:t>
      </w:r>
    </w:p>
    <w:p w14:paraId="42E211FB">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e)验证码绕过</w:t>
      </w:r>
    </w:p>
    <w:p w14:paraId="14976AB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f)短信、邮件接口轰炸漏洞</w:t>
      </w:r>
    </w:p>
    <w:p w14:paraId="2636CAB7">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g)伪随机</w:t>
      </w:r>
    </w:p>
    <w:p w14:paraId="75814D72">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h)重放漏洞</w:t>
      </w:r>
    </w:p>
    <w:p w14:paraId="7664346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i)敏感信息泄露</w:t>
      </w:r>
    </w:p>
    <w:p w14:paraId="6F93FB0E">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j)取回密码绕过验证</w:t>
      </w:r>
    </w:p>
    <w:p w14:paraId="1DC45EEE">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乙方</w:t>
      </w:r>
      <w:r>
        <w:rPr>
          <w:rFonts w:hint="default" w:ascii="宋体"/>
          <w:color w:val="auto"/>
          <w:highlight w:val="none"/>
          <w:lang w:val="en-US" w:eastAsia="zh-CN"/>
        </w:rPr>
        <w:t>应采取必要的手段，包含不限于:代码审计、黑盒扫描、人工渗透测试等方法对系统可能存在的漏洞和缺陷进行发现并修复。</w:t>
      </w:r>
    </w:p>
    <w:p w14:paraId="27A4238C">
      <w:pPr>
        <w:pStyle w:val="6"/>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乙方</w:t>
      </w:r>
      <w:r>
        <w:rPr>
          <w:rFonts w:hint="default" w:ascii="宋体"/>
          <w:color w:val="auto"/>
          <w:highlight w:val="none"/>
          <w:lang w:val="en-US" w:eastAsia="zh-CN"/>
        </w:rPr>
        <w:t>承诺交付的系统已经经过全面的安全测试并已经修复。</w:t>
      </w:r>
    </w:p>
    <w:p w14:paraId="0EAA10C3">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6</w:t>
      </w:r>
      <w:r>
        <w:rPr>
          <w:rFonts w:hint="eastAsia" w:ascii="宋体"/>
          <w:color w:val="auto"/>
          <w:highlight w:val="none"/>
          <w:lang w:val="en-US" w:eastAsia="zh-CN"/>
        </w:rPr>
        <w:t>.</w:t>
      </w:r>
      <w:r>
        <w:rPr>
          <w:rFonts w:hint="default" w:ascii="宋体"/>
          <w:color w:val="auto"/>
          <w:highlight w:val="none"/>
          <w:lang w:val="en-US" w:eastAsia="zh-CN"/>
        </w:rPr>
        <w:t>安全维保要求</w:t>
      </w:r>
    </w:p>
    <w:p w14:paraId="10C83C76">
      <w:pPr>
        <w:pStyle w:val="6"/>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在免费运维期内</w:t>
      </w:r>
      <w:r>
        <w:rPr>
          <w:rFonts w:hint="eastAsia" w:ascii="宋体"/>
          <w:color w:val="auto"/>
          <w:highlight w:val="none"/>
          <w:lang w:val="en-US" w:eastAsia="zh-CN"/>
        </w:rPr>
        <w:t>乙方</w:t>
      </w:r>
      <w:r>
        <w:rPr>
          <w:rFonts w:hint="default" w:ascii="宋体"/>
          <w:color w:val="auto"/>
          <w:highlight w:val="none"/>
          <w:lang w:val="en-US" w:eastAsia="zh-CN"/>
        </w:rPr>
        <w:t>应对系统出现安全问题负责，有义务主导安全整改修复工作。当系统被发现安全漏洞时，</w:t>
      </w:r>
      <w:r>
        <w:rPr>
          <w:rFonts w:hint="eastAsia" w:ascii="宋体"/>
          <w:color w:val="auto"/>
          <w:highlight w:val="none"/>
          <w:lang w:val="en-US" w:eastAsia="zh-CN"/>
        </w:rPr>
        <w:t>乙方</w:t>
      </w:r>
      <w:r>
        <w:rPr>
          <w:rFonts w:hint="default" w:ascii="宋体"/>
          <w:color w:val="auto"/>
          <w:highlight w:val="none"/>
          <w:lang w:val="en-US" w:eastAsia="zh-CN"/>
        </w:rPr>
        <w:t>应在三日内提供修复方案。</w:t>
      </w:r>
      <w:r>
        <w:rPr>
          <w:rFonts w:hint="eastAsia" w:ascii="宋体"/>
          <w:color w:val="auto"/>
          <w:highlight w:val="none"/>
          <w:lang w:val="en-US" w:eastAsia="zh-CN"/>
        </w:rPr>
        <w:t>乙方</w:t>
      </w:r>
      <w:r>
        <w:rPr>
          <w:rFonts w:hint="default" w:ascii="宋体"/>
          <w:color w:val="auto"/>
          <w:highlight w:val="none"/>
          <w:lang w:val="en-US" w:eastAsia="zh-CN"/>
        </w:rPr>
        <w:t>承诺不得停止对系统安全的维保服务续约。在免费运维期外卖方应协助完成安全整改修复工作。</w:t>
      </w:r>
      <w:r>
        <w:rPr>
          <w:rFonts w:hint="eastAsia" w:ascii="宋体"/>
          <w:color w:val="auto"/>
          <w:highlight w:val="none"/>
          <w:lang w:val="en-US" w:eastAsia="zh-CN"/>
        </w:rPr>
        <w:t>乙方</w:t>
      </w:r>
      <w:r>
        <w:rPr>
          <w:rFonts w:hint="default" w:ascii="宋体"/>
          <w:color w:val="auto"/>
          <w:highlight w:val="none"/>
          <w:lang w:val="en-US" w:eastAsia="zh-CN"/>
        </w:rPr>
        <w:t>应保持关注跟进系统所用模块框架安全动态，当前出现安全漏洞时应在三日内提供修复方案建议。</w:t>
      </w:r>
    </w:p>
    <w:p w14:paraId="325764EF">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7.保密要求</w:t>
      </w:r>
    </w:p>
    <w:p w14:paraId="17DB689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招标方损失。</w:t>
      </w:r>
    </w:p>
    <w:p w14:paraId="29ED71A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bookmarkEnd w:id="409"/>
      <w:bookmarkEnd w:id="410"/>
      <w:bookmarkEnd w:id="411"/>
    </w:p>
    <w:p w14:paraId="70A9578C">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2AEECAC6">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w:t>
      </w:r>
      <w:r>
        <w:rPr>
          <w:rFonts w:hint="eastAsia" w:ascii="宋体" w:hAnsi="宋体"/>
          <w:color w:val="auto"/>
          <w:sz w:val="24"/>
          <w:highlight w:val="none"/>
        </w:rPr>
        <w:t>有权邀请专业公司对本项目的系统平台进行性能验收，若性能验收不满足要的，</w:t>
      </w:r>
      <w:r>
        <w:rPr>
          <w:rFonts w:hint="eastAsia" w:ascii="宋体" w:hAnsi="宋体"/>
          <w:color w:val="auto"/>
          <w:sz w:val="24"/>
          <w:highlight w:val="none"/>
          <w:lang w:val="en-US" w:eastAsia="zh-CN"/>
        </w:rPr>
        <w:t>乙方</w:t>
      </w:r>
      <w:r>
        <w:rPr>
          <w:rFonts w:hint="eastAsia" w:ascii="宋体" w:hAnsi="宋体"/>
          <w:color w:val="auto"/>
          <w:sz w:val="24"/>
          <w:highlight w:val="none"/>
        </w:rPr>
        <w:t>负责免费限期整改。</w:t>
      </w:r>
    </w:p>
    <w:p w14:paraId="3DF9B31D">
      <w:pPr>
        <w:pStyle w:val="6"/>
        <w:numPr>
          <w:ilvl w:val="0"/>
          <w:numId w:val="0"/>
        </w:numPr>
        <w:ind w:firstLine="480" w:firstLineChars="200"/>
        <w:rPr>
          <w:rFonts w:hint="eastAsia" w:ascii="宋体"/>
          <w:color w:val="auto"/>
          <w:highlight w:val="none"/>
          <w:lang w:val="en-US" w:eastAsia="zh"/>
        </w:rPr>
      </w:pPr>
      <w:r>
        <w:rPr>
          <w:rFonts w:hint="eastAsia"/>
          <w:color w:val="auto"/>
          <w:highlight w:val="none"/>
          <w:lang w:val="en-US" w:eastAsia="zh-CN"/>
        </w:rPr>
        <w:t>3</w:t>
      </w:r>
      <w:r>
        <w:rPr>
          <w:rFonts w:hint="eastAsia" w:ascii="宋体"/>
          <w:color w:val="auto"/>
          <w:highlight w:val="none"/>
          <w:lang w:val="en-US" w:eastAsia="zh-CN"/>
        </w:rPr>
        <w:t>.</w:t>
      </w:r>
      <w:r>
        <w:rPr>
          <w:rFonts w:hint="eastAsia" w:ascii="宋体"/>
          <w:color w:val="auto"/>
          <w:highlight w:val="none"/>
          <w:lang w:val="en-US" w:eastAsia="zh"/>
        </w:rPr>
        <w:t>验收要求</w:t>
      </w:r>
    </w:p>
    <w:p w14:paraId="3D9131D3">
      <w:pPr>
        <w:pStyle w:val="6"/>
        <w:numPr>
          <w:ilvl w:val="0"/>
          <w:numId w:val="0"/>
        </w:numPr>
        <w:ind w:firstLine="480" w:firstLineChars="200"/>
        <w:rPr>
          <w:rFonts w:hint="eastAsia" w:ascii="宋体"/>
          <w:color w:val="auto"/>
          <w:highlight w:val="none"/>
          <w:u w:val="none"/>
          <w:lang w:val="en-US" w:eastAsia="zh"/>
        </w:rPr>
      </w:pPr>
      <w:r>
        <w:rPr>
          <w:rFonts w:hint="eastAsia" w:ascii="宋体"/>
          <w:color w:val="auto"/>
          <w:highlight w:val="none"/>
          <w:lang w:val="en-US" w:eastAsia="zh-CN"/>
        </w:rPr>
        <w:t>乙方完成合同约定的全部建设内容，系统正常稳定运行，试运行期结束且试运行期间连续1个月未出现重大系统故障（硬件运行故障（不含硬件质量问题）、软件系统功能缺陷、系统安全问题等导致系统无法正常运行超过24小时未解决），乙方提供项目试运行报告，经甲方审核无异议，乙方可</w:t>
      </w:r>
      <w:r>
        <w:rPr>
          <w:rFonts w:hint="eastAsia" w:ascii="宋体"/>
          <w:color w:val="auto"/>
          <w:highlight w:val="none"/>
          <w:lang w:val="en-US" w:eastAsia="zh"/>
        </w:rPr>
        <w:t>向</w:t>
      </w:r>
      <w:r>
        <w:rPr>
          <w:rFonts w:hint="eastAsia" w:ascii="宋体"/>
          <w:color w:val="auto"/>
          <w:highlight w:val="none"/>
          <w:lang w:val="en-US" w:eastAsia="zh-CN"/>
        </w:rPr>
        <w:t>甲方</w:t>
      </w:r>
      <w:r>
        <w:rPr>
          <w:rFonts w:hint="eastAsia" w:ascii="宋体"/>
          <w:color w:val="auto"/>
          <w:highlight w:val="none"/>
          <w:lang w:val="en-US" w:eastAsia="zh"/>
        </w:rPr>
        <w:t>申请</w:t>
      </w:r>
      <w:r>
        <w:rPr>
          <w:rFonts w:hint="eastAsia" w:ascii="宋体"/>
          <w:color w:val="auto"/>
          <w:highlight w:val="none"/>
          <w:lang w:val="en-US" w:eastAsia="zh-CN"/>
        </w:rPr>
        <w:t>项目</w:t>
      </w:r>
      <w:r>
        <w:rPr>
          <w:rFonts w:hint="eastAsia" w:ascii="宋体"/>
          <w:color w:val="auto"/>
          <w:highlight w:val="none"/>
          <w:lang w:val="en-US" w:eastAsia="zh"/>
        </w:rPr>
        <w:t>验收</w:t>
      </w:r>
      <w:r>
        <w:rPr>
          <w:rFonts w:hint="eastAsia" w:ascii="宋体"/>
          <w:color w:val="auto"/>
          <w:highlight w:val="none"/>
          <w:lang w:val="en-US" w:eastAsia="zh-CN"/>
        </w:rPr>
        <w:t>，经甲方同意，甲方</w:t>
      </w:r>
      <w:r>
        <w:rPr>
          <w:rFonts w:hint="eastAsia" w:ascii="宋体"/>
          <w:color w:val="auto"/>
          <w:highlight w:val="none"/>
          <w:lang w:val="en-US" w:eastAsia="zh"/>
        </w:rPr>
        <w:t>组织双方就系统建设功能开发完成情况、运行情况进行验收，符合</w:t>
      </w:r>
      <w:r>
        <w:rPr>
          <w:rFonts w:hint="eastAsia" w:ascii="宋体"/>
          <w:color w:val="auto"/>
          <w:highlight w:val="none"/>
          <w:lang w:val="en-US" w:eastAsia="zh-CN"/>
        </w:rPr>
        <w:t>合同</w:t>
      </w:r>
      <w:r>
        <w:rPr>
          <w:rFonts w:hint="eastAsia" w:ascii="宋体"/>
          <w:color w:val="auto"/>
          <w:highlight w:val="none"/>
          <w:lang w:val="en-US" w:eastAsia="zh"/>
        </w:rPr>
        <w:t>要求则验收合格</w:t>
      </w:r>
      <w:r>
        <w:rPr>
          <w:rFonts w:hint="eastAsia" w:ascii="宋体"/>
          <w:color w:val="auto"/>
          <w:highlight w:val="none"/>
          <w:lang w:val="en-US" w:eastAsia="zh-CN"/>
        </w:rPr>
        <w:t>，乙方提供</w:t>
      </w:r>
      <w:r>
        <w:rPr>
          <w:rFonts w:hint="eastAsia" w:ascii="宋体" w:hAnsi="宋体" w:cs="宋体"/>
          <w:color w:val="auto"/>
          <w:sz w:val="24"/>
          <w:highlight w:val="none"/>
          <w:u w:val="none"/>
          <w:lang w:val="en-US" w:eastAsia="zh-CN"/>
        </w:rPr>
        <w:t>项目验收报告书</w:t>
      </w:r>
      <w:r>
        <w:rPr>
          <w:rFonts w:hint="eastAsia" w:ascii="宋体"/>
          <w:color w:val="auto"/>
          <w:highlight w:val="none"/>
          <w:u w:val="none"/>
          <w:lang w:val="en-US" w:eastAsia="zh"/>
        </w:rPr>
        <w:t>，系统进入售后服务期。</w:t>
      </w:r>
    </w:p>
    <w:p w14:paraId="29FD35C6">
      <w:pPr>
        <w:pStyle w:val="6"/>
        <w:numPr>
          <w:ilvl w:val="0"/>
          <w:numId w:val="0"/>
        </w:numPr>
        <w:ind w:firstLine="480" w:firstLineChars="200"/>
        <w:rPr>
          <w:rFonts w:hint="eastAsia" w:ascii="宋体" w:hAnsi="宋体" w:cs="Arial"/>
          <w:b/>
          <w:snapToGrid w:val="0"/>
          <w:color w:val="auto"/>
          <w:sz w:val="24"/>
          <w:szCs w:val="21"/>
          <w:highlight w:val="none"/>
        </w:rPr>
      </w:pPr>
      <w:r>
        <w:rPr>
          <w:rFonts w:hint="eastAsia" w:ascii="宋体"/>
          <w:color w:val="auto"/>
          <w:highlight w:val="none"/>
          <w:lang w:val="en-US" w:eastAsia="zh-CN"/>
        </w:rPr>
        <w:t>5.乙方提供的验收资料包括但不限于需求说明书、概要设计说明书、详细设计说明书、测试报告、培训记录、试运行报告、系统源代码、用户报告等。</w:t>
      </w:r>
    </w:p>
    <w:p w14:paraId="02AC35DC">
      <w:pPr>
        <w:pStyle w:val="6"/>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lang w:val="en-US" w:eastAsia="zh-CN"/>
        </w:rPr>
        <w:t>八</w:t>
      </w:r>
      <w:r>
        <w:rPr>
          <w:rFonts w:hint="eastAsia" w:ascii="宋体" w:hAnsi="宋体" w:cs="Arial"/>
          <w:b/>
          <w:snapToGrid w:val="0"/>
          <w:color w:val="auto"/>
          <w:sz w:val="24"/>
          <w:szCs w:val="21"/>
          <w:highlight w:val="none"/>
        </w:rPr>
        <w:t>、</w:t>
      </w:r>
      <w:r>
        <w:rPr>
          <w:rFonts w:hint="eastAsia" w:ascii="宋体" w:hAnsi="宋体"/>
          <w:b/>
          <w:color w:val="auto"/>
          <w:sz w:val="24"/>
          <w:highlight w:val="none"/>
        </w:rPr>
        <w:t>验收特别约定条款</w:t>
      </w:r>
    </w:p>
    <w:p w14:paraId="56F2440B">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lang w:val="en-US" w:eastAsia="zh-CN"/>
        </w:rPr>
        <w:t>乙方提供项目验收报告书</w:t>
      </w:r>
      <w:r>
        <w:rPr>
          <w:rFonts w:hint="eastAsia" w:ascii="宋体" w:hAnsi="宋体" w:cs="宋体"/>
          <w:color w:val="auto"/>
          <w:sz w:val="24"/>
          <w:highlight w:val="none"/>
          <w:u w:val="single"/>
        </w:rPr>
        <w:t>。</w:t>
      </w:r>
    </w:p>
    <w:p w14:paraId="5B8B2121">
      <w:pPr>
        <w:pStyle w:val="25"/>
        <w:spacing w:before="0" w:beforeAutospacing="0" w:after="0" w:afterAutospacing="0" w:line="360" w:lineRule="auto"/>
        <w:ind w:firstLine="480"/>
        <w:rPr>
          <w:b/>
          <w:color w:val="auto"/>
          <w:highlight w:val="none"/>
        </w:rPr>
      </w:pPr>
      <w:r>
        <w:rPr>
          <w:rFonts w:hint="eastAsia"/>
          <w:b/>
          <w:color w:val="auto"/>
          <w:highlight w:val="none"/>
          <w:lang w:val="en-US" w:eastAsia="zh-CN"/>
        </w:rPr>
        <w:t>九</w:t>
      </w:r>
      <w:r>
        <w:rPr>
          <w:rFonts w:hint="eastAsia"/>
          <w:b/>
          <w:color w:val="auto"/>
          <w:highlight w:val="none"/>
        </w:rPr>
        <w:t>、履约保证金</w:t>
      </w:r>
    </w:p>
    <w:p w14:paraId="6F74DD17">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1284EF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BED91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B373193">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rPr>
        <w:t>3.履约保证金</w:t>
      </w:r>
      <w:r>
        <w:rPr>
          <w:rFonts w:hint="eastAsia" w:ascii="宋体" w:hAnsi="宋体" w:cs="宋体"/>
          <w:color w:val="auto"/>
          <w:kern w:val="0"/>
          <w:sz w:val="24"/>
          <w:highlight w:val="none"/>
          <w:u w:val="none"/>
        </w:rPr>
        <w:t>支付方式： 电汇/转账 ；账户信息如下：</w:t>
      </w:r>
    </w:p>
    <w:p w14:paraId="444E5A3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2CD59F6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510108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1C171B5A">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15EA4A80">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0BA1023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olor w:val="auto"/>
          <w:sz w:val="24"/>
          <w:highlight w:val="none"/>
          <w:u w:val="single"/>
          <w:lang w:val="en-US" w:eastAsia="zh-CN"/>
        </w:rPr>
        <w:t>验收合格结束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 xml:space="preserve"> 30个工作日内将履约保证金无息退还乙方。</w:t>
      </w:r>
    </w:p>
    <w:p w14:paraId="49FBBD35">
      <w:pPr>
        <w:spacing w:line="360" w:lineRule="auto"/>
        <w:ind w:firstLine="480" w:firstLineChars="200"/>
        <w:outlineLvl w:val="0"/>
        <w:rPr>
          <w:rFonts w:hint="eastAsia"/>
          <w:color w:val="auto"/>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1"/>
    <w:bookmarkEnd w:id="402"/>
    <w:bookmarkEnd w:id="403"/>
    <w:p w14:paraId="3ACACA4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、预付款</w:t>
      </w:r>
    </w:p>
    <w:p w14:paraId="20C968B2">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需要支付预付款。若需要支付预付款的，则：</w:t>
      </w:r>
    </w:p>
    <w:p w14:paraId="065FD47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合同签订后30天支付合同金额的30%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810F241">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1094C32A">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2FD2AD10">
      <w:pPr>
        <w:pStyle w:val="25"/>
        <w:spacing w:before="0" w:beforeAutospacing="0" w:after="0" w:afterAutospacing="0" w:line="360" w:lineRule="auto"/>
        <w:ind w:firstLine="480"/>
        <w:rPr>
          <w:b/>
          <w:bCs/>
          <w:color w:val="auto"/>
          <w:highlight w:val="none"/>
        </w:rPr>
      </w:pPr>
      <w:r>
        <w:rPr>
          <w:rFonts w:hint="eastAsia" w:ascii="宋体" w:hAnsi="宋体" w:cs="宋体"/>
          <w:b/>
          <w:color w:val="auto"/>
          <w:sz w:val="24"/>
          <w:highlight w:val="none"/>
          <w:lang w:val="en-US" w:eastAsia="zh-CN"/>
        </w:rPr>
        <w:t>十一</w:t>
      </w:r>
      <w:r>
        <w:rPr>
          <w:rFonts w:hint="eastAsia"/>
          <w:b/>
          <w:bCs/>
          <w:color w:val="auto"/>
          <w:highlight w:val="none"/>
        </w:rPr>
        <w:t>、资金支付</w:t>
      </w:r>
    </w:p>
    <w:p w14:paraId="1A6B0FF2">
      <w:pPr>
        <w:pStyle w:val="25"/>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3948CB11">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none"/>
          <w:lang w:val="en-US" w:eastAsia="zh-CN"/>
        </w:rPr>
        <w:t>自验收合格后</w:t>
      </w:r>
      <w:r>
        <w:rPr>
          <w:rFonts w:hint="eastAsia"/>
          <w:color w:val="auto"/>
          <w:highlight w:val="none"/>
          <w:u w:val="single"/>
          <w:lang w:val="en-US" w:eastAsia="zh-CN"/>
        </w:rPr>
        <w:t xml:space="preserve">  12  </w:t>
      </w:r>
      <w:r>
        <w:rPr>
          <w:rFonts w:hint="eastAsia"/>
          <w:color w:val="auto"/>
          <w:highlight w:val="none"/>
          <w:u w:val="none"/>
          <w:lang w:val="en-US" w:eastAsia="zh-CN"/>
        </w:rPr>
        <w:t xml:space="preserve">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098A4E82">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color w:val="auto"/>
          <w:highlight w:val="none"/>
          <w:u w:val="single"/>
          <w:lang w:val="en-US" w:eastAsia="zh-CN"/>
        </w:rPr>
        <w:t>5</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09A04B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22D63CA2">
      <w:pPr>
        <w:pStyle w:val="25"/>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3.本项目资金支付的方式、时间和条件采用以下规定：</w:t>
      </w:r>
    </w:p>
    <w:p w14:paraId="2C20E087">
      <w:pPr>
        <w:pStyle w:val="25"/>
        <w:spacing w:before="0" w:beforeAutospacing="0" w:after="0" w:afterAutospacing="0" w:line="360" w:lineRule="auto"/>
        <w:ind w:firstLine="48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u w:val="single"/>
        </w:rPr>
        <w:t>项目预付款：合同签订后，由</w:t>
      </w:r>
      <w:r>
        <w:rPr>
          <w:rFonts w:hint="eastAsia"/>
          <w:color w:val="auto"/>
          <w:highlight w:val="none"/>
          <w:u w:val="single"/>
          <w:lang w:eastAsia="zh-CN"/>
        </w:rPr>
        <w:t>乙方</w:t>
      </w:r>
      <w:r>
        <w:rPr>
          <w:rFonts w:hint="eastAsia"/>
          <w:color w:val="auto"/>
          <w:highlight w:val="none"/>
          <w:u w:val="single"/>
        </w:rPr>
        <w:t>开具本合同总价30%的增值税专用发票，</w:t>
      </w:r>
      <w:r>
        <w:rPr>
          <w:rFonts w:hint="eastAsia"/>
          <w:color w:val="auto"/>
          <w:highlight w:val="none"/>
          <w:u w:val="single"/>
          <w:lang w:eastAsia="zh-CN"/>
        </w:rPr>
        <w:t>甲方</w:t>
      </w:r>
      <w:r>
        <w:rPr>
          <w:rFonts w:hint="eastAsia"/>
          <w:color w:val="auto"/>
          <w:highlight w:val="none"/>
          <w:u w:val="single"/>
        </w:rPr>
        <w:t>收到</w:t>
      </w:r>
      <w:r>
        <w:rPr>
          <w:rFonts w:hint="eastAsia"/>
          <w:color w:val="auto"/>
          <w:highlight w:val="none"/>
          <w:u w:val="single"/>
          <w:lang w:eastAsia="zh-CN"/>
        </w:rPr>
        <w:t>乙方</w:t>
      </w:r>
      <w:r>
        <w:rPr>
          <w:rFonts w:hint="eastAsia"/>
          <w:color w:val="auto"/>
          <w:highlight w:val="none"/>
          <w:u w:val="single"/>
        </w:rPr>
        <w:t>开具的增值税专用发票后30天内支付本合同总价的30%作为项目预付款。</w:t>
      </w:r>
    </w:p>
    <w:p w14:paraId="1E0625F7">
      <w:pPr>
        <w:pStyle w:val="25"/>
        <w:spacing w:before="0" w:beforeAutospacing="0" w:after="0" w:afterAutospacing="0" w:line="360" w:lineRule="auto"/>
        <w:ind w:firstLine="48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rFonts w:hint="eastAsia"/>
          <w:color w:val="auto"/>
          <w:highlight w:val="none"/>
          <w:u w:val="single"/>
        </w:rPr>
        <w:t>项目进度款：所有软件系统完成功能性调试，软件系统全部功能开发完成，经</w:t>
      </w:r>
      <w:r>
        <w:rPr>
          <w:rFonts w:hint="eastAsia"/>
          <w:color w:val="auto"/>
          <w:highlight w:val="none"/>
          <w:u w:val="single"/>
          <w:lang w:eastAsia="zh-CN"/>
        </w:rPr>
        <w:t>甲方</w:t>
      </w:r>
      <w:r>
        <w:rPr>
          <w:rFonts w:hint="eastAsia"/>
          <w:color w:val="auto"/>
          <w:highlight w:val="none"/>
          <w:u w:val="single"/>
        </w:rPr>
        <w:t>审核无异议，系统进入试运行阶段。</w:t>
      </w:r>
      <w:r>
        <w:rPr>
          <w:rFonts w:hint="eastAsia"/>
          <w:color w:val="auto"/>
          <w:highlight w:val="none"/>
          <w:u w:val="single"/>
          <w:lang w:eastAsia="zh-CN"/>
        </w:rPr>
        <w:t>甲方</w:t>
      </w:r>
      <w:r>
        <w:rPr>
          <w:rFonts w:hint="eastAsia"/>
          <w:color w:val="auto"/>
          <w:highlight w:val="none"/>
          <w:u w:val="single"/>
        </w:rPr>
        <w:t>确定进入试运行阶段后，由</w:t>
      </w:r>
      <w:r>
        <w:rPr>
          <w:rFonts w:hint="eastAsia"/>
          <w:color w:val="auto"/>
          <w:highlight w:val="none"/>
          <w:u w:val="single"/>
          <w:lang w:eastAsia="zh-CN"/>
        </w:rPr>
        <w:t>乙方</w:t>
      </w:r>
      <w:r>
        <w:rPr>
          <w:rFonts w:hint="eastAsia"/>
          <w:color w:val="auto"/>
          <w:highlight w:val="none"/>
          <w:u w:val="single"/>
        </w:rPr>
        <w:t>开具本合同总价30%的增值税专用发票，</w:t>
      </w:r>
      <w:r>
        <w:rPr>
          <w:rFonts w:hint="eastAsia"/>
          <w:color w:val="auto"/>
          <w:highlight w:val="none"/>
          <w:u w:val="single"/>
          <w:lang w:eastAsia="zh-CN"/>
        </w:rPr>
        <w:t>甲方</w:t>
      </w:r>
      <w:r>
        <w:rPr>
          <w:rFonts w:hint="eastAsia"/>
          <w:color w:val="auto"/>
          <w:highlight w:val="none"/>
          <w:u w:val="single"/>
        </w:rPr>
        <w:t>收到</w:t>
      </w:r>
      <w:r>
        <w:rPr>
          <w:rFonts w:hint="eastAsia"/>
          <w:color w:val="auto"/>
          <w:highlight w:val="none"/>
          <w:u w:val="single"/>
          <w:lang w:eastAsia="zh-CN"/>
        </w:rPr>
        <w:t>乙方</w:t>
      </w:r>
      <w:r>
        <w:rPr>
          <w:rFonts w:hint="eastAsia"/>
          <w:color w:val="auto"/>
          <w:highlight w:val="none"/>
          <w:u w:val="single"/>
        </w:rPr>
        <w:t>开具的增值税专用发票后，30天内支付本合同总价的30%；</w:t>
      </w:r>
    </w:p>
    <w:p w14:paraId="1094DAC3">
      <w:pPr>
        <w:pStyle w:val="25"/>
        <w:spacing w:before="0" w:beforeAutospacing="0" w:after="0" w:afterAutospacing="0" w:line="360" w:lineRule="auto"/>
        <w:ind w:firstLine="48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lang w:eastAsia="zh-CN"/>
        </w:rPr>
        <w:t>）</w:t>
      </w:r>
      <w:r>
        <w:rPr>
          <w:rFonts w:hint="eastAsia"/>
          <w:color w:val="auto"/>
          <w:highlight w:val="none"/>
          <w:u w:val="single"/>
        </w:rPr>
        <w:t>项目验收款：经</w:t>
      </w:r>
      <w:r>
        <w:rPr>
          <w:rFonts w:hint="eastAsia"/>
          <w:color w:val="auto"/>
          <w:highlight w:val="none"/>
          <w:u w:val="single"/>
          <w:lang w:eastAsia="zh-CN"/>
        </w:rPr>
        <w:t>甲方</w:t>
      </w:r>
      <w:r>
        <w:rPr>
          <w:rFonts w:hint="eastAsia"/>
          <w:color w:val="auto"/>
          <w:highlight w:val="none"/>
          <w:u w:val="single"/>
        </w:rPr>
        <w:t>验收合格后，由</w:t>
      </w:r>
      <w:r>
        <w:rPr>
          <w:rFonts w:hint="eastAsia"/>
          <w:color w:val="auto"/>
          <w:highlight w:val="none"/>
          <w:u w:val="single"/>
          <w:lang w:eastAsia="zh-CN"/>
        </w:rPr>
        <w:t>乙方</w:t>
      </w:r>
      <w:r>
        <w:rPr>
          <w:rFonts w:hint="eastAsia"/>
          <w:color w:val="auto"/>
          <w:highlight w:val="none"/>
          <w:u w:val="single"/>
        </w:rPr>
        <w:t>开具本合同总价40%的增值税专用发票，</w:t>
      </w:r>
      <w:r>
        <w:rPr>
          <w:rFonts w:hint="eastAsia"/>
          <w:color w:val="auto"/>
          <w:highlight w:val="none"/>
          <w:u w:val="single"/>
          <w:lang w:eastAsia="zh-CN"/>
        </w:rPr>
        <w:t>甲方</w:t>
      </w:r>
      <w:r>
        <w:rPr>
          <w:rFonts w:hint="eastAsia"/>
          <w:color w:val="auto"/>
          <w:highlight w:val="none"/>
          <w:u w:val="single"/>
        </w:rPr>
        <w:t>收到</w:t>
      </w:r>
      <w:r>
        <w:rPr>
          <w:rFonts w:hint="eastAsia"/>
          <w:color w:val="auto"/>
          <w:highlight w:val="none"/>
          <w:u w:val="single"/>
          <w:lang w:eastAsia="zh-CN"/>
        </w:rPr>
        <w:t>乙方</w:t>
      </w:r>
      <w:r>
        <w:rPr>
          <w:rFonts w:hint="eastAsia"/>
          <w:color w:val="auto"/>
          <w:highlight w:val="none"/>
          <w:u w:val="single"/>
        </w:rPr>
        <w:t>开具的增值税专用发票后，30天内支付本合同总价的35%；。</w:t>
      </w:r>
    </w:p>
    <w:p w14:paraId="218D4C8E">
      <w:pPr>
        <w:pStyle w:val="25"/>
        <w:spacing w:before="0" w:beforeAutospacing="0" w:after="0" w:afterAutospacing="0" w:line="360" w:lineRule="auto"/>
        <w:ind w:firstLine="480" w:firstLineChars="200"/>
        <w:rPr>
          <w:rFonts w:hint="eastAsia" w:eastAsia="宋体"/>
          <w:color w:val="auto"/>
          <w:highlight w:val="none"/>
          <w:lang w:eastAsia="zh-CN"/>
        </w:rPr>
      </w:pP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color w:val="auto"/>
          <w:highlight w:val="none"/>
          <w:u w:val="single"/>
        </w:rPr>
        <w:t>项目质保金：软件系统余款5%作为质量保证金，自项目验收之日起满一年，</w:t>
      </w:r>
      <w:r>
        <w:rPr>
          <w:rFonts w:hint="eastAsia"/>
          <w:color w:val="auto"/>
          <w:highlight w:val="none"/>
          <w:u w:val="single"/>
          <w:lang w:eastAsia="zh-CN"/>
        </w:rPr>
        <w:t>乙方</w:t>
      </w:r>
      <w:r>
        <w:rPr>
          <w:rFonts w:hint="eastAsia"/>
          <w:color w:val="auto"/>
          <w:highlight w:val="none"/>
          <w:u w:val="single"/>
        </w:rPr>
        <w:t>提供项目运行报告，</w:t>
      </w:r>
      <w:r>
        <w:rPr>
          <w:rFonts w:hint="eastAsia"/>
          <w:color w:val="auto"/>
          <w:highlight w:val="none"/>
          <w:u w:val="single"/>
          <w:lang w:eastAsia="zh-CN"/>
        </w:rPr>
        <w:t>甲方</w:t>
      </w:r>
      <w:r>
        <w:rPr>
          <w:rFonts w:hint="eastAsia"/>
          <w:color w:val="auto"/>
          <w:highlight w:val="none"/>
          <w:u w:val="single"/>
        </w:rPr>
        <w:t>审核无异议，30天内支付本合同总价的5%的尾款（扣除违约金的除外）。</w:t>
      </w:r>
      <w:r>
        <w:rPr>
          <w:rFonts w:hint="eastAsia"/>
          <w:color w:val="auto"/>
          <w:highlight w:val="none"/>
          <w:u w:val="single"/>
          <w:lang w:eastAsia="zh-CN"/>
        </w:rPr>
        <w:t>。</w:t>
      </w:r>
    </w:p>
    <w:p w14:paraId="10C14EB7">
      <w:pPr>
        <w:spacing w:line="360" w:lineRule="auto"/>
        <w:ind w:firstLine="482" w:firstLineChars="200"/>
        <w:rPr>
          <w:rFonts w:hint="eastAsia" w:ascii="宋体" w:hAnsi="宋体"/>
          <w:color w:val="auto"/>
          <w:sz w:val="24"/>
          <w:highlight w:val="none"/>
          <w:lang w:val="en-US" w:eastAsia="zh-CN"/>
        </w:rPr>
      </w:pPr>
      <w:r>
        <w:rPr>
          <w:rFonts w:hint="eastAsia" w:ascii="宋体" w:hAnsi="宋体"/>
          <w:b/>
          <w:color w:val="auto"/>
          <w:sz w:val="24"/>
          <w:highlight w:val="none"/>
        </w:rPr>
        <w:t>十</w:t>
      </w:r>
      <w:r>
        <w:rPr>
          <w:rFonts w:hint="eastAsia" w:ascii="宋体" w:hAnsi="宋体"/>
          <w:b/>
          <w:color w:val="auto"/>
          <w:sz w:val="24"/>
          <w:highlight w:val="none"/>
          <w:lang w:val="en-US" w:eastAsia="zh-CN"/>
        </w:rPr>
        <w:t>二</w:t>
      </w:r>
      <w:r>
        <w:rPr>
          <w:rFonts w:hint="eastAsia" w:ascii="宋体" w:hAnsi="宋体"/>
          <w:b/>
          <w:color w:val="auto"/>
          <w:sz w:val="24"/>
          <w:highlight w:val="none"/>
        </w:rPr>
        <w:t>、</w:t>
      </w:r>
      <w:bookmarkEnd w:id="404"/>
      <w:bookmarkEnd w:id="405"/>
      <w:bookmarkEnd w:id="406"/>
      <w:bookmarkEnd w:id="407"/>
      <w:bookmarkEnd w:id="408"/>
      <w:bookmarkStart w:id="412" w:name="_Toc5698"/>
      <w:bookmarkStart w:id="413" w:name="_Toc2375"/>
      <w:bookmarkStart w:id="414" w:name="_Toc24662"/>
      <w:bookmarkStart w:id="415" w:name="_Toc3079"/>
      <w:bookmarkStart w:id="416" w:name="_Toc8586"/>
      <w:r>
        <w:rPr>
          <w:rFonts w:hint="eastAsia" w:ascii="宋体" w:hAnsi="宋体"/>
          <w:b/>
          <w:color w:val="auto"/>
          <w:sz w:val="24"/>
          <w:highlight w:val="none"/>
        </w:rPr>
        <w:t>违约责任</w:t>
      </w:r>
      <w:bookmarkEnd w:id="412"/>
      <w:bookmarkEnd w:id="413"/>
      <w:bookmarkEnd w:id="414"/>
      <w:bookmarkEnd w:id="415"/>
      <w:bookmarkEnd w:id="416"/>
    </w:p>
    <w:p w14:paraId="29848F9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6C42761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12B83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A15365E">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412847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0.0</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%计算</w:t>
      </w:r>
      <w:r>
        <w:rPr>
          <w:rFonts w:hint="eastAsia" w:ascii="宋体" w:hAnsi="宋体"/>
          <w:color w:val="auto"/>
          <w:sz w:val="24"/>
          <w:highlight w:val="none"/>
        </w:rPr>
        <w:t>；</w:t>
      </w:r>
    </w:p>
    <w:p w14:paraId="43C97838">
      <w:pPr>
        <w:spacing w:line="360" w:lineRule="auto"/>
        <w:ind w:firstLine="480" w:firstLineChars="200"/>
        <w:rPr>
          <w:rFonts w:ascii="宋体" w:hAnsi="宋体" w:cs="宋体"/>
          <w:color w:val="auto"/>
          <w:sz w:val="24"/>
          <w:highlight w:val="none"/>
        </w:rPr>
      </w:pPr>
      <w:bookmarkStart w:id="417" w:name="_Toc32454"/>
      <w:bookmarkStart w:id="418" w:name="_Toc9497"/>
      <w:bookmarkStart w:id="419" w:name="_Toc18683"/>
      <w:bookmarkStart w:id="420" w:name="_Toc30329"/>
      <w:bookmarkStart w:id="421" w:name="_Toc26807"/>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2E2D4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CFC4F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6C10A8E">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.违约责任另有约定的，从其约定，具体如下：</w:t>
      </w:r>
    </w:p>
    <w:p w14:paraId="0D960FCF">
      <w:pPr>
        <w:spacing w:line="360" w:lineRule="auto"/>
        <w:ind w:right="-420" w:rightChars="-200"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rPr>
        <w:t xml:space="preserve"> （1）乙方交付的服务不符合合同约定或验收不合格的，应当及时更换，因此延误成果交付期限的，按照逾期成果交付承担违约责任</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同时甲方有权要求解除合同，不再接受逾期交付的成果</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28C7214F">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1C90A0">
      <w:pPr>
        <w:pStyle w:val="6"/>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产生的费用全部由乙方承担。乙方未及时进行维修、更换的，甲方有权委托第三方进行维修或按本条第1款进行处理，并在质保金或履约保证金中扣除第三方维修费用、违约金以及因为质量问题导致甲方产生的其他损失（不足扣除的，乙方应当另行承担）。</w:t>
      </w:r>
    </w:p>
    <w:bookmarkEnd w:id="417"/>
    <w:bookmarkEnd w:id="418"/>
    <w:bookmarkEnd w:id="419"/>
    <w:bookmarkEnd w:id="420"/>
    <w:bookmarkEnd w:id="421"/>
    <w:p w14:paraId="08BDAD1A">
      <w:pPr>
        <w:pStyle w:val="6"/>
        <w:ind w:firstLine="480" w:firstLineChars="200"/>
        <w:rPr>
          <w:rFonts w:hint="eastAsia" w:ascii="宋体" w:hAnsi="宋体" w:eastAsia="宋体" w:cs="宋体"/>
          <w:snapToGrid/>
          <w:color w:val="auto"/>
          <w:kern w:val="2"/>
          <w:sz w:val="24"/>
          <w:szCs w:val="24"/>
          <w:highlight w:val="none"/>
          <w:lang w:val="en-US" w:eastAsia="zh-CN" w:bidi="ar-SA"/>
        </w:rPr>
      </w:pPr>
      <w:bookmarkStart w:id="422" w:name="_Toc15583"/>
      <w:bookmarkStart w:id="423" w:name="_Toc28375"/>
      <w:bookmarkStart w:id="424" w:name="_Toc16021"/>
      <w:r>
        <w:rPr>
          <w:rFonts w:hint="eastAsia" w:hAnsi="宋体" w:cs="宋体"/>
          <w:snapToGrid/>
          <w:color w:val="auto"/>
          <w:kern w:val="2"/>
          <w:sz w:val="24"/>
          <w:szCs w:val="24"/>
          <w:highlight w:val="none"/>
          <w:lang w:val="en-US" w:eastAsia="zh-CN" w:bidi="ar-SA"/>
        </w:rPr>
        <w:t>7</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w:t>
      </w: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eastAsia="宋体" w:cs="宋体"/>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254DBB69">
      <w:pPr>
        <w:pStyle w:val="15"/>
        <w:rPr>
          <w:rFonts w:hint="default"/>
          <w:color w:val="auto"/>
          <w:highlight w:val="none"/>
          <w:lang w:val="en-US"/>
        </w:rPr>
      </w:pPr>
      <w:r>
        <w:rPr>
          <w:rFonts w:hint="eastAsia" w:hAnsi="宋体" w:cs="宋体"/>
          <w:snapToGrid/>
          <w:color w:val="auto"/>
          <w:kern w:val="2"/>
          <w:sz w:val="24"/>
          <w:szCs w:val="24"/>
          <w:highlight w:val="none"/>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D1D44E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bookmarkEnd w:id="422"/>
      <w:bookmarkEnd w:id="423"/>
      <w:bookmarkEnd w:id="424"/>
    </w:p>
    <w:p w14:paraId="3DEA3C41">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150F0BA1">
      <w:pPr>
        <w:spacing w:line="360" w:lineRule="auto"/>
        <w:ind w:firstLine="482" w:firstLineChars="200"/>
        <w:outlineLvl w:val="0"/>
        <w:rPr>
          <w:rFonts w:ascii="宋体" w:hAnsi="宋体" w:cs="宋体"/>
          <w:b/>
          <w:color w:val="auto"/>
          <w:sz w:val="24"/>
          <w:highlight w:val="none"/>
        </w:rPr>
      </w:pPr>
      <w:bookmarkStart w:id="425" w:name="_Toc11173"/>
      <w:bookmarkStart w:id="426" w:name="_Toc7245"/>
      <w:bookmarkStart w:id="427" w:name="_Toc15322"/>
      <w:r>
        <w:rPr>
          <w:rFonts w:hint="eastAsia" w:ascii="宋体" w:hAnsi="宋体" w:cs="宋体"/>
          <w:b/>
          <w:color w:val="auto"/>
          <w:sz w:val="24"/>
          <w:highlight w:val="none"/>
        </w:rPr>
        <w:t>十二、合同生效</w:t>
      </w:r>
      <w:bookmarkEnd w:id="425"/>
      <w:bookmarkEnd w:id="426"/>
      <w:bookmarkEnd w:id="427"/>
    </w:p>
    <w:p w14:paraId="65307870">
      <w:pPr>
        <w:pStyle w:val="24"/>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1D15216">
      <w:pPr>
        <w:spacing w:line="360" w:lineRule="auto"/>
        <w:ind w:firstLine="480" w:firstLineChars="200"/>
        <w:rPr>
          <w:rFonts w:hint="eastAsia" w:ascii="宋体" w:hAnsi="宋体" w:cs="宋体"/>
          <w:color w:val="auto"/>
          <w:sz w:val="24"/>
          <w:highlight w:val="none"/>
        </w:rPr>
      </w:pPr>
    </w:p>
    <w:p w14:paraId="51E8DF0D">
      <w:pPr>
        <w:pStyle w:val="24"/>
        <w:ind w:left="0" w:leftChars="0" w:firstLine="0" w:firstLineChars="0"/>
        <w:jc w:val="center"/>
        <w:rPr>
          <w:rFonts w:hint="eastAsia" w:ascii="宋体" w:hAnsi="宋体"/>
          <w:b/>
          <w:color w:val="auto"/>
          <w:szCs w:val="24"/>
          <w:highlight w:val="none"/>
        </w:rPr>
      </w:pPr>
    </w:p>
    <w:p w14:paraId="14D91E2C">
      <w:pPr>
        <w:pStyle w:val="24"/>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F442675">
      <w:pPr>
        <w:spacing w:line="360" w:lineRule="auto"/>
        <w:ind w:firstLine="482" w:firstLineChars="200"/>
        <w:outlineLvl w:val="0"/>
        <w:rPr>
          <w:rFonts w:ascii="宋体" w:hAnsi="宋体"/>
          <w:b/>
          <w:color w:val="auto"/>
          <w:sz w:val="24"/>
          <w:highlight w:val="none"/>
        </w:rPr>
      </w:pPr>
      <w:bookmarkStart w:id="428" w:name="_Toc14021"/>
      <w:bookmarkStart w:id="429" w:name="_Toc25079"/>
      <w:bookmarkStart w:id="430" w:name="_Toc31297"/>
      <w:bookmarkStart w:id="431" w:name="_Toc5228"/>
      <w:bookmarkStart w:id="432" w:name="_Toc19680"/>
      <w:r>
        <w:rPr>
          <w:rFonts w:hint="eastAsia" w:ascii="宋体" w:hAnsi="宋体"/>
          <w:b/>
          <w:color w:val="auto"/>
          <w:sz w:val="24"/>
          <w:highlight w:val="none"/>
        </w:rPr>
        <w:t>一、</w:t>
      </w:r>
      <w:r>
        <w:rPr>
          <w:rFonts w:ascii="宋体" w:hAnsi="宋体"/>
          <w:b/>
          <w:color w:val="auto"/>
          <w:sz w:val="24"/>
          <w:highlight w:val="none"/>
        </w:rPr>
        <w:t>定义</w:t>
      </w:r>
      <w:bookmarkEnd w:id="428"/>
      <w:bookmarkEnd w:id="429"/>
      <w:bookmarkEnd w:id="430"/>
      <w:bookmarkEnd w:id="431"/>
      <w:bookmarkEnd w:id="432"/>
    </w:p>
    <w:p w14:paraId="2F95B07A">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775534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4C2036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5D864B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3BA22F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93853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D16F8A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51BE010F">
      <w:pPr>
        <w:spacing w:line="360" w:lineRule="auto"/>
        <w:ind w:firstLine="480" w:firstLineChars="200"/>
        <w:rPr>
          <w:rFonts w:hint="default" w:ascii="宋体" w:hAnsi="宋体" w:eastAsia="宋体" w:cs="宋体"/>
          <w:color w:val="auto"/>
          <w:sz w:val="24"/>
          <w:highlight w:val="none"/>
          <w:lang w:val="en-US" w:eastAsia="zh-CN"/>
        </w:rPr>
      </w:pPr>
      <w:bookmarkStart w:id="433" w:name="_Toc16752"/>
      <w:bookmarkStart w:id="434" w:name="_Toc3769"/>
      <w:bookmarkStart w:id="435" w:name="_Toc23289"/>
      <w:bookmarkStart w:id="436" w:name="_Toc19539"/>
      <w:bookmarkStart w:id="437" w:name="_Toc31402"/>
      <w:r>
        <w:rPr>
          <w:rFonts w:hint="eastAsia" w:ascii="宋体" w:hAnsi="宋体" w:cs="宋体"/>
          <w:color w:val="auto"/>
          <w:sz w:val="24"/>
          <w:highlight w:val="none"/>
          <w:lang w:val="en-US" w:eastAsia="zh-CN"/>
        </w:rPr>
        <w:t>7. 除特别约定为工作日之外，本合同所有提及的“天”“日”均为日历天。</w:t>
      </w:r>
    </w:p>
    <w:p w14:paraId="419703A1">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33"/>
      <w:bookmarkEnd w:id="434"/>
      <w:bookmarkEnd w:id="435"/>
      <w:bookmarkEnd w:id="436"/>
      <w:bookmarkEnd w:id="437"/>
    </w:p>
    <w:p w14:paraId="6B5614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2B7363FE">
      <w:pPr>
        <w:spacing w:line="360" w:lineRule="auto"/>
        <w:ind w:firstLine="482" w:firstLineChars="200"/>
        <w:outlineLvl w:val="0"/>
        <w:rPr>
          <w:rFonts w:ascii="宋体" w:hAnsi="宋体"/>
          <w:b/>
          <w:color w:val="auto"/>
          <w:sz w:val="24"/>
          <w:highlight w:val="none"/>
        </w:rPr>
      </w:pPr>
      <w:bookmarkStart w:id="438" w:name="_Toc9161"/>
      <w:bookmarkStart w:id="439" w:name="_Toc4133"/>
      <w:bookmarkStart w:id="440" w:name="_Toc13673"/>
      <w:bookmarkStart w:id="441" w:name="_Toc27945"/>
      <w:bookmarkStart w:id="442" w:name="_Toc12412"/>
      <w:r>
        <w:rPr>
          <w:rFonts w:hint="eastAsia" w:ascii="宋体" w:hAnsi="宋体"/>
          <w:b/>
          <w:color w:val="auto"/>
          <w:sz w:val="24"/>
          <w:highlight w:val="none"/>
        </w:rPr>
        <w:t>三、</w:t>
      </w:r>
      <w:r>
        <w:rPr>
          <w:rFonts w:ascii="宋体" w:hAnsi="宋体"/>
          <w:b/>
          <w:color w:val="auto"/>
          <w:sz w:val="24"/>
          <w:highlight w:val="none"/>
        </w:rPr>
        <w:t xml:space="preserve"> 知识产权</w:t>
      </w:r>
      <w:bookmarkEnd w:id="438"/>
      <w:bookmarkEnd w:id="439"/>
      <w:bookmarkEnd w:id="440"/>
      <w:bookmarkEnd w:id="441"/>
      <w:bookmarkEnd w:id="442"/>
    </w:p>
    <w:p w14:paraId="29FCDA2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w:t>
      </w:r>
      <w:r>
        <w:rPr>
          <w:rFonts w:hint="eastAsia" w:ascii="宋体" w:hAnsi="宋体"/>
          <w:color w:val="auto"/>
          <w:sz w:val="24"/>
          <w:highlight w:val="none"/>
          <w:lang w:val="en-US" w:eastAsia="zh-CN"/>
        </w:rPr>
        <w:t>索赔</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4ED12C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乙方应当根据甲方要求提供项目成果原始文件</w:t>
      </w:r>
      <w:r>
        <w:rPr>
          <w:rFonts w:hint="eastAsia" w:ascii="宋体" w:hAnsi="宋体"/>
          <w:color w:val="auto"/>
          <w:sz w:val="24"/>
          <w:highlight w:val="none"/>
        </w:rPr>
        <w:t>，且甲方有权自行或委托第三方进行修改。</w:t>
      </w:r>
    </w:p>
    <w:p w14:paraId="07D58516">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4A9A19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0A1CB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4C8D24AC">
      <w:pPr>
        <w:spacing w:line="360" w:lineRule="auto"/>
        <w:ind w:firstLine="482" w:firstLineChars="200"/>
        <w:outlineLvl w:val="0"/>
        <w:rPr>
          <w:rFonts w:ascii="宋体" w:hAnsi="宋体"/>
          <w:b/>
          <w:color w:val="auto"/>
          <w:sz w:val="24"/>
          <w:highlight w:val="none"/>
        </w:rPr>
      </w:pPr>
      <w:bookmarkStart w:id="443" w:name="_Toc31233"/>
      <w:bookmarkStart w:id="444" w:name="_Toc26555"/>
      <w:bookmarkStart w:id="445" w:name="_Toc32670"/>
      <w:bookmarkStart w:id="446" w:name="_Toc15447"/>
      <w:bookmarkStart w:id="447" w:name="_Toc22011"/>
      <w:r>
        <w:rPr>
          <w:rFonts w:hint="eastAsia" w:ascii="宋体" w:hAnsi="宋体"/>
          <w:b/>
          <w:color w:val="auto"/>
          <w:sz w:val="24"/>
          <w:highlight w:val="none"/>
        </w:rPr>
        <w:t>五、</w:t>
      </w:r>
      <w:r>
        <w:rPr>
          <w:rFonts w:ascii="宋体" w:hAnsi="宋体"/>
          <w:b/>
          <w:color w:val="auto"/>
          <w:sz w:val="24"/>
          <w:highlight w:val="none"/>
        </w:rPr>
        <w:t>结算方式和付款条件</w:t>
      </w:r>
      <w:bookmarkEnd w:id="443"/>
      <w:bookmarkEnd w:id="444"/>
      <w:bookmarkEnd w:id="445"/>
      <w:bookmarkEnd w:id="446"/>
      <w:bookmarkEnd w:id="447"/>
    </w:p>
    <w:p w14:paraId="4A685417">
      <w:pPr>
        <w:spacing w:line="360" w:lineRule="auto"/>
        <w:ind w:firstLine="480" w:firstLineChars="200"/>
        <w:outlineLvl w:val="0"/>
        <w:rPr>
          <w:rFonts w:hint="eastAsia" w:ascii="宋体" w:hAnsi="宋体"/>
          <w:bCs/>
          <w:color w:val="auto"/>
          <w:sz w:val="24"/>
          <w:highlight w:val="none"/>
        </w:rPr>
      </w:pPr>
      <w:bookmarkStart w:id="448" w:name="_Toc30507"/>
      <w:bookmarkStart w:id="449" w:name="_Toc13467"/>
      <w:bookmarkStart w:id="450" w:name="_Toc18990"/>
      <w:bookmarkStart w:id="451" w:name="_Toc13154"/>
      <w:bookmarkStart w:id="452" w:name="_Toc16163"/>
      <w:r>
        <w:rPr>
          <w:rFonts w:hint="eastAsia" w:ascii="宋体" w:hAnsi="宋体"/>
          <w:bCs/>
          <w:color w:val="auto"/>
          <w:sz w:val="24"/>
          <w:highlight w:val="none"/>
        </w:rPr>
        <w:t>1.结算方式为转账或者电汇，若甲方采用银行承兑支付，双方另行协商；</w:t>
      </w:r>
    </w:p>
    <w:p w14:paraId="2E01C907">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0F818E8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48"/>
      <w:bookmarkEnd w:id="449"/>
      <w:bookmarkEnd w:id="450"/>
      <w:bookmarkEnd w:id="451"/>
      <w:bookmarkEnd w:id="452"/>
    </w:p>
    <w:p w14:paraId="6B6EC6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758BA8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35ED8D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BBE4C22">
      <w:pPr>
        <w:spacing w:line="360" w:lineRule="auto"/>
        <w:ind w:firstLine="482" w:firstLineChars="200"/>
        <w:outlineLvl w:val="0"/>
        <w:rPr>
          <w:rFonts w:ascii="宋体" w:hAnsi="宋体"/>
          <w:b/>
          <w:color w:val="auto"/>
          <w:sz w:val="24"/>
          <w:highlight w:val="none"/>
        </w:rPr>
      </w:pPr>
      <w:bookmarkStart w:id="453" w:name="_Toc19069"/>
      <w:r>
        <w:rPr>
          <w:rFonts w:hint="eastAsia" w:ascii="宋体" w:hAnsi="宋体"/>
          <w:b/>
          <w:color w:val="auto"/>
          <w:sz w:val="24"/>
          <w:highlight w:val="none"/>
        </w:rPr>
        <w:t>七、质量保证</w:t>
      </w:r>
      <w:bookmarkEnd w:id="453"/>
    </w:p>
    <w:p w14:paraId="10DE1A2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3CA32201">
      <w:pPr>
        <w:spacing w:line="360" w:lineRule="auto"/>
        <w:ind w:firstLine="482" w:firstLineChars="200"/>
        <w:outlineLvl w:val="0"/>
        <w:rPr>
          <w:rFonts w:ascii="宋体" w:hAnsi="宋体"/>
          <w:b/>
          <w:color w:val="auto"/>
          <w:sz w:val="24"/>
          <w:highlight w:val="none"/>
        </w:rPr>
      </w:pPr>
      <w:bookmarkStart w:id="454"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4"/>
    </w:p>
    <w:p w14:paraId="3F1AAF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p>
    <w:p w14:paraId="392E6694">
      <w:pPr>
        <w:spacing w:line="360" w:lineRule="auto"/>
        <w:ind w:firstLine="482" w:firstLineChars="200"/>
        <w:outlineLvl w:val="0"/>
        <w:rPr>
          <w:rFonts w:ascii="宋体" w:hAnsi="宋体"/>
          <w:b/>
          <w:color w:val="auto"/>
          <w:sz w:val="24"/>
          <w:highlight w:val="none"/>
        </w:rPr>
      </w:pPr>
      <w:bookmarkStart w:id="455" w:name="_Toc10611"/>
      <w:r>
        <w:rPr>
          <w:rFonts w:hint="eastAsia" w:ascii="宋体" w:hAnsi="宋体"/>
          <w:b/>
          <w:color w:val="auto"/>
          <w:sz w:val="24"/>
          <w:highlight w:val="none"/>
        </w:rPr>
        <w:t>九、合同变更</w:t>
      </w:r>
      <w:bookmarkEnd w:id="455"/>
      <w:r>
        <w:rPr>
          <w:rFonts w:hint="eastAsia" w:ascii="宋体" w:hAnsi="宋体" w:cs="宋体"/>
          <w:b/>
          <w:color w:val="auto"/>
          <w:sz w:val="24"/>
          <w:highlight w:val="none"/>
        </w:rPr>
        <w:t>或补充</w:t>
      </w:r>
    </w:p>
    <w:p w14:paraId="124A9A5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6B29639">
      <w:pPr>
        <w:spacing w:line="360" w:lineRule="auto"/>
        <w:ind w:firstLine="480" w:firstLineChars="200"/>
        <w:rPr>
          <w:rFonts w:hint="eastAsia" w:ascii="宋体" w:hAnsi="宋体"/>
          <w:color w:val="auto"/>
          <w:sz w:val="24"/>
          <w:highlight w:val="none"/>
        </w:rPr>
      </w:pPr>
      <w:bookmarkStart w:id="456" w:name="_Toc23368"/>
      <w:bookmarkStart w:id="457" w:name="_Toc21830"/>
      <w:bookmarkStart w:id="458" w:name="_Toc26689"/>
      <w:bookmarkStart w:id="459" w:name="_Toc42"/>
      <w:bookmarkStart w:id="460" w:name="_Toc10663"/>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1E4D24F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4DB14876">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6"/>
      <w:bookmarkEnd w:id="457"/>
      <w:bookmarkEnd w:id="458"/>
      <w:bookmarkEnd w:id="459"/>
      <w:bookmarkEnd w:id="460"/>
    </w:p>
    <w:p w14:paraId="72F40745">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0F1E89D">
      <w:pPr>
        <w:spacing w:line="360" w:lineRule="auto"/>
        <w:ind w:firstLine="482" w:firstLineChars="200"/>
        <w:outlineLvl w:val="0"/>
        <w:rPr>
          <w:rFonts w:ascii="宋体" w:hAnsi="宋体"/>
          <w:b/>
          <w:color w:val="auto"/>
          <w:sz w:val="24"/>
          <w:highlight w:val="none"/>
        </w:rPr>
      </w:pPr>
      <w:bookmarkStart w:id="461" w:name="_Toc14371"/>
      <w:bookmarkStart w:id="462" w:name="_Toc32494"/>
      <w:bookmarkStart w:id="463" w:name="_Toc4720"/>
      <w:bookmarkStart w:id="464" w:name="_Toc26633"/>
      <w:bookmarkStart w:id="465" w:name="_Toc25571"/>
      <w:r>
        <w:rPr>
          <w:rFonts w:hint="eastAsia" w:ascii="宋体" w:hAnsi="宋体"/>
          <w:b/>
          <w:color w:val="auto"/>
          <w:sz w:val="24"/>
          <w:highlight w:val="none"/>
        </w:rPr>
        <w:t>十一、</w:t>
      </w:r>
      <w:r>
        <w:rPr>
          <w:rFonts w:ascii="宋体" w:hAnsi="宋体"/>
          <w:b/>
          <w:color w:val="auto"/>
          <w:sz w:val="24"/>
          <w:highlight w:val="none"/>
        </w:rPr>
        <w:t>不可抗力</w:t>
      </w:r>
      <w:bookmarkEnd w:id="461"/>
      <w:bookmarkEnd w:id="462"/>
      <w:bookmarkEnd w:id="463"/>
      <w:bookmarkEnd w:id="464"/>
      <w:bookmarkEnd w:id="465"/>
    </w:p>
    <w:p w14:paraId="077510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4218BF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4DC56F0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1310B2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4CE4759">
      <w:pPr>
        <w:spacing w:line="360" w:lineRule="auto"/>
        <w:ind w:firstLine="482" w:firstLineChars="200"/>
        <w:outlineLvl w:val="0"/>
        <w:rPr>
          <w:rFonts w:ascii="宋体" w:hAnsi="宋体"/>
          <w:b/>
          <w:color w:val="auto"/>
          <w:sz w:val="24"/>
          <w:highlight w:val="none"/>
        </w:rPr>
      </w:pPr>
      <w:bookmarkStart w:id="466" w:name="_Toc25783"/>
      <w:bookmarkStart w:id="467" w:name="_Toc23854"/>
      <w:bookmarkStart w:id="468" w:name="_Toc24465"/>
      <w:bookmarkStart w:id="469" w:name="_Toc3638"/>
      <w:bookmarkStart w:id="470" w:name="_Toc14115"/>
      <w:r>
        <w:rPr>
          <w:rFonts w:hint="eastAsia" w:ascii="宋体" w:hAnsi="宋体"/>
          <w:b/>
          <w:color w:val="auto"/>
          <w:sz w:val="24"/>
          <w:highlight w:val="none"/>
        </w:rPr>
        <w:t>十二、</w:t>
      </w:r>
      <w:r>
        <w:rPr>
          <w:rFonts w:ascii="宋体" w:hAnsi="宋体"/>
          <w:b/>
          <w:color w:val="auto"/>
          <w:sz w:val="24"/>
          <w:highlight w:val="none"/>
        </w:rPr>
        <w:t>税费</w:t>
      </w:r>
      <w:bookmarkEnd w:id="466"/>
      <w:bookmarkEnd w:id="467"/>
      <w:bookmarkEnd w:id="468"/>
      <w:bookmarkEnd w:id="469"/>
      <w:bookmarkEnd w:id="470"/>
    </w:p>
    <w:p w14:paraId="38A6C307">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1E8544DF">
      <w:pPr>
        <w:spacing w:line="360" w:lineRule="auto"/>
        <w:ind w:firstLine="482" w:firstLineChars="200"/>
        <w:outlineLvl w:val="0"/>
        <w:rPr>
          <w:rFonts w:ascii="宋体" w:hAnsi="宋体"/>
          <w:b/>
          <w:color w:val="auto"/>
          <w:sz w:val="24"/>
          <w:highlight w:val="none"/>
        </w:rPr>
      </w:pPr>
      <w:bookmarkStart w:id="471" w:name="_Toc14814"/>
      <w:bookmarkStart w:id="472" w:name="_Toc30105"/>
      <w:bookmarkStart w:id="473" w:name="_Toc25525"/>
      <w:bookmarkStart w:id="474" w:name="_Toc7315"/>
      <w:bookmarkStart w:id="475" w:name="_Toc26883"/>
      <w:r>
        <w:rPr>
          <w:rFonts w:hint="eastAsia" w:ascii="宋体" w:hAnsi="宋体"/>
          <w:b/>
          <w:color w:val="auto"/>
          <w:sz w:val="24"/>
          <w:highlight w:val="none"/>
        </w:rPr>
        <w:t>十三、</w:t>
      </w:r>
      <w:r>
        <w:rPr>
          <w:rFonts w:ascii="宋体" w:hAnsi="宋体"/>
          <w:b/>
          <w:color w:val="auto"/>
          <w:sz w:val="24"/>
          <w:highlight w:val="none"/>
        </w:rPr>
        <w:t>乙方破产</w:t>
      </w:r>
      <w:bookmarkEnd w:id="471"/>
      <w:bookmarkEnd w:id="472"/>
      <w:bookmarkEnd w:id="473"/>
      <w:bookmarkEnd w:id="474"/>
      <w:bookmarkEnd w:id="475"/>
    </w:p>
    <w:p w14:paraId="6CC7A260">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71D41BE0">
      <w:pPr>
        <w:spacing w:line="360" w:lineRule="auto"/>
        <w:ind w:firstLine="482" w:firstLineChars="200"/>
        <w:outlineLvl w:val="0"/>
        <w:rPr>
          <w:rFonts w:ascii="宋体" w:hAnsi="宋体"/>
          <w:b/>
          <w:color w:val="auto"/>
          <w:sz w:val="24"/>
          <w:highlight w:val="none"/>
        </w:rPr>
      </w:pPr>
      <w:bookmarkStart w:id="476" w:name="_Toc23323"/>
      <w:bookmarkStart w:id="477" w:name="_Toc1123"/>
      <w:bookmarkStart w:id="478" w:name="_Toc2016"/>
      <w:r>
        <w:rPr>
          <w:rFonts w:hint="eastAsia" w:ascii="宋体" w:hAnsi="宋体"/>
          <w:b/>
          <w:color w:val="auto"/>
          <w:sz w:val="24"/>
          <w:highlight w:val="none"/>
        </w:rPr>
        <w:t>十四、</w:t>
      </w:r>
      <w:r>
        <w:rPr>
          <w:rFonts w:ascii="宋体" w:hAnsi="宋体"/>
          <w:b/>
          <w:color w:val="auto"/>
          <w:sz w:val="24"/>
          <w:highlight w:val="none"/>
        </w:rPr>
        <w:t>合同中止、终止</w:t>
      </w:r>
      <w:bookmarkEnd w:id="476"/>
      <w:bookmarkEnd w:id="477"/>
      <w:bookmarkEnd w:id="478"/>
    </w:p>
    <w:p w14:paraId="52DBEE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0EA22A74">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27D27DA3">
      <w:pPr>
        <w:spacing w:line="360" w:lineRule="auto"/>
        <w:ind w:firstLine="480" w:firstLineChars="200"/>
        <w:rPr>
          <w:rFonts w:ascii="宋体" w:hAnsi="宋体" w:cs="宋体"/>
          <w:color w:val="auto"/>
          <w:sz w:val="24"/>
          <w:highlight w:val="none"/>
        </w:rPr>
      </w:pPr>
      <w:bookmarkStart w:id="479" w:name="_Toc14525"/>
      <w:bookmarkStart w:id="480" w:name="_Toc1969"/>
      <w:bookmarkStart w:id="481" w:name="_Toc17363"/>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6F441921">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2ED1541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79"/>
      <w:bookmarkEnd w:id="480"/>
      <w:bookmarkEnd w:id="481"/>
      <w:bookmarkStart w:id="482" w:name="_Toc9808"/>
      <w:bookmarkStart w:id="483" w:name="_Toc2308"/>
      <w:bookmarkStart w:id="484" w:name="_Toc12666"/>
      <w:bookmarkStart w:id="485" w:name="_Toc25198"/>
      <w:bookmarkStart w:id="486" w:name="_Toc31892"/>
      <w:r>
        <w:rPr>
          <w:rFonts w:hint="eastAsia" w:ascii="宋体" w:hAnsi="宋体"/>
          <w:b/>
          <w:color w:val="auto"/>
          <w:sz w:val="24"/>
          <w:highlight w:val="none"/>
        </w:rPr>
        <w:t>、</w:t>
      </w:r>
      <w:r>
        <w:rPr>
          <w:rFonts w:ascii="宋体" w:hAnsi="宋体"/>
          <w:b/>
          <w:color w:val="auto"/>
          <w:sz w:val="24"/>
          <w:highlight w:val="none"/>
        </w:rPr>
        <w:t>通知和送达</w:t>
      </w:r>
      <w:bookmarkEnd w:id="482"/>
      <w:bookmarkEnd w:id="483"/>
      <w:bookmarkEnd w:id="484"/>
      <w:bookmarkEnd w:id="485"/>
      <w:bookmarkEnd w:id="486"/>
    </w:p>
    <w:p w14:paraId="2482A153">
      <w:pPr>
        <w:spacing w:line="360" w:lineRule="auto"/>
        <w:ind w:firstLine="480" w:firstLineChars="200"/>
        <w:rPr>
          <w:rFonts w:ascii="宋体" w:hAnsi="宋体"/>
          <w:color w:val="auto"/>
          <w:sz w:val="24"/>
          <w:highlight w:val="none"/>
        </w:rPr>
      </w:pPr>
      <w:bookmarkStart w:id="487" w:name="_Toc27674"/>
      <w:bookmarkStart w:id="488" w:name="_Toc1840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A1F63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7"/>
      <w:bookmarkEnd w:id="488"/>
    </w:p>
    <w:p w14:paraId="00303150">
      <w:pPr>
        <w:spacing w:line="360" w:lineRule="auto"/>
        <w:ind w:firstLine="482" w:firstLineChars="200"/>
        <w:outlineLvl w:val="0"/>
        <w:rPr>
          <w:rFonts w:ascii="宋体" w:hAnsi="宋体" w:cs="宋体"/>
          <w:b/>
          <w:color w:val="auto"/>
          <w:sz w:val="24"/>
          <w:highlight w:val="none"/>
        </w:rPr>
      </w:pPr>
      <w:bookmarkStart w:id="489" w:name="_Toc4355"/>
      <w:bookmarkStart w:id="490" w:name="_Toc18540"/>
      <w:bookmarkStart w:id="491" w:name="_Toc30599"/>
      <w:bookmarkStart w:id="492" w:name="_Toc28906"/>
      <w:bookmarkStart w:id="493" w:name="_Toc27644"/>
      <w:bookmarkStart w:id="494" w:name="_Toc20808"/>
      <w:bookmarkStart w:id="495" w:name="_Toc12254"/>
      <w:bookmarkStart w:id="496" w:name="_Toc5063"/>
      <w:r>
        <w:rPr>
          <w:rFonts w:hint="eastAsia" w:ascii="宋体" w:hAnsi="宋体" w:cs="宋体"/>
          <w:b/>
          <w:color w:val="auto"/>
          <w:sz w:val="24"/>
          <w:highlight w:val="none"/>
        </w:rPr>
        <w:t>十六、计量单位</w:t>
      </w:r>
      <w:bookmarkEnd w:id="489"/>
      <w:bookmarkEnd w:id="490"/>
      <w:bookmarkEnd w:id="491"/>
    </w:p>
    <w:p w14:paraId="48FD3233">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28D4FF9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92"/>
      <w:bookmarkEnd w:id="493"/>
      <w:bookmarkEnd w:id="494"/>
      <w:bookmarkEnd w:id="495"/>
      <w:bookmarkEnd w:id="496"/>
    </w:p>
    <w:p w14:paraId="62D1F64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25BC4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49BD3EE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0BB855EE">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E8C8C06">
      <w:pPr>
        <w:rPr>
          <w:color w:val="auto"/>
          <w:highlight w:val="none"/>
        </w:rPr>
      </w:pPr>
    </w:p>
    <w:p w14:paraId="73873238">
      <w:pPr>
        <w:pStyle w:val="24"/>
        <w:spacing w:line="560" w:lineRule="exact"/>
        <w:ind w:left="0" w:leftChars="0" w:firstLine="0" w:firstLineChars="0"/>
        <w:jc w:val="center"/>
        <w:rPr>
          <w:rFonts w:hint="eastAsia" w:ascii="宋体" w:hAnsi="宋体"/>
          <w:b/>
          <w:color w:val="auto"/>
          <w:szCs w:val="24"/>
          <w:highlight w:val="none"/>
        </w:rPr>
      </w:pPr>
    </w:p>
    <w:p w14:paraId="540715FD">
      <w:pPr>
        <w:pStyle w:val="7"/>
        <w:rPr>
          <w:rFonts w:hint="eastAsia" w:ascii="宋体" w:hAnsi="宋体"/>
          <w:b/>
          <w:color w:val="auto"/>
          <w:szCs w:val="24"/>
          <w:highlight w:val="none"/>
        </w:rPr>
      </w:pPr>
    </w:p>
    <w:p w14:paraId="0EC5D627">
      <w:pPr>
        <w:pStyle w:val="7"/>
        <w:rPr>
          <w:rFonts w:hint="eastAsia" w:ascii="宋体" w:hAnsi="宋体"/>
          <w:b/>
          <w:color w:val="auto"/>
          <w:szCs w:val="24"/>
          <w:highlight w:val="none"/>
        </w:rPr>
      </w:pPr>
    </w:p>
    <w:p w14:paraId="1ADF6001">
      <w:pPr>
        <w:pStyle w:val="7"/>
        <w:rPr>
          <w:rFonts w:hint="eastAsia" w:ascii="宋体" w:hAnsi="宋体"/>
          <w:b/>
          <w:color w:val="auto"/>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B9EDF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A651D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54C79E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3DE54A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692A67">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A55A4D">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182AB121">
            <w:pPr>
              <w:spacing w:line="360" w:lineRule="auto"/>
              <w:rPr>
                <w:rFonts w:hint="eastAsia" w:ascii="宋体" w:hAnsi="宋体" w:eastAsia="宋体" w:cs="Times New Roman"/>
                <w:color w:val="auto"/>
                <w:sz w:val="24"/>
                <w:highlight w:val="none"/>
                <w:lang w:val="zh-CN"/>
              </w:rPr>
            </w:pPr>
          </w:p>
        </w:tc>
      </w:tr>
      <w:tr w14:paraId="4BB445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1E663C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7F4151C">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2D427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BAEA78A">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ascii="宋体" w:hAnsi="宋体" w:eastAsia="宋体" w:cs="仿宋"/>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278010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46E3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07AAA7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45847E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BBB1A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D93882">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DF9DFC1">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4EFE16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8EFF9D2">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C3C8847">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2F412E1">
      <w:pPr>
        <w:pStyle w:val="24"/>
        <w:spacing w:line="560" w:lineRule="exact"/>
        <w:ind w:left="0" w:leftChars="0" w:firstLine="0" w:firstLineChars="0"/>
        <w:jc w:val="center"/>
        <w:rPr>
          <w:rFonts w:hint="eastAsia" w:ascii="宋体" w:hAnsi="宋体"/>
          <w:b/>
          <w:color w:val="auto"/>
          <w:szCs w:val="24"/>
          <w:highlight w:val="none"/>
        </w:rPr>
      </w:pPr>
    </w:p>
    <w:p w14:paraId="2BAE88B5">
      <w:pPr>
        <w:pStyle w:val="24"/>
        <w:spacing w:line="560" w:lineRule="exact"/>
        <w:ind w:left="0" w:leftChars="0" w:firstLine="0" w:firstLineChars="0"/>
        <w:jc w:val="center"/>
        <w:rPr>
          <w:rFonts w:hint="eastAsia" w:ascii="宋体" w:hAnsi="宋体"/>
          <w:b/>
          <w:color w:val="auto"/>
          <w:szCs w:val="24"/>
          <w:highlight w:val="none"/>
        </w:rPr>
      </w:pPr>
    </w:p>
    <w:p w14:paraId="22D64D60">
      <w:pPr>
        <w:pStyle w:val="7"/>
        <w:rPr>
          <w:rFonts w:hint="eastAsia" w:ascii="宋体" w:hAnsi="宋体"/>
          <w:b/>
          <w:color w:val="auto"/>
          <w:szCs w:val="24"/>
          <w:highlight w:val="none"/>
        </w:rPr>
      </w:pPr>
    </w:p>
    <w:p w14:paraId="2A487582">
      <w:pPr>
        <w:pStyle w:val="7"/>
        <w:rPr>
          <w:rFonts w:hint="eastAsia" w:ascii="宋体" w:hAnsi="宋体"/>
          <w:b/>
          <w:color w:val="auto"/>
          <w:szCs w:val="24"/>
          <w:highlight w:val="none"/>
        </w:rPr>
      </w:pPr>
    </w:p>
    <w:p w14:paraId="05F11155">
      <w:pPr>
        <w:pStyle w:val="7"/>
        <w:rPr>
          <w:rFonts w:hint="eastAsia" w:ascii="宋体" w:hAnsi="宋体"/>
          <w:b/>
          <w:color w:val="auto"/>
          <w:szCs w:val="24"/>
          <w:highlight w:val="none"/>
        </w:rPr>
      </w:pPr>
    </w:p>
    <w:p w14:paraId="029F0392">
      <w:pPr>
        <w:pStyle w:val="7"/>
        <w:rPr>
          <w:rFonts w:hint="eastAsia" w:ascii="宋体" w:hAnsi="宋体"/>
          <w:b/>
          <w:color w:val="auto"/>
          <w:szCs w:val="24"/>
          <w:highlight w:val="none"/>
        </w:rPr>
      </w:pPr>
    </w:p>
    <w:p w14:paraId="75B4D3BA">
      <w:pPr>
        <w:pStyle w:val="7"/>
        <w:rPr>
          <w:rFonts w:hint="eastAsia" w:ascii="宋体" w:hAnsi="宋体"/>
          <w:b/>
          <w:color w:val="auto"/>
          <w:szCs w:val="24"/>
          <w:highlight w:val="none"/>
        </w:rPr>
      </w:pPr>
    </w:p>
    <w:p w14:paraId="73B5C386">
      <w:pPr>
        <w:pStyle w:val="7"/>
        <w:rPr>
          <w:rFonts w:hint="eastAsia" w:ascii="宋体" w:hAnsi="宋体"/>
          <w:b/>
          <w:color w:val="auto"/>
          <w:szCs w:val="24"/>
          <w:highlight w:val="none"/>
        </w:rPr>
      </w:pPr>
    </w:p>
    <w:p w14:paraId="5B587D70">
      <w:pPr>
        <w:pStyle w:val="7"/>
        <w:rPr>
          <w:rFonts w:hint="eastAsia" w:ascii="宋体" w:hAnsi="宋体"/>
          <w:b/>
          <w:color w:val="auto"/>
          <w:szCs w:val="24"/>
          <w:highlight w:val="none"/>
        </w:rPr>
      </w:pPr>
    </w:p>
    <w:p w14:paraId="004766F0">
      <w:pPr>
        <w:pStyle w:val="7"/>
        <w:rPr>
          <w:rFonts w:hint="eastAsia" w:ascii="宋体" w:hAnsi="宋体"/>
          <w:b/>
          <w:color w:val="auto"/>
          <w:szCs w:val="24"/>
          <w:highlight w:val="none"/>
        </w:rPr>
      </w:pPr>
    </w:p>
    <w:p w14:paraId="189825B6">
      <w:pPr>
        <w:pStyle w:val="7"/>
        <w:rPr>
          <w:rFonts w:hint="eastAsia" w:ascii="宋体" w:hAnsi="宋体"/>
          <w:b/>
          <w:color w:val="auto"/>
          <w:szCs w:val="24"/>
          <w:highlight w:val="none"/>
        </w:rPr>
      </w:pPr>
    </w:p>
    <w:p w14:paraId="0E9087AE">
      <w:pPr>
        <w:pStyle w:val="7"/>
        <w:rPr>
          <w:rFonts w:hint="eastAsia" w:ascii="宋体" w:hAnsi="宋体"/>
          <w:b/>
          <w:color w:val="auto"/>
          <w:szCs w:val="24"/>
          <w:highlight w:val="none"/>
        </w:rPr>
      </w:pPr>
    </w:p>
    <w:p w14:paraId="24F354DA">
      <w:pPr>
        <w:pStyle w:val="7"/>
        <w:rPr>
          <w:rFonts w:hint="eastAsia" w:ascii="宋体" w:hAnsi="宋体"/>
          <w:b/>
          <w:color w:val="auto"/>
          <w:szCs w:val="24"/>
          <w:highlight w:val="none"/>
        </w:rPr>
      </w:pPr>
    </w:p>
    <w:p w14:paraId="02141528">
      <w:pPr>
        <w:pStyle w:val="7"/>
        <w:rPr>
          <w:rFonts w:hint="eastAsia" w:ascii="宋体" w:hAnsi="宋体"/>
          <w:b/>
          <w:color w:val="auto"/>
          <w:szCs w:val="24"/>
          <w:highlight w:val="none"/>
        </w:rPr>
      </w:pPr>
    </w:p>
    <w:p w14:paraId="544BBA04">
      <w:pPr>
        <w:pStyle w:val="7"/>
        <w:rPr>
          <w:rFonts w:hint="eastAsia" w:ascii="宋体" w:hAnsi="宋体"/>
          <w:b/>
          <w:color w:val="auto"/>
          <w:szCs w:val="24"/>
          <w:highlight w:val="none"/>
        </w:rPr>
      </w:pPr>
    </w:p>
    <w:p w14:paraId="074D57FC">
      <w:pPr>
        <w:pStyle w:val="7"/>
        <w:rPr>
          <w:rFonts w:hint="eastAsia" w:ascii="宋体" w:hAnsi="宋体"/>
          <w:b/>
          <w:color w:val="auto"/>
          <w:szCs w:val="24"/>
          <w:highlight w:val="none"/>
        </w:rPr>
      </w:pPr>
    </w:p>
    <w:p w14:paraId="627D7F59">
      <w:pPr>
        <w:rPr>
          <w:rFonts w:hint="eastAsia"/>
          <w:color w:val="auto"/>
          <w:highlight w:val="none"/>
        </w:rPr>
      </w:pPr>
    </w:p>
    <w:p w14:paraId="683311B7">
      <w:pPr>
        <w:rPr>
          <w:rFonts w:hint="eastAsia"/>
          <w:color w:val="auto"/>
          <w:highlight w:val="none"/>
        </w:rPr>
      </w:pPr>
    </w:p>
    <w:p w14:paraId="406FBE31">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1CB6BF4E">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56E6A8B5">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4BCC03F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2025-2026年供应链管理平台系统采购项目（第二次）</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0162D4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1E4FAA7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2025-2026年供应链管理平台系统采购项目（第二次）</w:t>
      </w:r>
      <w:r>
        <w:rPr>
          <w:rFonts w:hint="eastAsia" w:ascii="宋体" w:hAnsi="宋体" w:cs="宋体"/>
          <w:color w:val="auto"/>
          <w:kern w:val="0"/>
          <w:sz w:val="24"/>
          <w:highlight w:val="none"/>
          <w:u w:val="single"/>
          <w:lang w:bidi="ar"/>
        </w:rPr>
        <w:t xml:space="preserve">             </w:t>
      </w:r>
    </w:p>
    <w:p w14:paraId="4C9BFB5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685B7002">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2B51F3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091054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00DC6F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115C244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647AC58C">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0A8EA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51950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35CF08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46B965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0B5192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18080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02434D5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39BF93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4BA276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133D81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5B03CF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24CC33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1447AD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4DFAD1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同时甲方有权立即解除与乙方之间的所有服务合同</w:t>
      </w:r>
      <w:r>
        <w:rPr>
          <w:rFonts w:hint="eastAsia" w:ascii="宋体" w:hAnsi="宋体" w:cs="宋体"/>
          <w:color w:val="auto"/>
          <w:sz w:val="24"/>
          <w:highlight w:val="none"/>
        </w:rPr>
        <w:t>：</w:t>
      </w:r>
    </w:p>
    <w:p w14:paraId="2F738D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2793F6A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r>
        <w:rPr>
          <w:rFonts w:hint="eastAsia" w:ascii="宋体" w:hAnsi="宋体" w:cs="宋体"/>
          <w:color w:val="auto"/>
          <w:sz w:val="24"/>
          <w:highlight w:val="none"/>
          <w:lang w:eastAsia="zh-CN"/>
        </w:rPr>
        <w:t>；</w:t>
      </w:r>
    </w:p>
    <w:p w14:paraId="3EEDFAA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乙方或者乙方工作人员发生重大安全事故的。</w:t>
      </w:r>
    </w:p>
    <w:p w14:paraId="02137D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1FAE2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609136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5ABE0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73C329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313DBD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314B469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3B1EAE5D">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3D60177E">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356FA08A">
      <w:pPr>
        <w:pStyle w:val="7"/>
        <w:ind w:firstLine="0" w:firstLineChars="0"/>
        <w:rPr>
          <w:rFonts w:hint="eastAsia"/>
          <w:color w:val="auto"/>
          <w:highlight w:val="none"/>
        </w:rPr>
      </w:pPr>
    </w:p>
    <w:p w14:paraId="0FC2C192">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06D52079">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03073F5E">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F54264B">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73F73262">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E7C45F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60DD2B9C">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316A8667">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51B95D52">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59F6C249">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233C49E7">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6275E68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0725F103">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0FE72042">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13D6B46">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2F51E0A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2130C639">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4EA92368">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01296CA9">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44C4B765">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6BEB1E95">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69376A7">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07490B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2C1D7F2B">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5A3310A7">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5E0FE18F">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73376F18">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7991A8E6">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61F512C6">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202333E">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AAE4ADC">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12228BF2">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5539FD6E">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4B0156A">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6A50B498">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234CCACC">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734A1D4C">
      <w:pPr>
        <w:spacing w:line="360" w:lineRule="auto"/>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6D06F362">
      <w:pPr>
        <w:spacing w:line="360" w:lineRule="auto"/>
        <w:ind w:firstLine="32"/>
        <w:rPr>
          <w:rFonts w:hint="eastAsia" w:ascii="宋体" w:hAnsi="宋体" w:cs="宋体"/>
          <w:color w:val="auto"/>
          <w:sz w:val="24"/>
          <w:highlight w:val="none"/>
        </w:rPr>
      </w:pPr>
    </w:p>
    <w:p w14:paraId="7CCC4FDA">
      <w:pPr>
        <w:rPr>
          <w:rFonts w:hint="eastAsia"/>
          <w:color w:val="auto"/>
          <w:highlight w:val="none"/>
        </w:rPr>
      </w:pPr>
    </w:p>
    <w:p w14:paraId="285BF6DB">
      <w:pPr>
        <w:rPr>
          <w:color w:val="auto"/>
          <w:highlight w:val="none"/>
        </w:rPr>
      </w:pPr>
    </w:p>
    <w:p w14:paraId="6D57EF9D">
      <w:pPr>
        <w:pStyle w:val="6"/>
        <w:rPr>
          <w:color w:val="auto"/>
          <w:highlight w:val="none"/>
        </w:rPr>
      </w:pPr>
    </w:p>
    <w:p w14:paraId="030E8BE4">
      <w:pPr>
        <w:rPr>
          <w:color w:val="auto"/>
          <w:highlight w:val="none"/>
        </w:rPr>
      </w:pPr>
    </w:p>
    <w:p w14:paraId="0F447515">
      <w:pPr>
        <w:rPr>
          <w:color w:val="auto"/>
          <w:highlight w:val="none"/>
        </w:rPr>
      </w:pPr>
    </w:p>
    <w:p w14:paraId="66593BD5">
      <w:pPr>
        <w:pStyle w:val="14"/>
        <w:rPr>
          <w:color w:val="auto"/>
          <w:highlight w:val="none"/>
        </w:rPr>
      </w:pPr>
    </w:p>
    <w:p w14:paraId="0C2BF8FF">
      <w:pPr>
        <w:rPr>
          <w:color w:val="auto"/>
          <w:highlight w:val="none"/>
        </w:rPr>
      </w:pPr>
    </w:p>
    <w:p w14:paraId="0AAC24FD">
      <w:pPr>
        <w:pStyle w:val="14"/>
        <w:rPr>
          <w:color w:val="auto"/>
          <w:highlight w:val="none"/>
        </w:rPr>
      </w:pPr>
    </w:p>
    <w:p w14:paraId="399D0E1E">
      <w:pPr>
        <w:rPr>
          <w:color w:val="auto"/>
          <w:highlight w:val="none"/>
        </w:rPr>
      </w:pPr>
    </w:p>
    <w:p w14:paraId="7E81C0E8">
      <w:pPr>
        <w:pStyle w:val="14"/>
        <w:rPr>
          <w:color w:val="auto"/>
          <w:highlight w:val="none"/>
        </w:rPr>
      </w:pPr>
    </w:p>
    <w:p w14:paraId="693BCFE6">
      <w:pPr>
        <w:rPr>
          <w:color w:val="auto"/>
          <w:highlight w:val="none"/>
        </w:rPr>
      </w:pPr>
    </w:p>
    <w:p w14:paraId="6A5FA62D">
      <w:pPr>
        <w:pStyle w:val="14"/>
        <w:rPr>
          <w:color w:val="auto"/>
          <w:highlight w:val="none"/>
        </w:rPr>
      </w:pPr>
    </w:p>
    <w:p w14:paraId="32456A36">
      <w:pPr>
        <w:rPr>
          <w:color w:val="auto"/>
          <w:highlight w:val="none"/>
        </w:rPr>
      </w:pPr>
    </w:p>
    <w:p w14:paraId="5B98A326">
      <w:pPr>
        <w:pStyle w:val="14"/>
        <w:rPr>
          <w:color w:val="auto"/>
          <w:highlight w:val="none"/>
        </w:rPr>
      </w:pPr>
    </w:p>
    <w:p w14:paraId="773452DB">
      <w:pPr>
        <w:rPr>
          <w:color w:val="auto"/>
          <w:highlight w:val="none"/>
        </w:rPr>
      </w:pPr>
    </w:p>
    <w:p w14:paraId="23C812D4">
      <w:pPr>
        <w:rPr>
          <w:color w:val="auto"/>
          <w:highlight w:val="none"/>
        </w:rPr>
      </w:pPr>
    </w:p>
    <w:p w14:paraId="4843C022">
      <w:pPr>
        <w:rPr>
          <w:color w:val="auto"/>
          <w:highlight w:val="none"/>
        </w:rPr>
      </w:pPr>
    </w:p>
    <w:p w14:paraId="2A6CCAF9">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1DA109B">
      <w:pPr>
        <w:spacing w:line="460" w:lineRule="exact"/>
        <w:jc w:val="center"/>
        <w:outlineLvl w:val="0"/>
        <w:rPr>
          <w:rFonts w:cs="仿宋" w:asciiTheme="minorEastAsia" w:hAnsiTheme="minorEastAsia"/>
          <w:b/>
          <w:color w:val="auto"/>
          <w:kern w:val="0"/>
          <w:sz w:val="24"/>
          <w:highlight w:val="none"/>
        </w:rPr>
      </w:pPr>
    </w:p>
    <w:p w14:paraId="567F4C60">
      <w:pPr>
        <w:pStyle w:val="4"/>
        <w:spacing w:after="120" w:line="700" w:lineRule="exact"/>
        <w:ind w:left="0" w:firstLine="0"/>
        <w:rPr>
          <w:rFonts w:ascii="Times New Roman" w:hAnsi="Times New Roman" w:eastAsia="宋体" w:cs="Times New Roman"/>
          <w:color w:val="auto"/>
          <w:sz w:val="32"/>
          <w:highlight w:val="none"/>
        </w:rPr>
      </w:pPr>
    </w:p>
    <w:p w14:paraId="4475554C">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14:paraId="56D4BBFA">
      <w:pPr>
        <w:spacing w:line="360" w:lineRule="auto"/>
        <w:rPr>
          <w:rFonts w:ascii="Times New Roman" w:hAnsi="Times New Roman" w:eastAsia="Cambria Math" w:cs="Times New Roman"/>
          <w:color w:val="auto"/>
          <w:sz w:val="96"/>
          <w:szCs w:val="22"/>
          <w:highlight w:val="none"/>
        </w:rPr>
      </w:pPr>
    </w:p>
    <w:p w14:paraId="11C0D880">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3038DBD">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03201A77">
      <w:pPr>
        <w:spacing w:line="360" w:lineRule="auto"/>
        <w:rPr>
          <w:rFonts w:ascii="宋体" w:hAnsi="宋体" w:eastAsia="宋体" w:cs="宋体"/>
          <w:color w:val="auto"/>
          <w:sz w:val="44"/>
          <w:szCs w:val="44"/>
          <w:highlight w:val="none"/>
        </w:rPr>
      </w:pPr>
    </w:p>
    <w:p w14:paraId="4EC5A54A">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2025-2026年供应链管理平台系统采购项目（第二次）</w:t>
      </w:r>
      <w:r>
        <w:rPr>
          <w:rFonts w:hint="eastAsia" w:ascii="宋体" w:hAnsi="宋体" w:eastAsia="宋体" w:cs="宋体"/>
          <w:color w:val="auto"/>
          <w:sz w:val="28"/>
          <w:szCs w:val="22"/>
          <w:highlight w:val="none"/>
          <w:u w:val="single"/>
        </w:rPr>
        <w:t xml:space="preserve">             </w:t>
      </w:r>
    </w:p>
    <w:p w14:paraId="2CD1F887">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202510027-1</w:t>
      </w:r>
      <w:r>
        <w:rPr>
          <w:rFonts w:hint="eastAsia" w:ascii="宋体" w:hAnsi="宋体" w:eastAsia="宋体" w:cs="宋体"/>
          <w:color w:val="auto"/>
          <w:sz w:val="28"/>
          <w:szCs w:val="22"/>
          <w:highlight w:val="none"/>
          <w:u w:val="single"/>
        </w:rPr>
        <w:t xml:space="preserve">           </w:t>
      </w:r>
    </w:p>
    <w:p w14:paraId="28FF634B">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7B30D64">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48D70C67">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36E865FC">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B49927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61AD7D7">
      <w:pPr>
        <w:spacing w:line="360" w:lineRule="auto"/>
        <w:jc w:val="center"/>
        <w:outlineLvl w:val="0"/>
        <w:rPr>
          <w:rFonts w:cs="仿宋" w:asciiTheme="minorEastAsia" w:hAnsiTheme="minorEastAsia"/>
          <w:b/>
          <w:color w:val="auto"/>
          <w:kern w:val="0"/>
          <w:sz w:val="36"/>
          <w:szCs w:val="36"/>
          <w:highlight w:val="none"/>
        </w:rPr>
      </w:pPr>
    </w:p>
    <w:p w14:paraId="26993CB6">
      <w:pPr>
        <w:spacing w:line="360" w:lineRule="auto"/>
        <w:jc w:val="both"/>
        <w:outlineLvl w:val="0"/>
        <w:rPr>
          <w:rFonts w:cs="仿宋" w:asciiTheme="minorEastAsia" w:hAnsiTheme="minorEastAsia"/>
          <w:b/>
          <w:color w:val="auto"/>
          <w:kern w:val="0"/>
          <w:sz w:val="36"/>
          <w:szCs w:val="36"/>
          <w:highlight w:val="none"/>
        </w:rPr>
      </w:pPr>
    </w:p>
    <w:p w14:paraId="233D205F">
      <w:pPr>
        <w:spacing w:line="360" w:lineRule="auto"/>
        <w:jc w:val="center"/>
        <w:outlineLvl w:val="0"/>
        <w:rPr>
          <w:rFonts w:hint="eastAsia" w:cs="仿宋" w:asciiTheme="minorEastAsia" w:hAnsiTheme="minorEastAsia"/>
          <w:b/>
          <w:color w:val="auto"/>
          <w:kern w:val="0"/>
          <w:sz w:val="36"/>
          <w:szCs w:val="36"/>
          <w:highlight w:val="none"/>
        </w:rPr>
      </w:pPr>
    </w:p>
    <w:p w14:paraId="1341E27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6B74C83">
      <w:pPr>
        <w:spacing w:line="360" w:lineRule="auto"/>
        <w:jc w:val="center"/>
        <w:outlineLvl w:val="0"/>
        <w:rPr>
          <w:rFonts w:hint="eastAsia" w:cs="仿宋" w:asciiTheme="minorEastAsia" w:hAnsiTheme="minorEastAsia"/>
          <w:b/>
          <w:color w:val="auto"/>
          <w:kern w:val="0"/>
          <w:sz w:val="36"/>
          <w:szCs w:val="36"/>
          <w:highlight w:val="none"/>
        </w:rPr>
      </w:pPr>
    </w:p>
    <w:p w14:paraId="5E2C825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9958268">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3C37916A">
      <w:pPr>
        <w:pStyle w:val="6"/>
        <w:rPr>
          <w:color w:val="auto"/>
          <w:highlight w:val="none"/>
        </w:rPr>
      </w:pPr>
    </w:p>
    <w:p w14:paraId="05748400">
      <w:pPr>
        <w:pStyle w:val="15"/>
        <w:rPr>
          <w:color w:val="auto"/>
          <w:highlight w:val="none"/>
        </w:rPr>
      </w:pPr>
    </w:p>
    <w:p w14:paraId="5BD807E8">
      <w:pPr>
        <w:rPr>
          <w:color w:val="auto"/>
          <w:highlight w:val="none"/>
        </w:rPr>
      </w:pPr>
    </w:p>
    <w:p w14:paraId="631F1A0B">
      <w:pPr>
        <w:pStyle w:val="6"/>
        <w:rPr>
          <w:color w:val="auto"/>
          <w:highlight w:val="none"/>
        </w:rPr>
      </w:pPr>
    </w:p>
    <w:p w14:paraId="568FE681">
      <w:pPr>
        <w:pStyle w:val="6"/>
        <w:rPr>
          <w:color w:val="auto"/>
          <w:highlight w:val="none"/>
        </w:rPr>
      </w:pPr>
    </w:p>
    <w:p w14:paraId="37160157">
      <w:pPr>
        <w:pStyle w:val="15"/>
        <w:rPr>
          <w:color w:val="auto"/>
          <w:highlight w:val="none"/>
        </w:rPr>
      </w:pPr>
    </w:p>
    <w:p w14:paraId="18510655">
      <w:pPr>
        <w:rPr>
          <w:color w:val="auto"/>
          <w:highlight w:val="none"/>
        </w:rPr>
      </w:pPr>
    </w:p>
    <w:p w14:paraId="03CD803D">
      <w:pPr>
        <w:pStyle w:val="6"/>
        <w:rPr>
          <w:color w:val="auto"/>
          <w:highlight w:val="none"/>
        </w:rPr>
      </w:pPr>
    </w:p>
    <w:p w14:paraId="7C6A2F1D">
      <w:pPr>
        <w:pStyle w:val="15"/>
        <w:rPr>
          <w:color w:val="auto"/>
          <w:highlight w:val="none"/>
        </w:rPr>
      </w:pPr>
    </w:p>
    <w:p w14:paraId="2A1EAFA4">
      <w:pPr>
        <w:rPr>
          <w:color w:val="auto"/>
          <w:highlight w:val="none"/>
        </w:rPr>
      </w:pPr>
    </w:p>
    <w:p w14:paraId="2300D32D">
      <w:pPr>
        <w:pStyle w:val="6"/>
        <w:rPr>
          <w:color w:val="auto"/>
          <w:highlight w:val="none"/>
        </w:rPr>
      </w:pPr>
    </w:p>
    <w:p w14:paraId="4CBC95AE">
      <w:pPr>
        <w:pStyle w:val="15"/>
        <w:rPr>
          <w:color w:val="auto"/>
          <w:highlight w:val="none"/>
        </w:rPr>
      </w:pPr>
    </w:p>
    <w:p w14:paraId="798392CC">
      <w:pPr>
        <w:rPr>
          <w:color w:val="auto"/>
          <w:highlight w:val="none"/>
        </w:rPr>
      </w:pPr>
    </w:p>
    <w:p w14:paraId="673A965D">
      <w:pPr>
        <w:pStyle w:val="6"/>
        <w:rPr>
          <w:color w:val="auto"/>
          <w:highlight w:val="none"/>
        </w:rPr>
      </w:pPr>
    </w:p>
    <w:p w14:paraId="1B83DA51">
      <w:pPr>
        <w:pStyle w:val="6"/>
        <w:rPr>
          <w:color w:val="auto"/>
          <w:highlight w:val="none"/>
        </w:rPr>
      </w:pPr>
    </w:p>
    <w:p w14:paraId="65D938B8">
      <w:pPr>
        <w:pStyle w:val="6"/>
        <w:rPr>
          <w:color w:val="auto"/>
          <w:highlight w:val="none"/>
        </w:rPr>
      </w:pPr>
    </w:p>
    <w:p w14:paraId="7AF1798F">
      <w:pPr>
        <w:pStyle w:val="15"/>
        <w:rPr>
          <w:color w:val="auto"/>
          <w:highlight w:val="none"/>
        </w:rPr>
      </w:pPr>
    </w:p>
    <w:p w14:paraId="42CD4FD3">
      <w:pPr>
        <w:pStyle w:val="12"/>
        <w:rPr>
          <w:color w:val="auto"/>
          <w:highlight w:val="none"/>
        </w:rPr>
      </w:pPr>
    </w:p>
    <w:p w14:paraId="1E6E4C39">
      <w:pPr>
        <w:rPr>
          <w:color w:val="auto"/>
          <w:highlight w:val="none"/>
        </w:rPr>
      </w:pPr>
    </w:p>
    <w:p w14:paraId="74671D93">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2025-2026年供应链管理平台系统采购项目（第二次）</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202510027-1</w:t>
      </w:r>
      <w:r>
        <w:rPr>
          <w:rFonts w:hint="eastAsia" w:cs="仿宋" w:asciiTheme="minorEastAsia" w:hAnsiTheme="minorEastAsia"/>
          <w:color w:val="auto"/>
          <w:sz w:val="24"/>
          <w:highlight w:val="none"/>
        </w:rPr>
        <w:t>】采购活动，郑重承诺：</w:t>
      </w:r>
    </w:p>
    <w:p w14:paraId="7A690EDC">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5360CAA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328525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95F0F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F527B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EA79A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43E6C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E57B84A">
      <w:pPr>
        <w:snapToGrid w:val="0"/>
        <w:spacing w:line="360" w:lineRule="auto"/>
        <w:ind w:right="480"/>
        <w:jc w:val="center"/>
        <w:rPr>
          <w:rFonts w:cs="仿宋" w:asciiTheme="minorEastAsia" w:hAnsiTheme="minorEastAsia"/>
          <w:b/>
          <w:color w:val="auto"/>
          <w:kern w:val="0"/>
          <w:sz w:val="32"/>
          <w:szCs w:val="32"/>
          <w:highlight w:val="none"/>
        </w:rPr>
      </w:pPr>
    </w:p>
    <w:p w14:paraId="494C618E">
      <w:pPr>
        <w:rPr>
          <w:color w:val="auto"/>
          <w:highlight w:val="none"/>
        </w:rPr>
      </w:pPr>
    </w:p>
    <w:p w14:paraId="3A728366">
      <w:pPr>
        <w:pStyle w:val="6"/>
        <w:rPr>
          <w:color w:val="auto"/>
          <w:highlight w:val="none"/>
        </w:rPr>
      </w:pPr>
    </w:p>
    <w:p w14:paraId="705692CB">
      <w:pPr>
        <w:pStyle w:val="15"/>
        <w:rPr>
          <w:color w:val="auto"/>
          <w:highlight w:val="none"/>
        </w:rPr>
      </w:pPr>
    </w:p>
    <w:p w14:paraId="437E8B68">
      <w:pPr>
        <w:rPr>
          <w:color w:val="auto"/>
          <w:highlight w:val="none"/>
        </w:rPr>
      </w:pPr>
    </w:p>
    <w:p w14:paraId="33A065AF">
      <w:pPr>
        <w:pStyle w:val="6"/>
        <w:rPr>
          <w:color w:val="auto"/>
          <w:highlight w:val="none"/>
        </w:rPr>
      </w:pPr>
    </w:p>
    <w:p w14:paraId="390524D3">
      <w:pPr>
        <w:pStyle w:val="15"/>
        <w:rPr>
          <w:color w:val="auto"/>
          <w:highlight w:val="none"/>
        </w:rPr>
      </w:pPr>
    </w:p>
    <w:p w14:paraId="38C12628">
      <w:pPr>
        <w:pStyle w:val="12"/>
        <w:rPr>
          <w:color w:val="auto"/>
          <w:highlight w:val="none"/>
        </w:rPr>
      </w:pPr>
    </w:p>
    <w:p w14:paraId="029EBA4B">
      <w:pPr>
        <w:rPr>
          <w:color w:val="auto"/>
          <w:highlight w:val="none"/>
        </w:rPr>
      </w:pPr>
    </w:p>
    <w:p w14:paraId="5AFCA3EF">
      <w:pP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12A7D0B">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E9005EB">
            <w:pPr>
              <w:pStyle w:val="27"/>
              <w:adjustRightInd w:val="0"/>
              <w:spacing w:line="360" w:lineRule="auto"/>
              <w:ind w:firstLine="480" w:firstLineChars="200"/>
              <w:rPr>
                <w:rFonts w:cs="仿宋" w:asciiTheme="minorEastAsia" w:hAnsiTheme="minorEastAsia" w:eastAsiaTheme="minorEastAsia"/>
                <w:bCs/>
                <w:color w:val="auto"/>
                <w:sz w:val="24"/>
                <w:highlight w:val="none"/>
              </w:rPr>
            </w:pPr>
            <w:r>
              <w:rPr>
                <w:rFonts w:hint="eastAsia" w:cs="仿宋" w:asciiTheme="minorEastAsia" w:hAnsiTheme="minorEastAsia"/>
                <w:bCs/>
                <w:color w:val="auto"/>
                <w:sz w:val="24"/>
                <w:highlight w:val="none"/>
                <w:u w:val="single"/>
                <w:lang w:eastAsia="zh-CN"/>
              </w:rPr>
              <w:t>供应商提供自2023年1月1日起至少完成过1例供应链管理</w:t>
            </w:r>
            <w:r>
              <w:rPr>
                <w:rFonts w:hint="eastAsia" w:cs="仿宋" w:asciiTheme="minorEastAsia" w:hAnsiTheme="minorEastAsia"/>
                <w:bCs/>
                <w:color w:val="auto"/>
                <w:sz w:val="24"/>
                <w:highlight w:val="none"/>
                <w:u w:val="single"/>
                <w:lang w:val="en-US" w:eastAsia="zh-CN"/>
              </w:rPr>
              <w:t>系统</w:t>
            </w:r>
            <w:r>
              <w:rPr>
                <w:rFonts w:hint="eastAsia" w:cs="仿宋" w:asciiTheme="minorEastAsia" w:hAnsiTheme="minorEastAsia"/>
                <w:bCs/>
                <w:color w:val="auto"/>
                <w:sz w:val="24"/>
                <w:highlight w:val="none"/>
                <w:u w:val="single"/>
                <w:lang w:eastAsia="zh-CN"/>
              </w:rPr>
              <w:t>平台系统或商城平台开发或企业ERP系统</w:t>
            </w:r>
            <w:r>
              <w:rPr>
                <w:rFonts w:hint="eastAsia" w:cs="仿宋" w:asciiTheme="minorEastAsia" w:hAnsiTheme="minorEastAsia"/>
                <w:bCs/>
                <w:color w:val="auto"/>
                <w:sz w:val="24"/>
                <w:highlight w:val="none"/>
                <w:u w:val="single"/>
                <w:lang w:val="en-US" w:eastAsia="zh-CN"/>
              </w:rPr>
              <w:t>或招采系统或者仓库管理系统</w:t>
            </w:r>
            <w:r>
              <w:rPr>
                <w:rFonts w:hint="eastAsia" w:cs="仿宋" w:asciiTheme="minorEastAsia" w:hAnsiTheme="minorEastAsia"/>
                <w:bCs/>
                <w:color w:val="auto"/>
                <w:sz w:val="24"/>
                <w:highlight w:val="none"/>
                <w:u w:val="single"/>
                <w:lang w:eastAsia="zh-CN"/>
              </w:rPr>
              <w:t>的开发</w:t>
            </w:r>
            <w:r>
              <w:rPr>
                <w:rFonts w:hint="eastAsia" w:cs="仿宋" w:asciiTheme="minorEastAsia" w:hAnsiTheme="minorEastAsia"/>
                <w:bCs/>
                <w:color w:val="auto"/>
                <w:sz w:val="24"/>
                <w:highlight w:val="none"/>
                <w:u w:val="single"/>
                <w:lang w:val="en-US" w:eastAsia="zh-CN"/>
              </w:rPr>
              <w:t>或实施</w:t>
            </w:r>
            <w:r>
              <w:rPr>
                <w:rFonts w:hint="eastAsia" w:cs="仿宋" w:asciiTheme="minorEastAsia" w:hAnsiTheme="minorEastAsia"/>
                <w:bCs/>
                <w:color w:val="auto"/>
                <w:sz w:val="24"/>
                <w:highlight w:val="none"/>
                <w:u w:val="single"/>
                <w:lang w:eastAsia="zh-CN"/>
              </w:rPr>
              <w:t>业绩（同时提供合同复印件）</w:t>
            </w:r>
            <w:r>
              <w:rPr>
                <w:rFonts w:hint="eastAsia" w:cs="仿宋" w:asciiTheme="minorEastAsia" w:hAnsiTheme="minorEastAsia"/>
                <w:bCs/>
                <w:color w:val="auto"/>
                <w:sz w:val="24"/>
                <w:highlight w:val="none"/>
                <w:u w:val="single"/>
              </w:rPr>
              <w:t>。</w:t>
            </w:r>
          </w:p>
        </w:tc>
      </w:tr>
    </w:tbl>
    <w:p w14:paraId="13288DDD">
      <w:pPr>
        <w:rPr>
          <w:color w:val="auto"/>
          <w:highlight w:val="none"/>
        </w:rPr>
      </w:pPr>
    </w:p>
    <w:p w14:paraId="1A6F3E74">
      <w:pPr>
        <w:pStyle w:val="6"/>
        <w:rPr>
          <w:color w:val="auto"/>
          <w:highlight w:val="none"/>
        </w:rPr>
      </w:pPr>
    </w:p>
    <w:p w14:paraId="464D47F2">
      <w:pPr>
        <w:pStyle w:val="15"/>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6"/>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7"/>
              <w:adjustRightInd w:val="0"/>
              <w:spacing w:line="360" w:lineRule="auto"/>
              <w:rPr>
                <w:rFonts w:cs="仿宋" w:asciiTheme="minorEastAsia" w:hAnsiTheme="minorEastAsia" w:eastAsiaTheme="minorEastAsia"/>
                <w:bCs/>
                <w:color w:val="auto"/>
                <w:sz w:val="24"/>
                <w:highlight w:val="none"/>
              </w:rPr>
            </w:pPr>
          </w:p>
        </w:tc>
      </w:tr>
    </w:tbl>
    <w:p w14:paraId="0231121E">
      <w:pPr>
        <w:pStyle w:val="6"/>
        <w:rPr>
          <w:color w:val="auto"/>
          <w:highlight w:val="none"/>
        </w:rPr>
      </w:pPr>
    </w:p>
    <w:p w14:paraId="47F9AADD">
      <w:pPr>
        <w:pStyle w:val="15"/>
        <w:rPr>
          <w:color w:val="auto"/>
          <w:highlight w:val="none"/>
        </w:rPr>
      </w:pPr>
    </w:p>
    <w:p w14:paraId="206C32AE">
      <w:pPr>
        <w:rPr>
          <w:color w:val="auto"/>
          <w:highlight w:val="none"/>
        </w:rPr>
      </w:pPr>
    </w:p>
    <w:p w14:paraId="621A8607">
      <w:pPr>
        <w:rPr>
          <w:color w:val="auto"/>
          <w:highlight w:val="none"/>
        </w:rPr>
      </w:pPr>
    </w:p>
    <w:p w14:paraId="2F28BC04">
      <w:pPr>
        <w:rPr>
          <w:color w:val="auto"/>
          <w:highlight w:val="none"/>
        </w:rPr>
      </w:pPr>
    </w:p>
    <w:p w14:paraId="332EBE38">
      <w:pPr>
        <w:rPr>
          <w:color w:val="auto"/>
          <w:highlight w:val="none"/>
        </w:rPr>
      </w:pPr>
    </w:p>
    <w:p w14:paraId="5E170A6A">
      <w:pPr>
        <w:rPr>
          <w:color w:val="auto"/>
          <w:highlight w:val="none"/>
        </w:rPr>
      </w:pPr>
    </w:p>
    <w:p w14:paraId="37B7B3A1">
      <w:pPr>
        <w:pStyle w:val="6"/>
        <w:rPr>
          <w:color w:val="auto"/>
          <w:highlight w:val="none"/>
        </w:rPr>
      </w:pPr>
    </w:p>
    <w:p w14:paraId="6C5653FE">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7"/>
              <w:adjustRightInd w:val="0"/>
              <w:spacing w:line="360" w:lineRule="auto"/>
              <w:rPr>
                <w:rFonts w:cs="仿宋" w:asciiTheme="minorEastAsia" w:hAnsiTheme="minorEastAsia" w:eastAsiaTheme="minorEastAsia"/>
                <w:bCs/>
                <w:color w:val="auto"/>
                <w:sz w:val="24"/>
                <w:highlight w:val="none"/>
              </w:rPr>
            </w:pPr>
          </w:p>
        </w:tc>
      </w:tr>
    </w:tbl>
    <w:p w14:paraId="5884D9E9">
      <w:pPr>
        <w:pStyle w:val="15"/>
        <w:rPr>
          <w:color w:val="auto"/>
          <w:highlight w:val="none"/>
        </w:rPr>
      </w:pPr>
    </w:p>
    <w:p w14:paraId="13457C2E">
      <w:pPr>
        <w:rPr>
          <w:color w:val="auto"/>
          <w:highlight w:val="none"/>
        </w:rPr>
      </w:pPr>
    </w:p>
    <w:p w14:paraId="3140BC0F">
      <w:pPr>
        <w:pStyle w:val="6"/>
        <w:rPr>
          <w:color w:val="auto"/>
          <w:highlight w:val="none"/>
        </w:rPr>
      </w:pPr>
    </w:p>
    <w:p w14:paraId="4ADA0366">
      <w:pPr>
        <w:pStyle w:val="15"/>
        <w:rPr>
          <w:color w:val="auto"/>
          <w:highlight w:val="none"/>
        </w:rPr>
      </w:pPr>
    </w:p>
    <w:p w14:paraId="0CC1C1AF">
      <w:pPr>
        <w:pStyle w:val="6"/>
        <w:rPr>
          <w:color w:val="auto"/>
          <w:highlight w:val="none"/>
        </w:rPr>
      </w:pPr>
    </w:p>
    <w:p w14:paraId="720742C6">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96F89C5">
      <w:pPr>
        <w:spacing w:line="360" w:lineRule="auto"/>
        <w:jc w:val="center"/>
        <w:outlineLvl w:val="0"/>
        <w:rPr>
          <w:rFonts w:cs="仿宋" w:asciiTheme="minorEastAsia" w:hAnsiTheme="minorEastAsia"/>
          <w:b/>
          <w:color w:val="auto"/>
          <w:kern w:val="0"/>
          <w:sz w:val="24"/>
          <w:highlight w:val="none"/>
        </w:rPr>
      </w:pPr>
    </w:p>
    <w:p w14:paraId="2ECC5984">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5929EF3">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162F3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BDB4CD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208F23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7436AC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F01CAD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0EB9299B">
      <w:pPr>
        <w:pStyle w:val="15"/>
        <w:rPr>
          <w:color w:val="auto"/>
          <w:highlight w:val="none"/>
        </w:rPr>
      </w:pPr>
    </w:p>
    <w:p w14:paraId="1AF3AAEA">
      <w:pPr>
        <w:rPr>
          <w:color w:val="auto"/>
          <w:highlight w:val="none"/>
        </w:rPr>
      </w:pPr>
    </w:p>
    <w:p w14:paraId="3DAA4E90">
      <w:pPr>
        <w:pStyle w:val="6"/>
        <w:rPr>
          <w:color w:val="auto"/>
          <w:highlight w:val="none"/>
        </w:rPr>
      </w:pPr>
    </w:p>
    <w:p w14:paraId="150574DA">
      <w:pPr>
        <w:pStyle w:val="15"/>
        <w:rPr>
          <w:color w:val="auto"/>
          <w:highlight w:val="none"/>
        </w:rPr>
      </w:pPr>
    </w:p>
    <w:p w14:paraId="0FCCF493">
      <w:pPr>
        <w:rPr>
          <w:color w:val="auto"/>
          <w:highlight w:val="none"/>
        </w:rPr>
      </w:pPr>
    </w:p>
    <w:p w14:paraId="51228414">
      <w:pPr>
        <w:pStyle w:val="6"/>
        <w:rPr>
          <w:color w:val="auto"/>
          <w:highlight w:val="none"/>
        </w:rPr>
      </w:pPr>
    </w:p>
    <w:p w14:paraId="13BDD14E">
      <w:pPr>
        <w:pStyle w:val="15"/>
        <w:rPr>
          <w:color w:val="auto"/>
          <w:highlight w:val="none"/>
        </w:rPr>
      </w:pPr>
    </w:p>
    <w:p w14:paraId="10ADC365">
      <w:pPr>
        <w:rPr>
          <w:color w:val="auto"/>
          <w:highlight w:val="none"/>
        </w:rPr>
      </w:pPr>
    </w:p>
    <w:p w14:paraId="52796060">
      <w:pPr>
        <w:pStyle w:val="6"/>
        <w:rPr>
          <w:color w:val="auto"/>
          <w:highlight w:val="none"/>
        </w:rPr>
      </w:pPr>
    </w:p>
    <w:p w14:paraId="167C8E6F">
      <w:pPr>
        <w:pStyle w:val="15"/>
        <w:rPr>
          <w:color w:val="auto"/>
          <w:highlight w:val="none"/>
        </w:rPr>
      </w:pPr>
    </w:p>
    <w:p w14:paraId="48F033E4">
      <w:pPr>
        <w:rPr>
          <w:color w:val="auto"/>
          <w:highlight w:val="none"/>
        </w:rPr>
      </w:pPr>
    </w:p>
    <w:p w14:paraId="0979F993">
      <w:pPr>
        <w:pStyle w:val="6"/>
        <w:rPr>
          <w:color w:val="auto"/>
          <w:highlight w:val="none"/>
        </w:rPr>
      </w:pPr>
    </w:p>
    <w:p w14:paraId="22F6FCB8">
      <w:pPr>
        <w:pStyle w:val="15"/>
        <w:rPr>
          <w:color w:val="auto"/>
          <w:highlight w:val="none"/>
        </w:rPr>
      </w:pPr>
    </w:p>
    <w:p w14:paraId="6F28F61A">
      <w:pPr>
        <w:pStyle w:val="12"/>
        <w:rPr>
          <w:color w:val="auto"/>
          <w:highlight w:val="none"/>
        </w:rPr>
      </w:pPr>
    </w:p>
    <w:p w14:paraId="62C608BD">
      <w:pPr>
        <w:rPr>
          <w:color w:val="auto"/>
          <w:highlight w:val="none"/>
        </w:rPr>
      </w:pPr>
    </w:p>
    <w:p w14:paraId="6DF3899B">
      <w:pPr>
        <w:rPr>
          <w:color w:val="auto"/>
          <w:highlight w:val="none"/>
        </w:rPr>
      </w:pPr>
    </w:p>
    <w:p w14:paraId="6C032B96"/>
    <w:p w14:paraId="12E7506A">
      <w:pPr>
        <w:rPr>
          <w:color w:val="auto"/>
          <w:highlight w:val="none"/>
        </w:rPr>
      </w:pPr>
    </w:p>
    <w:p w14:paraId="21F41F43">
      <w:pPr>
        <w:rPr>
          <w:color w:val="auto"/>
          <w:highlight w:val="none"/>
        </w:rPr>
      </w:pPr>
    </w:p>
    <w:p w14:paraId="2A2C7AEE">
      <w:pPr>
        <w:rPr>
          <w:color w:val="auto"/>
          <w:highlight w:val="none"/>
        </w:rPr>
      </w:pPr>
    </w:p>
    <w:p w14:paraId="74966C05">
      <w:pPr>
        <w:pStyle w:val="15"/>
        <w:rPr>
          <w:color w:val="auto"/>
          <w:highlight w:val="none"/>
        </w:rPr>
      </w:pPr>
    </w:p>
    <w:p w14:paraId="70007663">
      <w:pPr>
        <w:rPr>
          <w:color w:val="auto"/>
          <w:highlight w:val="none"/>
        </w:rPr>
      </w:pPr>
    </w:p>
    <w:p w14:paraId="7674EBD7">
      <w:pPr>
        <w:pStyle w:val="15"/>
        <w:ind w:left="0" w:leftChars="0" w:firstLine="0" w:firstLineChars="0"/>
        <w:rPr>
          <w:color w:val="auto"/>
          <w:highlight w:val="none"/>
        </w:rPr>
      </w:pPr>
    </w:p>
    <w:p w14:paraId="6385A43C">
      <w:pPr>
        <w:pStyle w:val="15"/>
        <w:rPr>
          <w:color w:val="auto"/>
          <w:highlight w:val="none"/>
        </w:rPr>
      </w:pPr>
    </w:p>
    <w:p w14:paraId="42236D03">
      <w:pPr>
        <w:rPr>
          <w:color w:val="auto"/>
          <w:highlight w:val="none"/>
        </w:rPr>
      </w:pPr>
    </w:p>
    <w:p w14:paraId="772FE796">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4323A773">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2025-2026年供应链管理平台系统采购项目（第二次）</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w:t>
      </w:r>
      <w:r>
        <w:rPr>
          <w:rFonts w:hint="eastAsia" w:cs="仿宋" w:asciiTheme="minorEastAsia" w:hAnsiTheme="minorEastAsia"/>
          <w:b/>
          <w:bCs/>
          <w:color w:val="auto"/>
          <w:sz w:val="24"/>
          <w:highlight w:val="none"/>
        </w:rPr>
        <w:t>不少于90天</w:t>
      </w:r>
      <w:r>
        <w:rPr>
          <w:rFonts w:hint="eastAsia" w:cs="仿宋" w:asciiTheme="minorEastAsia" w:hAnsiTheme="minorEastAsia"/>
          <w:color w:val="auto"/>
          <w:sz w:val="24"/>
          <w:highlight w:val="none"/>
        </w:rPr>
        <w:t>）</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0363A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59A924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D4FD3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31115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F7E5A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C9D301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DBA92E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8A176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279059D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25D88025">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19CEA06">
      <w:pPr>
        <w:spacing w:line="360" w:lineRule="auto"/>
        <w:jc w:val="center"/>
        <w:rPr>
          <w:rFonts w:cs="仿宋" w:asciiTheme="minorEastAsia" w:hAnsiTheme="minorEastAsia"/>
          <w:color w:val="auto"/>
          <w:sz w:val="24"/>
          <w:highlight w:val="none"/>
        </w:rPr>
        <w:sectPr>
          <w:head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9AA4DCB">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B9BDC1B">
      <w:pPr>
        <w:snapToGrid w:val="0"/>
        <w:spacing w:line="360" w:lineRule="auto"/>
        <w:rPr>
          <w:rFonts w:hint="eastAsia" w:cs="仿宋" w:asciiTheme="minorEastAsia" w:hAnsiTheme="minorEastAsia"/>
          <w:color w:val="auto"/>
          <w:kern w:val="0"/>
          <w:sz w:val="24"/>
          <w:highlight w:val="none"/>
          <w:lang w:eastAsia="zh-CN"/>
        </w:rPr>
      </w:pPr>
    </w:p>
    <w:p w14:paraId="3DF0E6A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5D753580">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2025-2026年供应链管理平台系统采购项目（第二次）</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682A8CDB">
      <w:pPr>
        <w:snapToGrid w:val="0"/>
        <w:spacing w:line="360" w:lineRule="auto"/>
        <w:ind w:firstLine="576"/>
        <w:rPr>
          <w:rFonts w:cs="仿宋" w:asciiTheme="minorEastAsia" w:hAnsiTheme="minorEastAsia"/>
          <w:color w:val="auto"/>
          <w:kern w:val="0"/>
          <w:sz w:val="24"/>
          <w:highlight w:val="none"/>
        </w:rPr>
      </w:pPr>
    </w:p>
    <w:p w14:paraId="0FAAF314">
      <w:pPr>
        <w:snapToGrid w:val="0"/>
        <w:spacing w:line="360" w:lineRule="auto"/>
        <w:rPr>
          <w:rFonts w:hint="eastAsia" w:cs="仿宋" w:asciiTheme="minorEastAsia" w:hAnsiTheme="minorEastAsia"/>
          <w:color w:val="auto"/>
          <w:kern w:val="0"/>
          <w:sz w:val="24"/>
          <w:highlight w:val="none"/>
          <w:lang w:val="zh-CN"/>
        </w:rPr>
      </w:pPr>
    </w:p>
    <w:p w14:paraId="342241C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7AF05F9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3E7376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A2B6624">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ECE2F4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277548C3">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EB193B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3549380">
      <w:pPr>
        <w:jc w:val="center"/>
        <w:rPr>
          <w:rFonts w:hint="eastAsia" w:cs="仿宋" w:asciiTheme="minorEastAsia" w:hAnsiTheme="minorEastAsia"/>
          <w:b/>
          <w:color w:val="auto"/>
          <w:kern w:val="0"/>
          <w:sz w:val="32"/>
          <w:szCs w:val="32"/>
          <w:highlight w:val="none"/>
          <w:lang w:val="zh-CN"/>
        </w:rPr>
      </w:pPr>
    </w:p>
    <w:p w14:paraId="2BF756D6">
      <w:pPr>
        <w:jc w:val="center"/>
        <w:rPr>
          <w:rFonts w:hint="eastAsia" w:cs="仿宋" w:asciiTheme="minorEastAsia" w:hAnsiTheme="minorEastAsia"/>
          <w:b/>
          <w:color w:val="auto"/>
          <w:kern w:val="0"/>
          <w:sz w:val="32"/>
          <w:szCs w:val="32"/>
          <w:highlight w:val="none"/>
          <w:lang w:val="zh-CN"/>
        </w:rPr>
      </w:pPr>
    </w:p>
    <w:p w14:paraId="69F4BAEC">
      <w:pPr>
        <w:jc w:val="center"/>
        <w:rPr>
          <w:rFonts w:hint="eastAsia" w:cs="仿宋" w:asciiTheme="minorEastAsia" w:hAnsiTheme="minorEastAsia"/>
          <w:b/>
          <w:color w:val="auto"/>
          <w:kern w:val="0"/>
          <w:sz w:val="32"/>
          <w:szCs w:val="32"/>
          <w:highlight w:val="none"/>
          <w:lang w:val="zh-CN"/>
        </w:rPr>
      </w:pPr>
    </w:p>
    <w:p w14:paraId="31A719BF">
      <w:pPr>
        <w:jc w:val="center"/>
        <w:rPr>
          <w:rFonts w:hint="eastAsia" w:cs="仿宋" w:asciiTheme="minorEastAsia" w:hAnsiTheme="minorEastAsia"/>
          <w:b/>
          <w:color w:val="auto"/>
          <w:kern w:val="0"/>
          <w:sz w:val="32"/>
          <w:szCs w:val="32"/>
          <w:highlight w:val="none"/>
          <w:lang w:val="zh-CN"/>
        </w:rPr>
      </w:pPr>
    </w:p>
    <w:p w14:paraId="79D9F9A5">
      <w:pPr>
        <w:jc w:val="center"/>
        <w:rPr>
          <w:rFonts w:hint="eastAsia" w:cs="仿宋" w:asciiTheme="minorEastAsia" w:hAnsiTheme="minorEastAsia"/>
          <w:b/>
          <w:color w:val="auto"/>
          <w:kern w:val="0"/>
          <w:sz w:val="32"/>
          <w:szCs w:val="32"/>
          <w:highlight w:val="none"/>
          <w:lang w:val="zh-CN"/>
        </w:rPr>
      </w:pPr>
    </w:p>
    <w:p w14:paraId="2ED36A2B">
      <w:pPr>
        <w:jc w:val="center"/>
        <w:rPr>
          <w:rFonts w:hint="eastAsia" w:cs="仿宋" w:asciiTheme="minorEastAsia" w:hAnsiTheme="minorEastAsia"/>
          <w:b/>
          <w:color w:val="auto"/>
          <w:kern w:val="0"/>
          <w:sz w:val="32"/>
          <w:szCs w:val="32"/>
          <w:highlight w:val="none"/>
          <w:lang w:val="zh-CN"/>
        </w:rPr>
      </w:pPr>
    </w:p>
    <w:p w14:paraId="72726774">
      <w:pPr>
        <w:jc w:val="center"/>
        <w:rPr>
          <w:rFonts w:hint="eastAsia" w:cs="仿宋" w:asciiTheme="minorEastAsia" w:hAnsiTheme="minorEastAsia"/>
          <w:b/>
          <w:color w:val="auto"/>
          <w:kern w:val="0"/>
          <w:sz w:val="32"/>
          <w:szCs w:val="32"/>
          <w:highlight w:val="none"/>
          <w:lang w:val="zh-CN"/>
        </w:rPr>
      </w:pPr>
    </w:p>
    <w:p w14:paraId="71613423">
      <w:pPr>
        <w:jc w:val="center"/>
        <w:rPr>
          <w:rFonts w:hint="eastAsia" w:cs="仿宋" w:asciiTheme="minorEastAsia" w:hAnsiTheme="minorEastAsia"/>
          <w:b/>
          <w:color w:val="auto"/>
          <w:kern w:val="0"/>
          <w:sz w:val="32"/>
          <w:szCs w:val="32"/>
          <w:highlight w:val="none"/>
          <w:lang w:val="zh-CN"/>
        </w:rPr>
      </w:pPr>
    </w:p>
    <w:p w14:paraId="22241CCF">
      <w:pPr>
        <w:jc w:val="center"/>
        <w:rPr>
          <w:rFonts w:hint="eastAsia" w:cs="仿宋" w:asciiTheme="minorEastAsia" w:hAnsiTheme="minorEastAsia"/>
          <w:b/>
          <w:color w:val="auto"/>
          <w:kern w:val="0"/>
          <w:sz w:val="32"/>
          <w:szCs w:val="32"/>
          <w:highlight w:val="none"/>
          <w:lang w:val="zh-CN"/>
        </w:rPr>
      </w:pPr>
    </w:p>
    <w:p w14:paraId="24FF629C">
      <w:pPr>
        <w:pStyle w:val="6"/>
        <w:rPr>
          <w:rFonts w:hint="eastAsia" w:cs="仿宋" w:asciiTheme="minorEastAsia" w:hAnsiTheme="minorEastAsia"/>
          <w:b/>
          <w:color w:val="auto"/>
          <w:kern w:val="0"/>
          <w:sz w:val="32"/>
          <w:szCs w:val="32"/>
          <w:highlight w:val="none"/>
          <w:lang w:val="zh-CN"/>
        </w:rPr>
      </w:pPr>
    </w:p>
    <w:p w14:paraId="188AB74D">
      <w:pPr>
        <w:pStyle w:val="15"/>
        <w:rPr>
          <w:rFonts w:hint="eastAsia" w:cs="仿宋" w:asciiTheme="minorEastAsia" w:hAnsiTheme="minorEastAsia"/>
          <w:b/>
          <w:color w:val="auto"/>
          <w:kern w:val="0"/>
          <w:sz w:val="32"/>
          <w:szCs w:val="32"/>
          <w:highlight w:val="none"/>
          <w:lang w:val="zh-CN"/>
        </w:rPr>
      </w:pPr>
    </w:p>
    <w:p w14:paraId="293C9B28">
      <w:pPr>
        <w:rPr>
          <w:rFonts w:hint="eastAsia" w:cs="仿宋" w:asciiTheme="minorEastAsia" w:hAnsiTheme="minorEastAsia"/>
          <w:b/>
          <w:color w:val="auto"/>
          <w:kern w:val="0"/>
          <w:sz w:val="32"/>
          <w:szCs w:val="32"/>
          <w:highlight w:val="none"/>
          <w:lang w:val="zh-CN"/>
        </w:rPr>
      </w:pPr>
    </w:p>
    <w:p w14:paraId="77537CA1">
      <w:pPr>
        <w:pStyle w:val="6"/>
        <w:rPr>
          <w:rFonts w:hint="eastAsia" w:cs="仿宋" w:asciiTheme="minorEastAsia" w:hAnsiTheme="minorEastAsia"/>
          <w:b/>
          <w:color w:val="auto"/>
          <w:kern w:val="0"/>
          <w:sz w:val="32"/>
          <w:szCs w:val="32"/>
          <w:highlight w:val="none"/>
          <w:lang w:val="zh-CN"/>
        </w:rPr>
      </w:pPr>
    </w:p>
    <w:p w14:paraId="3485162C">
      <w:pPr>
        <w:pStyle w:val="15"/>
        <w:rPr>
          <w:rFonts w:hint="eastAsia"/>
          <w:color w:val="auto"/>
          <w:highlight w:val="none"/>
          <w:lang w:val="zh-CN"/>
        </w:rPr>
      </w:pPr>
    </w:p>
    <w:p w14:paraId="5991269C">
      <w:pPr>
        <w:rPr>
          <w:color w:val="auto"/>
          <w:highlight w:val="none"/>
        </w:rPr>
      </w:pPr>
    </w:p>
    <w:p w14:paraId="7C352615">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6546F4A">
            <w:pPr>
              <w:pStyle w:val="27"/>
              <w:adjustRightInd w:val="0"/>
              <w:spacing w:line="360" w:lineRule="auto"/>
              <w:rPr>
                <w:rFonts w:cs="仿宋" w:asciiTheme="minorEastAsia" w:hAnsiTheme="minorEastAsia" w:eastAsiaTheme="minorEastAsia"/>
                <w:bCs/>
                <w:color w:val="auto"/>
                <w:sz w:val="24"/>
                <w:highlight w:val="none"/>
              </w:rPr>
            </w:pPr>
          </w:p>
        </w:tc>
      </w:tr>
    </w:tbl>
    <w:p w14:paraId="0D7F9F3C">
      <w:pPr>
        <w:snapToGrid w:val="0"/>
        <w:spacing w:line="360" w:lineRule="auto"/>
        <w:ind w:firstLine="576"/>
        <w:jc w:val="center"/>
        <w:rPr>
          <w:rFonts w:cs="仿宋" w:asciiTheme="minorEastAsia" w:hAnsiTheme="minorEastAsia"/>
          <w:color w:val="auto"/>
          <w:kern w:val="0"/>
          <w:sz w:val="24"/>
          <w:highlight w:val="none"/>
          <w:lang w:val="zh-CN"/>
        </w:rPr>
      </w:pPr>
    </w:p>
    <w:p w14:paraId="175C230E">
      <w:pPr>
        <w:snapToGrid w:val="0"/>
        <w:spacing w:line="360" w:lineRule="auto"/>
        <w:ind w:firstLine="576"/>
        <w:jc w:val="center"/>
        <w:rPr>
          <w:rFonts w:hint="eastAsia" w:cs="仿宋" w:asciiTheme="minorEastAsia" w:hAnsiTheme="minorEastAsia"/>
          <w:color w:val="auto"/>
          <w:kern w:val="0"/>
          <w:sz w:val="24"/>
          <w:highlight w:val="none"/>
          <w:lang w:val="zh-CN"/>
        </w:rPr>
      </w:pPr>
    </w:p>
    <w:p w14:paraId="7888295B">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1F7BF9BD">
            <w:pPr>
              <w:pStyle w:val="27"/>
              <w:adjustRightInd w:val="0"/>
              <w:spacing w:line="360" w:lineRule="auto"/>
              <w:rPr>
                <w:rFonts w:cs="仿宋" w:asciiTheme="minorEastAsia" w:hAnsiTheme="minorEastAsia" w:eastAsiaTheme="minorEastAsia"/>
                <w:bCs/>
                <w:color w:val="auto"/>
                <w:sz w:val="24"/>
                <w:highlight w:val="none"/>
              </w:rPr>
            </w:pPr>
          </w:p>
        </w:tc>
      </w:tr>
    </w:tbl>
    <w:p w14:paraId="49F09EA0">
      <w:pPr>
        <w:snapToGrid w:val="0"/>
        <w:spacing w:line="360" w:lineRule="auto"/>
        <w:ind w:firstLine="576"/>
        <w:jc w:val="center"/>
        <w:rPr>
          <w:rFonts w:cs="仿宋" w:asciiTheme="minorEastAsia" w:hAnsiTheme="minorEastAsia"/>
          <w:color w:val="auto"/>
          <w:kern w:val="0"/>
          <w:sz w:val="24"/>
          <w:highlight w:val="none"/>
          <w:lang w:val="zh-CN"/>
        </w:rPr>
      </w:pPr>
    </w:p>
    <w:p w14:paraId="2EC9602E">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E7D5EDC">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716DB9B4">
      <w:pPr>
        <w:jc w:val="both"/>
        <w:rPr>
          <w:rFonts w:cs="仿宋" w:asciiTheme="minorEastAsia" w:hAnsiTheme="minorEastAsia"/>
          <w:b/>
          <w:color w:val="auto"/>
          <w:kern w:val="0"/>
          <w:sz w:val="32"/>
          <w:szCs w:val="32"/>
          <w:highlight w:val="none"/>
        </w:rPr>
      </w:pPr>
    </w:p>
    <w:p w14:paraId="26B62C7A">
      <w:pPr>
        <w:jc w:val="center"/>
        <w:rPr>
          <w:rFonts w:cs="仿宋" w:asciiTheme="minorEastAsia" w:hAnsiTheme="minorEastAsia"/>
          <w:b/>
          <w:color w:val="auto"/>
          <w:kern w:val="0"/>
          <w:sz w:val="32"/>
          <w:szCs w:val="32"/>
          <w:highlight w:val="none"/>
        </w:rPr>
      </w:pPr>
    </w:p>
    <w:p w14:paraId="014A2B7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43C6D27">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5DE42AF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BB2E0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F18C58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41585765">
            <w:pPr>
              <w:jc w:val="center"/>
              <w:rPr>
                <w:rFonts w:cs="仿宋" w:asciiTheme="minorEastAsia" w:hAnsiTheme="minorEastAsia"/>
                <w:color w:val="auto"/>
                <w:sz w:val="24"/>
                <w:highlight w:val="none"/>
              </w:rPr>
            </w:pPr>
          </w:p>
          <w:p w14:paraId="57512EC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093F18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09573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0936A96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6C036D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80C54D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D9DF606">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6F4EAE2">
      <w:pPr>
        <w:jc w:val="center"/>
        <w:rPr>
          <w:rFonts w:cs="仿宋" w:asciiTheme="minorEastAsia" w:hAnsiTheme="minorEastAsia"/>
          <w:b/>
          <w:color w:val="auto"/>
          <w:kern w:val="0"/>
          <w:sz w:val="32"/>
          <w:szCs w:val="32"/>
          <w:highlight w:val="none"/>
        </w:rPr>
      </w:pPr>
    </w:p>
    <w:p w14:paraId="0707AC86">
      <w:pPr>
        <w:jc w:val="center"/>
        <w:rPr>
          <w:rFonts w:hint="eastAsia" w:cs="仿宋" w:asciiTheme="minorEastAsia" w:hAnsiTheme="minorEastAsia"/>
          <w:b/>
          <w:color w:val="auto"/>
          <w:kern w:val="0"/>
          <w:sz w:val="32"/>
          <w:szCs w:val="32"/>
          <w:highlight w:val="none"/>
        </w:rPr>
      </w:pPr>
    </w:p>
    <w:p w14:paraId="51553C66">
      <w:pPr>
        <w:jc w:val="center"/>
        <w:rPr>
          <w:rFonts w:hint="eastAsia" w:cs="仿宋" w:asciiTheme="minorEastAsia" w:hAnsiTheme="minorEastAsia"/>
          <w:b/>
          <w:color w:val="auto"/>
          <w:kern w:val="0"/>
          <w:sz w:val="32"/>
          <w:szCs w:val="32"/>
          <w:highlight w:val="none"/>
        </w:rPr>
      </w:pPr>
    </w:p>
    <w:p w14:paraId="4B3BBDBC">
      <w:pPr>
        <w:jc w:val="center"/>
        <w:rPr>
          <w:rFonts w:hint="eastAsia" w:cs="仿宋" w:asciiTheme="minorEastAsia" w:hAnsiTheme="minorEastAsia"/>
          <w:b/>
          <w:color w:val="auto"/>
          <w:kern w:val="0"/>
          <w:sz w:val="32"/>
          <w:szCs w:val="32"/>
          <w:highlight w:val="none"/>
        </w:rPr>
      </w:pPr>
    </w:p>
    <w:p w14:paraId="0B175509">
      <w:pPr>
        <w:jc w:val="center"/>
        <w:rPr>
          <w:rFonts w:hint="eastAsia" w:cs="仿宋" w:asciiTheme="minorEastAsia" w:hAnsiTheme="minorEastAsia"/>
          <w:b/>
          <w:color w:val="auto"/>
          <w:kern w:val="0"/>
          <w:sz w:val="32"/>
          <w:szCs w:val="32"/>
          <w:highlight w:val="none"/>
        </w:rPr>
      </w:pPr>
    </w:p>
    <w:p w14:paraId="5EE896BB">
      <w:pPr>
        <w:jc w:val="center"/>
        <w:rPr>
          <w:rFonts w:hint="eastAsia" w:cs="仿宋" w:asciiTheme="minorEastAsia" w:hAnsiTheme="minorEastAsia"/>
          <w:b/>
          <w:color w:val="auto"/>
          <w:kern w:val="0"/>
          <w:sz w:val="32"/>
          <w:szCs w:val="32"/>
          <w:highlight w:val="none"/>
        </w:rPr>
      </w:pPr>
    </w:p>
    <w:p w14:paraId="16F459E7">
      <w:pPr>
        <w:jc w:val="center"/>
        <w:rPr>
          <w:rFonts w:hint="eastAsia" w:cs="仿宋" w:asciiTheme="minorEastAsia" w:hAnsiTheme="minorEastAsia"/>
          <w:b/>
          <w:color w:val="auto"/>
          <w:kern w:val="0"/>
          <w:sz w:val="32"/>
          <w:szCs w:val="32"/>
          <w:highlight w:val="none"/>
        </w:rPr>
      </w:pPr>
    </w:p>
    <w:p w14:paraId="466CC0C6">
      <w:pPr>
        <w:jc w:val="center"/>
        <w:rPr>
          <w:rFonts w:hint="eastAsia" w:cs="仿宋" w:asciiTheme="minorEastAsia" w:hAnsiTheme="minorEastAsia"/>
          <w:b/>
          <w:color w:val="auto"/>
          <w:kern w:val="0"/>
          <w:sz w:val="32"/>
          <w:szCs w:val="32"/>
          <w:highlight w:val="none"/>
        </w:rPr>
      </w:pPr>
    </w:p>
    <w:p w14:paraId="38A318AE">
      <w:pPr>
        <w:jc w:val="center"/>
        <w:rPr>
          <w:rFonts w:hint="eastAsia" w:cs="仿宋" w:asciiTheme="minorEastAsia" w:hAnsiTheme="minorEastAsia"/>
          <w:b/>
          <w:color w:val="auto"/>
          <w:kern w:val="0"/>
          <w:sz w:val="32"/>
          <w:szCs w:val="32"/>
          <w:highlight w:val="none"/>
        </w:rPr>
      </w:pPr>
    </w:p>
    <w:p w14:paraId="75EB4776">
      <w:pPr>
        <w:jc w:val="center"/>
        <w:rPr>
          <w:rFonts w:hint="eastAsia" w:cs="仿宋" w:asciiTheme="minorEastAsia" w:hAnsiTheme="minorEastAsia"/>
          <w:b/>
          <w:color w:val="auto"/>
          <w:kern w:val="0"/>
          <w:sz w:val="32"/>
          <w:szCs w:val="32"/>
          <w:highlight w:val="none"/>
        </w:rPr>
      </w:pPr>
    </w:p>
    <w:p w14:paraId="1E38387B">
      <w:pPr>
        <w:jc w:val="center"/>
        <w:rPr>
          <w:rFonts w:hint="eastAsia" w:cs="仿宋" w:asciiTheme="minorEastAsia" w:hAnsiTheme="minorEastAsia"/>
          <w:b/>
          <w:color w:val="auto"/>
          <w:kern w:val="0"/>
          <w:sz w:val="32"/>
          <w:szCs w:val="32"/>
          <w:highlight w:val="none"/>
        </w:rPr>
      </w:pPr>
    </w:p>
    <w:p w14:paraId="63D52E0D">
      <w:pPr>
        <w:jc w:val="center"/>
        <w:rPr>
          <w:rFonts w:hint="eastAsia" w:cs="仿宋" w:asciiTheme="minorEastAsia" w:hAnsiTheme="minorEastAsia"/>
          <w:b/>
          <w:color w:val="auto"/>
          <w:kern w:val="0"/>
          <w:sz w:val="32"/>
          <w:szCs w:val="32"/>
          <w:highlight w:val="none"/>
        </w:rPr>
      </w:pPr>
    </w:p>
    <w:p w14:paraId="713EFB60">
      <w:pPr>
        <w:jc w:val="center"/>
        <w:rPr>
          <w:rFonts w:hint="eastAsia" w:cs="仿宋" w:asciiTheme="minorEastAsia" w:hAnsiTheme="minorEastAsia"/>
          <w:b/>
          <w:color w:val="auto"/>
          <w:kern w:val="0"/>
          <w:sz w:val="32"/>
          <w:szCs w:val="32"/>
          <w:highlight w:val="none"/>
        </w:rPr>
      </w:pPr>
    </w:p>
    <w:p w14:paraId="16AD93DA">
      <w:pPr>
        <w:jc w:val="center"/>
        <w:rPr>
          <w:rFonts w:hint="eastAsia" w:cs="仿宋" w:asciiTheme="minorEastAsia" w:hAnsiTheme="minorEastAsia"/>
          <w:b/>
          <w:color w:val="auto"/>
          <w:kern w:val="0"/>
          <w:sz w:val="32"/>
          <w:szCs w:val="32"/>
          <w:highlight w:val="none"/>
        </w:rPr>
      </w:pPr>
    </w:p>
    <w:p w14:paraId="2FE12B78">
      <w:pPr>
        <w:jc w:val="center"/>
        <w:rPr>
          <w:rFonts w:hint="eastAsia" w:cs="仿宋" w:asciiTheme="minorEastAsia" w:hAnsiTheme="minorEastAsia"/>
          <w:b/>
          <w:color w:val="auto"/>
          <w:kern w:val="0"/>
          <w:sz w:val="32"/>
          <w:szCs w:val="32"/>
          <w:highlight w:val="none"/>
        </w:rPr>
      </w:pPr>
    </w:p>
    <w:p w14:paraId="31ED8BFD">
      <w:pPr>
        <w:jc w:val="center"/>
        <w:rPr>
          <w:rFonts w:hint="eastAsia" w:cs="仿宋" w:asciiTheme="minorEastAsia" w:hAnsiTheme="minorEastAsia"/>
          <w:b/>
          <w:color w:val="auto"/>
          <w:kern w:val="0"/>
          <w:sz w:val="32"/>
          <w:szCs w:val="32"/>
          <w:highlight w:val="none"/>
        </w:rPr>
      </w:pPr>
    </w:p>
    <w:p w14:paraId="410A0253">
      <w:pPr>
        <w:jc w:val="center"/>
        <w:rPr>
          <w:rFonts w:hint="eastAsia" w:cs="仿宋" w:asciiTheme="minorEastAsia" w:hAnsiTheme="minorEastAsia"/>
          <w:b/>
          <w:color w:val="auto"/>
          <w:kern w:val="0"/>
          <w:sz w:val="32"/>
          <w:szCs w:val="32"/>
          <w:highlight w:val="none"/>
        </w:rPr>
      </w:pPr>
    </w:p>
    <w:p w14:paraId="22ED144D">
      <w:pPr>
        <w:jc w:val="center"/>
        <w:rPr>
          <w:rFonts w:hint="eastAsia" w:cs="仿宋" w:asciiTheme="minorEastAsia" w:hAnsiTheme="minorEastAsia"/>
          <w:b/>
          <w:color w:val="auto"/>
          <w:kern w:val="0"/>
          <w:sz w:val="32"/>
          <w:szCs w:val="32"/>
          <w:highlight w:val="none"/>
        </w:rPr>
      </w:pPr>
    </w:p>
    <w:p w14:paraId="0CA3B79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23EF30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0C5E912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C3F2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F94722C">
            <w:pPr>
              <w:jc w:val="center"/>
              <w:rPr>
                <w:rFonts w:cs="仿宋" w:asciiTheme="minorEastAsia" w:hAnsiTheme="minorEastAsia"/>
                <w:b/>
                <w:color w:val="auto"/>
                <w:kern w:val="0"/>
                <w:sz w:val="32"/>
                <w:szCs w:val="32"/>
                <w:highlight w:val="none"/>
              </w:rPr>
            </w:pPr>
          </w:p>
        </w:tc>
        <w:tc>
          <w:tcPr>
            <w:tcW w:w="3546" w:type="dxa"/>
          </w:tcPr>
          <w:p w14:paraId="30B96222">
            <w:pPr>
              <w:jc w:val="center"/>
              <w:rPr>
                <w:rFonts w:cs="仿宋" w:asciiTheme="minorEastAsia" w:hAnsiTheme="minorEastAsia"/>
                <w:b/>
                <w:color w:val="auto"/>
                <w:kern w:val="0"/>
                <w:sz w:val="32"/>
                <w:szCs w:val="32"/>
                <w:highlight w:val="none"/>
              </w:rPr>
            </w:pPr>
          </w:p>
        </w:tc>
        <w:tc>
          <w:tcPr>
            <w:tcW w:w="1276" w:type="dxa"/>
          </w:tcPr>
          <w:p w14:paraId="4D58FB75">
            <w:pPr>
              <w:jc w:val="center"/>
              <w:rPr>
                <w:rFonts w:cs="仿宋" w:asciiTheme="minorEastAsia" w:hAnsiTheme="minorEastAsia"/>
                <w:b/>
                <w:color w:val="auto"/>
                <w:kern w:val="0"/>
                <w:sz w:val="32"/>
                <w:szCs w:val="32"/>
                <w:highlight w:val="none"/>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05F6109">
            <w:pPr>
              <w:jc w:val="center"/>
              <w:rPr>
                <w:rFonts w:cs="仿宋" w:asciiTheme="minorEastAsia" w:hAnsiTheme="minorEastAsia"/>
                <w:b/>
                <w:color w:val="auto"/>
                <w:kern w:val="0"/>
                <w:sz w:val="32"/>
                <w:szCs w:val="32"/>
                <w:highlight w:val="none"/>
              </w:rPr>
            </w:pPr>
          </w:p>
        </w:tc>
        <w:tc>
          <w:tcPr>
            <w:tcW w:w="3546" w:type="dxa"/>
          </w:tcPr>
          <w:p w14:paraId="286711F7">
            <w:pPr>
              <w:jc w:val="center"/>
              <w:rPr>
                <w:rFonts w:cs="仿宋" w:asciiTheme="minorEastAsia" w:hAnsiTheme="minorEastAsia"/>
                <w:b/>
                <w:color w:val="auto"/>
                <w:kern w:val="0"/>
                <w:sz w:val="32"/>
                <w:szCs w:val="32"/>
                <w:highlight w:val="none"/>
              </w:rPr>
            </w:pPr>
          </w:p>
        </w:tc>
        <w:tc>
          <w:tcPr>
            <w:tcW w:w="1276" w:type="dxa"/>
          </w:tcPr>
          <w:p w14:paraId="4419631C">
            <w:pPr>
              <w:jc w:val="center"/>
              <w:rPr>
                <w:rFonts w:cs="仿宋" w:asciiTheme="minorEastAsia" w:hAnsiTheme="minorEastAsia"/>
                <w:b/>
                <w:color w:val="auto"/>
                <w:kern w:val="0"/>
                <w:sz w:val="32"/>
                <w:szCs w:val="32"/>
                <w:highlight w:val="none"/>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DB3F13B">
            <w:pPr>
              <w:jc w:val="center"/>
              <w:rPr>
                <w:rFonts w:cs="仿宋" w:asciiTheme="minorEastAsia" w:hAnsiTheme="minorEastAsia"/>
                <w:b/>
                <w:color w:val="auto"/>
                <w:kern w:val="0"/>
                <w:sz w:val="32"/>
                <w:szCs w:val="32"/>
                <w:highlight w:val="none"/>
              </w:rPr>
            </w:pPr>
          </w:p>
        </w:tc>
        <w:tc>
          <w:tcPr>
            <w:tcW w:w="3546" w:type="dxa"/>
          </w:tcPr>
          <w:p w14:paraId="29DE280E">
            <w:pPr>
              <w:jc w:val="center"/>
              <w:rPr>
                <w:rFonts w:cs="仿宋" w:asciiTheme="minorEastAsia" w:hAnsiTheme="minorEastAsia"/>
                <w:b/>
                <w:color w:val="auto"/>
                <w:kern w:val="0"/>
                <w:sz w:val="32"/>
                <w:szCs w:val="32"/>
                <w:highlight w:val="none"/>
              </w:rPr>
            </w:pPr>
          </w:p>
        </w:tc>
        <w:tc>
          <w:tcPr>
            <w:tcW w:w="1276" w:type="dxa"/>
          </w:tcPr>
          <w:p w14:paraId="66D5B587">
            <w:pPr>
              <w:jc w:val="center"/>
              <w:rPr>
                <w:rFonts w:cs="仿宋" w:asciiTheme="minorEastAsia" w:hAnsiTheme="minorEastAsia"/>
                <w:b/>
                <w:color w:val="auto"/>
                <w:kern w:val="0"/>
                <w:sz w:val="32"/>
                <w:szCs w:val="32"/>
                <w:highlight w:val="none"/>
              </w:rPr>
            </w:pPr>
          </w:p>
        </w:tc>
      </w:tr>
    </w:tbl>
    <w:p w14:paraId="29C4B503">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76EF8A6E">
      <w:pPr>
        <w:jc w:val="center"/>
        <w:rPr>
          <w:rFonts w:cs="仿宋" w:asciiTheme="minorEastAsia" w:hAnsiTheme="minorEastAsia"/>
          <w:b/>
          <w:color w:val="auto"/>
          <w:kern w:val="0"/>
          <w:sz w:val="32"/>
          <w:szCs w:val="32"/>
          <w:highlight w:val="none"/>
        </w:rPr>
      </w:pPr>
    </w:p>
    <w:p w14:paraId="6D48CB07">
      <w:pPr>
        <w:jc w:val="center"/>
        <w:rPr>
          <w:rFonts w:hint="eastAsia" w:cs="仿宋" w:asciiTheme="minorEastAsia" w:hAnsiTheme="minorEastAsia"/>
          <w:b/>
          <w:color w:val="auto"/>
          <w:kern w:val="0"/>
          <w:sz w:val="32"/>
          <w:szCs w:val="32"/>
          <w:highlight w:val="none"/>
        </w:rPr>
      </w:pPr>
    </w:p>
    <w:p w14:paraId="4E422CD4">
      <w:pPr>
        <w:jc w:val="center"/>
        <w:rPr>
          <w:rFonts w:hint="eastAsia" w:cs="仿宋" w:asciiTheme="minorEastAsia" w:hAnsiTheme="minorEastAsia"/>
          <w:b/>
          <w:color w:val="auto"/>
          <w:kern w:val="0"/>
          <w:sz w:val="32"/>
          <w:szCs w:val="32"/>
          <w:highlight w:val="none"/>
        </w:rPr>
      </w:pPr>
    </w:p>
    <w:p w14:paraId="60492296">
      <w:pPr>
        <w:jc w:val="center"/>
        <w:rPr>
          <w:rFonts w:hint="eastAsia" w:cs="仿宋" w:asciiTheme="minorEastAsia" w:hAnsiTheme="minorEastAsia"/>
          <w:b/>
          <w:color w:val="auto"/>
          <w:kern w:val="0"/>
          <w:sz w:val="32"/>
          <w:szCs w:val="32"/>
          <w:highlight w:val="none"/>
        </w:rPr>
      </w:pPr>
    </w:p>
    <w:p w14:paraId="31105165">
      <w:pPr>
        <w:jc w:val="center"/>
        <w:rPr>
          <w:rFonts w:hint="eastAsia" w:cs="仿宋" w:asciiTheme="minorEastAsia" w:hAnsiTheme="minorEastAsia"/>
          <w:b/>
          <w:color w:val="auto"/>
          <w:kern w:val="0"/>
          <w:sz w:val="32"/>
          <w:szCs w:val="32"/>
          <w:highlight w:val="none"/>
        </w:rPr>
      </w:pPr>
    </w:p>
    <w:p w14:paraId="05128952">
      <w:pPr>
        <w:jc w:val="center"/>
        <w:rPr>
          <w:rFonts w:hint="eastAsia" w:cs="仿宋" w:asciiTheme="minorEastAsia" w:hAnsiTheme="minorEastAsia"/>
          <w:b/>
          <w:color w:val="auto"/>
          <w:kern w:val="0"/>
          <w:sz w:val="32"/>
          <w:szCs w:val="32"/>
          <w:highlight w:val="none"/>
        </w:rPr>
      </w:pPr>
    </w:p>
    <w:p w14:paraId="73998E0C">
      <w:pPr>
        <w:jc w:val="center"/>
        <w:rPr>
          <w:rFonts w:hint="eastAsia" w:cs="仿宋" w:asciiTheme="minorEastAsia" w:hAnsiTheme="minorEastAsia"/>
          <w:b/>
          <w:color w:val="auto"/>
          <w:kern w:val="0"/>
          <w:sz w:val="32"/>
          <w:szCs w:val="32"/>
          <w:highlight w:val="none"/>
        </w:rPr>
      </w:pPr>
    </w:p>
    <w:p w14:paraId="5D4DA01E">
      <w:pPr>
        <w:jc w:val="center"/>
        <w:rPr>
          <w:rFonts w:hint="eastAsia" w:cs="仿宋" w:asciiTheme="minorEastAsia" w:hAnsiTheme="minorEastAsia"/>
          <w:b/>
          <w:color w:val="auto"/>
          <w:kern w:val="0"/>
          <w:sz w:val="32"/>
          <w:szCs w:val="32"/>
          <w:highlight w:val="none"/>
        </w:rPr>
      </w:pPr>
    </w:p>
    <w:p w14:paraId="1A008027">
      <w:pPr>
        <w:jc w:val="center"/>
        <w:rPr>
          <w:rFonts w:hint="eastAsia" w:cs="仿宋" w:asciiTheme="minorEastAsia" w:hAnsiTheme="minorEastAsia"/>
          <w:b/>
          <w:color w:val="auto"/>
          <w:kern w:val="0"/>
          <w:sz w:val="32"/>
          <w:szCs w:val="32"/>
          <w:highlight w:val="none"/>
        </w:rPr>
      </w:pPr>
    </w:p>
    <w:p w14:paraId="2FC12A4D">
      <w:pPr>
        <w:jc w:val="center"/>
        <w:rPr>
          <w:rFonts w:hint="eastAsia" w:cs="仿宋" w:asciiTheme="minorEastAsia" w:hAnsiTheme="minorEastAsia"/>
          <w:b/>
          <w:color w:val="auto"/>
          <w:kern w:val="0"/>
          <w:sz w:val="32"/>
          <w:szCs w:val="32"/>
          <w:highlight w:val="none"/>
        </w:rPr>
      </w:pPr>
    </w:p>
    <w:p w14:paraId="1E07DCA7">
      <w:pPr>
        <w:jc w:val="center"/>
        <w:rPr>
          <w:rFonts w:hint="eastAsia" w:cs="仿宋" w:asciiTheme="minorEastAsia" w:hAnsiTheme="minorEastAsia"/>
          <w:b/>
          <w:color w:val="auto"/>
          <w:kern w:val="0"/>
          <w:sz w:val="32"/>
          <w:szCs w:val="32"/>
          <w:highlight w:val="none"/>
        </w:rPr>
      </w:pPr>
    </w:p>
    <w:p w14:paraId="1E9D03B8">
      <w:pPr>
        <w:jc w:val="center"/>
        <w:rPr>
          <w:rFonts w:hint="eastAsia" w:cs="仿宋" w:asciiTheme="minorEastAsia" w:hAnsiTheme="minorEastAsia"/>
          <w:b/>
          <w:color w:val="auto"/>
          <w:kern w:val="0"/>
          <w:sz w:val="32"/>
          <w:szCs w:val="32"/>
          <w:highlight w:val="none"/>
        </w:rPr>
      </w:pPr>
    </w:p>
    <w:p w14:paraId="4B23A3AC">
      <w:pPr>
        <w:jc w:val="center"/>
        <w:rPr>
          <w:rFonts w:hint="eastAsia" w:cs="仿宋" w:asciiTheme="minorEastAsia" w:hAnsiTheme="minorEastAsia"/>
          <w:b/>
          <w:color w:val="auto"/>
          <w:kern w:val="0"/>
          <w:sz w:val="32"/>
          <w:szCs w:val="32"/>
          <w:highlight w:val="none"/>
        </w:rPr>
      </w:pPr>
    </w:p>
    <w:p w14:paraId="782647E8">
      <w:pPr>
        <w:jc w:val="center"/>
        <w:rPr>
          <w:rFonts w:hint="eastAsia" w:cs="仿宋" w:asciiTheme="minorEastAsia" w:hAnsiTheme="minorEastAsia"/>
          <w:b/>
          <w:color w:val="auto"/>
          <w:kern w:val="0"/>
          <w:sz w:val="32"/>
          <w:szCs w:val="32"/>
          <w:highlight w:val="none"/>
        </w:rPr>
      </w:pPr>
    </w:p>
    <w:p w14:paraId="6D28A305">
      <w:pPr>
        <w:jc w:val="center"/>
        <w:rPr>
          <w:rFonts w:hint="eastAsia" w:cs="仿宋" w:asciiTheme="minorEastAsia" w:hAnsiTheme="minorEastAsia"/>
          <w:b/>
          <w:color w:val="auto"/>
          <w:kern w:val="0"/>
          <w:sz w:val="32"/>
          <w:szCs w:val="32"/>
          <w:highlight w:val="none"/>
        </w:rPr>
      </w:pPr>
    </w:p>
    <w:p w14:paraId="6F20A963">
      <w:pPr>
        <w:jc w:val="center"/>
        <w:rPr>
          <w:rFonts w:hint="eastAsia" w:cs="仿宋" w:asciiTheme="minorEastAsia" w:hAnsiTheme="minorEastAsia"/>
          <w:b/>
          <w:color w:val="auto"/>
          <w:kern w:val="0"/>
          <w:sz w:val="32"/>
          <w:szCs w:val="32"/>
          <w:highlight w:val="none"/>
        </w:rPr>
      </w:pPr>
    </w:p>
    <w:p w14:paraId="64F89E23">
      <w:pPr>
        <w:jc w:val="center"/>
        <w:rPr>
          <w:rFonts w:hint="eastAsia" w:cs="仿宋" w:asciiTheme="minorEastAsia" w:hAnsiTheme="minorEastAsia"/>
          <w:b/>
          <w:color w:val="auto"/>
          <w:kern w:val="0"/>
          <w:sz w:val="32"/>
          <w:szCs w:val="32"/>
          <w:highlight w:val="none"/>
        </w:rPr>
      </w:pPr>
    </w:p>
    <w:p w14:paraId="32C50CA0">
      <w:pPr>
        <w:jc w:val="center"/>
        <w:rPr>
          <w:rFonts w:hint="eastAsia" w:cs="仿宋" w:asciiTheme="minorEastAsia" w:hAnsiTheme="minorEastAsia"/>
          <w:b/>
          <w:color w:val="auto"/>
          <w:kern w:val="0"/>
          <w:sz w:val="32"/>
          <w:szCs w:val="32"/>
          <w:highlight w:val="none"/>
        </w:rPr>
      </w:pPr>
    </w:p>
    <w:p w14:paraId="501A7B16">
      <w:pPr>
        <w:jc w:val="center"/>
        <w:rPr>
          <w:rFonts w:hint="eastAsia" w:cs="仿宋" w:asciiTheme="minorEastAsia" w:hAnsiTheme="minorEastAsia"/>
          <w:b/>
          <w:color w:val="auto"/>
          <w:kern w:val="0"/>
          <w:sz w:val="32"/>
          <w:szCs w:val="32"/>
          <w:highlight w:val="none"/>
        </w:rPr>
      </w:pPr>
    </w:p>
    <w:p w14:paraId="33C962E7">
      <w:pPr>
        <w:jc w:val="center"/>
        <w:rPr>
          <w:rFonts w:hint="eastAsia" w:cs="仿宋" w:asciiTheme="minorEastAsia" w:hAnsiTheme="minorEastAsia"/>
          <w:b/>
          <w:color w:val="auto"/>
          <w:kern w:val="0"/>
          <w:sz w:val="32"/>
          <w:szCs w:val="32"/>
          <w:highlight w:val="none"/>
        </w:rPr>
      </w:pPr>
    </w:p>
    <w:p w14:paraId="30FE543E">
      <w:pPr>
        <w:jc w:val="center"/>
        <w:rPr>
          <w:rFonts w:hint="eastAsia" w:cs="仿宋" w:asciiTheme="minorEastAsia" w:hAnsiTheme="minorEastAsia"/>
          <w:b/>
          <w:color w:val="auto"/>
          <w:kern w:val="0"/>
          <w:sz w:val="32"/>
          <w:szCs w:val="32"/>
          <w:highlight w:val="none"/>
        </w:rPr>
      </w:pPr>
    </w:p>
    <w:p w14:paraId="26C56946">
      <w:pPr>
        <w:jc w:val="center"/>
        <w:rPr>
          <w:rFonts w:hint="eastAsia" w:cs="仿宋" w:asciiTheme="minorEastAsia" w:hAnsiTheme="minorEastAsia"/>
          <w:b/>
          <w:color w:val="auto"/>
          <w:kern w:val="0"/>
          <w:sz w:val="32"/>
          <w:szCs w:val="32"/>
          <w:highlight w:val="none"/>
        </w:rPr>
      </w:pPr>
    </w:p>
    <w:p w14:paraId="70B5AE99">
      <w:pPr>
        <w:jc w:val="center"/>
        <w:rPr>
          <w:rFonts w:hint="eastAsia" w:cs="仿宋" w:asciiTheme="minorEastAsia" w:hAnsiTheme="minorEastAsia"/>
          <w:b/>
          <w:color w:val="auto"/>
          <w:kern w:val="0"/>
          <w:sz w:val="32"/>
          <w:szCs w:val="32"/>
          <w:highlight w:val="none"/>
        </w:rPr>
      </w:pPr>
    </w:p>
    <w:p w14:paraId="56452CEE">
      <w:pPr>
        <w:jc w:val="center"/>
        <w:rPr>
          <w:rFonts w:hint="eastAsia" w:cs="仿宋" w:asciiTheme="minorEastAsia" w:hAnsiTheme="minorEastAsia"/>
          <w:b/>
          <w:color w:val="auto"/>
          <w:kern w:val="0"/>
          <w:sz w:val="32"/>
          <w:szCs w:val="32"/>
          <w:highlight w:val="none"/>
        </w:rPr>
      </w:pPr>
    </w:p>
    <w:p w14:paraId="1F74BB2F">
      <w:pPr>
        <w:jc w:val="center"/>
        <w:rPr>
          <w:rFonts w:hint="eastAsia" w:cs="仿宋" w:asciiTheme="minorEastAsia" w:hAnsiTheme="minorEastAsia"/>
          <w:b/>
          <w:color w:val="auto"/>
          <w:kern w:val="0"/>
          <w:sz w:val="32"/>
          <w:szCs w:val="32"/>
          <w:highlight w:val="none"/>
        </w:rPr>
      </w:pPr>
    </w:p>
    <w:p w14:paraId="774C49A6">
      <w:pPr>
        <w:jc w:val="center"/>
        <w:rPr>
          <w:rFonts w:hint="eastAsia" w:cs="仿宋" w:asciiTheme="minorEastAsia" w:hAnsiTheme="minorEastAsia"/>
          <w:b/>
          <w:color w:val="auto"/>
          <w:kern w:val="0"/>
          <w:sz w:val="32"/>
          <w:szCs w:val="32"/>
          <w:highlight w:val="none"/>
        </w:rPr>
      </w:pPr>
    </w:p>
    <w:p w14:paraId="0233C420">
      <w:pPr>
        <w:jc w:val="center"/>
        <w:rPr>
          <w:rFonts w:hint="eastAsia" w:cs="仿宋" w:asciiTheme="minorEastAsia" w:hAnsiTheme="minorEastAsia"/>
          <w:b/>
          <w:color w:val="auto"/>
          <w:kern w:val="0"/>
          <w:sz w:val="32"/>
          <w:szCs w:val="32"/>
          <w:highlight w:val="none"/>
        </w:rPr>
      </w:pPr>
    </w:p>
    <w:p w14:paraId="5A8D9F25">
      <w:pPr>
        <w:jc w:val="center"/>
        <w:rPr>
          <w:rFonts w:hint="eastAsia" w:cs="仿宋" w:asciiTheme="minorEastAsia" w:hAnsiTheme="minorEastAsia"/>
          <w:b/>
          <w:color w:val="auto"/>
          <w:kern w:val="0"/>
          <w:sz w:val="32"/>
          <w:szCs w:val="32"/>
          <w:highlight w:val="none"/>
        </w:rPr>
      </w:pPr>
    </w:p>
    <w:p w14:paraId="662E147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289108E">
      <w:pPr>
        <w:snapToGrid w:val="0"/>
        <w:spacing w:line="360" w:lineRule="auto"/>
        <w:rPr>
          <w:rFonts w:cs="仿宋" w:asciiTheme="minorEastAsia" w:hAnsiTheme="minorEastAsia"/>
          <w:color w:val="auto"/>
          <w:sz w:val="24"/>
          <w:highlight w:val="none"/>
        </w:rPr>
      </w:pPr>
    </w:p>
    <w:p w14:paraId="4E80080A">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highlight w:val="none"/>
          <w:lang w:val="zh-CN"/>
        </w:rPr>
      </w:pPr>
    </w:p>
    <w:p w14:paraId="3D71D43A">
      <w:pPr>
        <w:autoSpaceDE w:val="0"/>
        <w:autoSpaceDN w:val="0"/>
        <w:spacing w:line="360" w:lineRule="auto"/>
        <w:ind w:left="2"/>
        <w:jc w:val="left"/>
        <w:rPr>
          <w:rFonts w:cs="仿宋" w:asciiTheme="minorEastAsia" w:hAnsiTheme="minorEastAsia"/>
          <w:color w:val="auto"/>
          <w:kern w:val="0"/>
          <w:sz w:val="24"/>
          <w:highlight w:val="none"/>
          <w:lang w:val="zh-CN"/>
        </w:rPr>
      </w:pPr>
    </w:p>
    <w:p w14:paraId="1336C8BF">
      <w:pPr>
        <w:autoSpaceDE w:val="0"/>
        <w:autoSpaceDN w:val="0"/>
        <w:spacing w:line="360" w:lineRule="auto"/>
        <w:ind w:left="2"/>
        <w:jc w:val="left"/>
        <w:rPr>
          <w:rFonts w:cs="仿宋" w:asciiTheme="minorEastAsia" w:hAnsiTheme="minorEastAsia"/>
          <w:color w:val="auto"/>
          <w:kern w:val="0"/>
          <w:sz w:val="24"/>
          <w:highlight w:val="none"/>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E7CCEB">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3F72E19">
      <w:pPr>
        <w:pStyle w:val="6"/>
        <w:rPr>
          <w:color w:val="auto"/>
          <w:highlight w:val="none"/>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B893038">
      <w:pPr>
        <w:pStyle w:val="11"/>
        <w:widowControl w:val="0"/>
        <w:numPr>
          <w:ilvl w:val="0"/>
          <w:numId w:val="0"/>
        </w:numPr>
        <w:jc w:val="left"/>
        <w:rPr>
          <w:rFonts w:hint="eastAsia"/>
          <w:color w:val="auto"/>
          <w:highlight w:val="none"/>
          <w:lang w:val="zh-CN"/>
        </w:rPr>
      </w:pPr>
    </w:p>
    <w:p w14:paraId="62D40033">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4D2049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12E2CC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highlight w:val="none"/>
              </w:rPr>
            </w:pPr>
          </w:p>
        </w:tc>
        <w:tc>
          <w:tcPr>
            <w:tcW w:w="2482" w:type="dxa"/>
          </w:tcPr>
          <w:p w14:paraId="17AB2A8C">
            <w:pPr>
              <w:spacing w:line="360" w:lineRule="auto"/>
              <w:rPr>
                <w:rFonts w:hint="eastAsia" w:ascii="宋体" w:hAnsi="宋体" w:eastAsia="宋体" w:cs="宋体"/>
                <w:b/>
                <w:color w:val="auto"/>
                <w:kern w:val="0"/>
                <w:sz w:val="24"/>
                <w:szCs w:val="24"/>
                <w:highlight w:val="none"/>
              </w:rPr>
            </w:pPr>
          </w:p>
        </w:tc>
        <w:tc>
          <w:tcPr>
            <w:tcW w:w="2881" w:type="dxa"/>
          </w:tcPr>
          <w:p w14:paraId="2083F8A4">
            <w:pPr>
              <w:spacing w:line="360" w:lineRule="auto"/>
              <w:rPr>
                <w:rFonts w:hint="eastAsia" w:ascii="宋体" w:hAnsi="宋体" w:eastAsia="宋体" w:cs="宋体"/>
                <w:b/>
                <w:color w:val="auto"/>
                <w:kern w:val="0"/>
                <w:sz w:val="24"/>
                <w:szCs w:val="24"/>
                <w:highlight w:val="none"/>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highlight w:val="none"/>
              </w:rPr>
            </w:pPr>
          </w:p>
        </w:tc>
        <w:tc>
          <w:tcPr>
            <w:tcW w:w="2482" w:type="dxa"/>
          </w:tcPr>
          <w:p w14:paraId="068F2C4E">
            <w:pPr>
              <w:spacing w:line="360" w:lineRule="auto"/>
              <w:rPr>
                <w:rFonts w:hint="eastAsia" w:ascii="宋体" w:hAnsi="宋体" w:eastAsia="宋体" w:cs="宋体"/>
                <w:b/>
                <w:color w:val="auto"/>
                <w:kern w:val="0"/>
                <w:sz w:val="24"/>
                <w:szCs w:val="24"/>
                <w:highlight w:val="none"/>
              </w:rPr>
            </w:pPr>
          </w:p>
        </w:tc>
        <w:tc>
          <w:tcPr>
            <w:tcW w:w="2881" w:type="dxa"/>
          </w:tcPr>
          <w:p w14:paraId="3C70E269">
            <w:pPr>
              <w:spacing w:line="360" w:lineRule="auto"/>
              <w:rPr>
                <w:rFonts w:hint="eastAsia" w:ascii="宋体" w:hAnsi="宋体" w:eastAsia="宋体" w:cs="宋体"/>
                <w:b/>
                <w:color w:val="auto"/>
                <w:kern w:val="0"/>
                <w:sz w:val="24"/>
                <w:szCs w:val="24"/>
                <w:highlight w:val="none"/>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44B11F44">
            <w:pPr>
              <w:spacing w:line="360" w:lineRule="auto"/>
              <w:rPr>
                <w:rFonts w:hint="eastAsia" w:ascii="宋体" w:hAnsi="宋体" w:eastAsia="宋体" w:cs="宋体"/>
                <w:b/>
                <w:color w:val="auto"/>
                <w:kern w:val="0"/>
                <w:sz w:val="24"/>
                <w:szCs w:val="24"/>
                <w:highlight w:val="none"/>
              </w:rPr>
            </w:pPr>
          </w:p>
        </w:tc>
        <w:tc>
          <w:tcPr>
            <w:tcW w:w="2881" w:type="dxa"/>
          </w:tcPr>
          <w:p w14:paraId="57EF65D3">
            <w:pPr>
              <w:spacing w:line="360" w:lineRule="auto"/>
              <w:rPr>
                <w:rFonts w:hint="eastAsia" w:ascii="宋体" w:hAnsi="宋体" w:eastAsia="宋体" w:cs="宋体"/>
                <w:b/>
                <w:color w:val="auto"/>
                <w:kern w:val="0"/>
                <w:sz w:val="24"/>
                <w:szCs w:val="24"/>
                <w:highlight w:val="none"/>
              </w:rPr>
            </w:pPr>
          </w:p>
        </w:tc>
      </w:tr>
    </w:tbl>
    <w:p w14:paraId="2FDECCDB">
      <w:pPr>
        <w:spacing w:line="360" w:lineRule="auto"/>
        <w:rPr>
          <w:rFonts w:hint="eastAsia" w:ascii="宋体" w:hAnsi="宋体" w:eastAsia="宋体" w:cs="宋体"/>
          <w:color w:val="auto"/>
          <w:kern w:val="0"/>
          <w:sz w:val="24"/>
          <w:szCs w:val="24"/>
          <w:highlight w:val="none"/>
          <w:lang w:eastAsia="zh-CN"/>
        </w:rPr>
      </w:pPr>
    </w:p>
    <w:p w14:paraId="09CBA369">
      <w:pPr>
        <w:spacing w:line="360" w:lineRule="auto"/>
        <w:rPr>
          <w:rFonts w:hint="eastAsia" w:ascii="宋体" w:hAnsi="宋体" w:eastAsia="宋体" w:cs="宋体"/>
          <w:color w:val="auto"/>
          <w:kern w:val="0"/>
          <w:sz w:val="24"/>
          <w:szCs w:val="24"/>
          <w:highlight w:val="none"/>
          <w:lang w:eastAsia="zh-CN"/>
        </w:rPr>
      </w:pPr>
    </w:p>
    <w:p w14:paraId="09042CB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E9B00E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9494434">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351F5211">
      <w:pPr>
        <w:spacing w:line="360" w:lineRule="auto"/>
        <w:rPr>
          <w:rFonts w:hint="eastAsia" w:ascii="宋体" w:hAnsi="宋体" w:eastAsia="宋体" w:cs="宋体"/>
          <w:b/>
          <w:bCs/>
          <w:color w:val="auto"/>
          <w:sz w:val="24"/>
          <w:szCs w:val="24"/>
          <w:highlight w:val="none"/>
        </w:rPr>
      </w:pPr>
    </w:p>
    <w:p w14:paraId="006EA3A4">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057EED7">
      <w:pPr>
        <w:pStyle w:val="11"/>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4767D9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highlight w:val="none"/>
              </w:rPr>
            </w:pPr>
          </w:p>
        </w:tc>
        <w:tc>
          <w:tcPr>
            <w:tcW w:w="5387" w:type="dxa"/>
            <w:vAlign w:val="center"/>
          </w:tcPr>
          <w:p w14:paraId="5405D7BB">
            <w:pPr>
              <w:spacing w:line="360" w:lineRule="auto"/>
              <w:rPr>
                <w:rFonts w:hint="eastAsia" w:ascii="宋体" w:hAnsi="宋体" w:eastAsia="宋体" w:cs="宋体"/>
                <w:b/>
                <w:color w:val="auto"/>
                <w:kern w:val="0"/>
                <w:sz w:val="24"/>
                <w:szCs w:val="24"/>
                <w:highlight w:val="none"/>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highlight w:val="none"/>
              </w:rPr>
            </w:pPr>
          </w:p>
        </w:tc>
        <w:tc>
          <w:tcPr>
            <w:tcW w:w="5387" w:type="dxa"/>
            <w:vAlign w:val="center"/>
          </w:tcPr>
          <w:p w14:paraId="1F0B1116">
            <w:pPr>
              <w:spacing w:line="360" w:lineRule="auto"/>
              <w:rPr>
                <w:rFonts w:hint="eastAsia" w:ascii="宋体" w:hAnsi="宋体" w:eastAsia="宋体" w:cs="宋体"/>
                <w:b/>
                <w:color w:val="auto"/>
                <w:kern w:val="0"/>
                <w:sz w:val="24"/>
                <w:szCs w:val="24"/>
                <w:highlight w:val="none"/>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26CBD4AD">
            <w:pPr>
              <w:spacing w:line="360" w:lineRule="auto"/>
              <w:rPr>
                <w:rFonts w:hint="eastAsia" w:ascii="宋体" w:hAnsi="宋体" w:eastAsia="宋体" w:cs="宋体"/>
                <w:b/>
                <w:color w:val="auto"/>
                <w:kern w:val="0"/>
                <w:sz w:val="24"/>
                <w:szCs w:val="24"/>
                <w:highlight w:val="none"/>
              </w:rPr>
            </w:pPr>
          </w:p>
        </w:tc>
      </w:tr>
    </w:tbl>
    <w:p w14:paraId="3B769E5B">
      <w:pPr>
        <w:spacing w:line="360" w:lineRule="auto"/>
        <w:rPr>
          <w:rFonts w:hint="eastAsia" w:ascii="宋体" w:hAnsi="宋体" w:eastAsia="宋体" w:cs="宋体"/>
          <w:color w:val="auto"/>
          <w:kern w:val="0"/>
          <w:sz w:val="24"/>
          <w:szCs w:val="24"/>
          <w:highlight w:val="none"/>
          <w:lang w:eastAsia="zh-CN"/>
        </w:rPr>
      </w:pPr>
    </w:p>
    <w:p w14:paraId="022314C2">
      <w:pPr>
        <w:spacing w:line="360" w:lineRule="auto"/>
        <w:rPr>
          <w:rFonts w:hint="eastAsia" w:ascii="宋体" w:hAnsi="宋体" w:eastAsia="宋体" w:cs="宋体"/>
          <w:color w:val="auto"/>
          <w:kern w:val="0"/>
          <w:sz w:val="24"/>
          <w:szCs w:val="24"/>
          <w:highlight w:val="none"/>
          <w:lang w:eastAsia="zh-CN"/>
        </w:rPr>
      </w:pPr>
    </w:p>
    <w:p w14:paraId="6FA7DF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A49C90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AD11967">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23A6D5AD">
      <w:pPr>
        <w:spacing w:line="360" w:lineRule="auto"/>
        <w:rPr>
          <w:rFonts w:hint="eastAsia" w:ascii="宋体" w:hAnsi="宋体" w:eastAsia="宋体" w:cs="宋体"/>
          <w:b/>
          <w:color w:val="auto"/>
          <w:kern w:val="0"/>
          <w:sz w:val="24"/>
          <w:szCs w:val="24"/>
          <w:highlight w:val="none"/>
        </w:rPr>
      </w:pPr>
    </w:p>
    <w:p w14:paraId="14521F03">
      <w:pPr>
        <w:spacing w:line="360" w:lineRule="auto"/>
        <w:rPr>
          <w:rFonts w:hint="eastAsia" w:ascii="宋体" w:hAnsi="宋体" w:eastAsia="宋体" w:cs="宋体"/>
          <w:b/>
          <w:color w:val="auto"/>
          <w:kern w:val="0"/>
          <w:sz w:val="24"/>
          <w:szCs w:val="24"/>
          <w:highlight w:val="none"/>
        </w:rPr>
      </w:pPr>
    </w:p>
    <w:p w14:paraId="18060D8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10292B8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ADF56CE">
      <w:pPr>
        <w:spacing w:line="360" w:lineRule="auto"/>
        <w:rPr>
          <w:rFonts w:cs="仿宋" w:asciiTheme="minorEastAsia" w:hAnsiTheme="minorEastAsia"/>
          <w:b/>
          <w:color w:val="auto"/>
          <w:kern w:val="0"/>
          <w:sz w:val="32"/>
          <w:szCs w:val="32"/>
          <w:highlight w:val="none"/>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26B73060">
      <w:pPr>
        <w:spacing w:line="360" w:lineRule="auto"/>
        <w:jc w:val="both"/>
        <w:outlineLvl w:val="0"/>
        <w:rPr>
          <w:rFonts w:hint="eastAsia" w:cs="仿宋" w:asciiTheme="minorEastAsia" w:hAnsiTheme="minorEastAsia"/>
          <w:b/>
          <w:color w:val="auto"/>
          <w:kern w:val="0"/>
          <w:sz w:val="36"/>
          <w:szCs w:val="36"/>
          <w:highlight w:val="none"/>
        </w:rPr>
      </w:pPr>
    </w:p>
    <w:p w14:paraId="0CA66CC9">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0A1F324">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2025-2026年供应链管理平台系统采购项目（第二次）</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的报</w:t>
      </w:r>
      <w:r>
        <w:rPr>
          <w:rFonts w:hint="eastAsia" w:ascii="宋体" w:hAnsi="宋体" w:eastAsia="宋体" w:cs="宋体"/>
          <w:color w:val="auto"/>
          <w:sz w:val="24"/>
          <w:szCs w:val="24"/>
          <w:highlight w:val="none"/>
        </w:rPr>
        <w:t>价</w:t>
      </w:r>
      <w:r>
        <w:rPr>
          <w:rFonts w:hint="eastAsia" w:ascii="宋体" w:hAnsi="宋体" w:eastAsia="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注：本报价仅为供应链管理平台系统费用，不含10年维保费用</w:t>
      </w:r>
      <w:r>
        <w:rPr>
          <w:rFonts w:hint="eastAsia" w:ascii="宋体" w:hAnsi="宋体" w:eastAsia="宋体" w:cs="宋体"/>
          <w:b/>
          <w:bCs/>
          <w:color w:val="0000FF"/>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61D20F4">
      <w:pPr>
        <w:pStyle w:val="6"/>
        <w:adjustRightInd w:val="0"/>
        <w:spacing w:after="0" w:line="360" w:lineRule="auto"/>
        <w:ind w:firstLine="480" w:firstLineChars="200"/>
        <w:jc w:val="left"/>
        <w:rPr>
          <w:rFonts w:hint="eastAsia" w:ascii="宋体" w:hAnsi="宋体" w:cs="宋体"/>
          <w:color w:val="auto"/>
          <w:szCs w:val="21"/>
          <w:highlight w:val="none"/>
        </w:rPr>
      </w:pPr>
    </w:p>
    <w:p w14:paraId="5E728812">
      <w:pPr>
        <w:pStyle w:val="6"/>
        <w:adjustRightInd w:val="0"/>
        <w:spacing w:after="0" w:line="360" w:lineRule="auto"/>
        <w:ind w:firstLine="480" w:firstLineChars="200"/>
        <w:jc w:val="left"/>
        <w:rPr>
          <w:rFonts w:hint="eastAsia" w:ascii="宋体" w:hAnsi="宋体" w:cs="宋体"/>
          <w:color w:val="auto"/>
          <w:szCs w:val="21"/>
          <w:highlight w:val="none"/>
        </w:rPr>
      </w:pPr>
    </w:p>
    <w:p w14:paraId="1D5052E0">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53052B97">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4462AFF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0FE98ABD">
      <w:pPr>
        <w:rPr>
          <w:rFonts w:hint="eastAsia" w:ascii="宋体" w:hAnsi="宋体" w:cs="宋体" w:eastAsiaTheme="minorEastAsia"/>
          <w:snapToGrid w:val="0"/>
          <w:color w:val="auto"/>
          <w:kern w:val="2"/>
          <w:sz w:val="24"/>
          <w:szCs w:val="21"/>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eastAsiaTheme="minorEastAsia"/>
          <w:snapToGrid w:val="0"/>
          <w:color w:val="auto"/>
          <w:kern w:val="2"/>
          <w:sz w:val="24"/>
          <w:szCs w:val="21"/>
          <w:highlight w:val="none"/>
          <w:lang w:val="zh-CN" w:eastAsia="zh-CN" w:bidi="ar-SA"/>
        </w:rPr>
        <w:t>日 期 ： 年 月</w:t>
      </w:r>
      <w:r>
        <w:rPr>
          <w:rFonts w:hint="eastAsia" w:ascii="宋体" w:hAnsi="宋体" w:cs="宋体" w:eastAsiaTheme="minorEastAsia"/>
          <w:snapToGrid w:val="0"/>
          <w:color w:val="auto"/>
          <w:kern w:val="2"/>
          <w:sz w:val="24"/>
          <w:szCs w:val="21"/>
          <w:highlight w:val="none"/>
          <w:lang w:val="en-US" w:eastAsia="zh-CN" w:bidi="ar-SA"/>
        </w:rPr>
        <w:t xml:space="preserve"> 日</w:t>
      </w:r>
      <w:bookmarkStart w:id="497" w:name="_GoBack"/>
      <w:bookmarkEnd w:id="497"/>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9D0A1F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2025-2026年供应链管理平台系统采购项目（第二次）</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8363DA3">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en-US" w:eastAsia="zh-CN"/>
        </w:rPr>
        <w:t xml:space="preserve">表1：  </w:t>
      </w:r>
      <w:r>
        <w:rPr>
          <w:rFonts w:hint="eastAsia" w:cs="仿宋" w:asciiTheme="minorEastAsia" w:hAnsiTheme="minorEastAsia"/>
          <w:b/>
          <w:color w:val="auto"/>
          <w:kern w:val="0"/>
          <w:sz w:val="24"/>
          <w:highlight w:val="none"/>
          <w:lang w:val="zh-CN"/>
        </w:rPr>
        <w:t>响应报价明细表(单位均为人民币元)</w:t>
      </w:r>
    </w:p>
    <w:tbl>
      <w:tblPr>
        <w:tblStyle w:val="16"/>
        <w:tblW w:w="12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968"/>
        <w:gridCol w:w="1419"/>
        <w:gridCol w:w="1230"/>
        <w:gridCol w:w="1633"/>
        <w:gridCol w:w="1828"/>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927" w:type="dxa"/>
            <w:vAlign w:val="center"/>
          </w:tcPr>
          <w:p w14:paraId="41EFB62C">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1968" w:type="dxa"/>
            <w:vAlign w:val="center"/>
          </w:tcPr>
          <w:p w14:paraId="7A0587D3">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1419" w:type="dxa"/>
            <w:vAlign w:val="center"/>
          </w:tcPr>
          <w:p w14:paraId="006673CC">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14:paraId="5434C9B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633" w:type="dxa"/>
            <w:vAlign w:val="center"/>
          </w:tcPr>
          <w:p w14:paraId="7B2D6D4A">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828" w:type="dxa"/>
            <w:vAlign w:val="center"/>
          </w:tcPr>
          <w:p w14:paraId="615A6C1A">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u w:val="none"/>
                <w:lang w:eastAsia="zh-CN"/>
              </w:rPr>
              <w:t>供应链管理平台系统</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1968" w:type="dxa"/>
            <w:vAlign w:val="center"/>
          </w:tcPr>
          <w:p w14:paraId="3B2AAFCB">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套</w:t>
            </w:r>
          </w:p>
        </w:tc>
        <w:tc>
          <w:tcPr>
            <w:tcW w:w="1419" w:type="dxa"/>
            <w:vAlign w:val="center"/>
          </w:tcPr>
          <w:p w14:paraId="5F5AFF5E">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p>
        </w:tc>
        <w:tc>
          <w:tcPr>
            <w:tcW w:w="1230" w:type="dxa"/>
            <w:vAlign w:val="center"/>
          </w:tcPr>
          <w:p w14:paraId="617C1419">
            <w:pPr>
              <w:spacing w:line="360" w:lineRule="auto"/>
              <w:jc w:val="center"/>
              <w:rPr>
                <w:rFonts w:cs="仿宋" w:asciiTheme="minorEastAsia" w:hAnsiTheme="minorEastAsia"/>
                <w:color w:val="auto"/>
                <w:sz w:val="24"/>
                <w:highlight w:val="none"/>
              </w:rPr>
            </w:pPr>
          </w:p>
        </w:tc>
        <w:tc>
          <w:tcPr>
            <w:tcW w:w="1633" w:type="dxa"/>
            <w:vAlign w:val="center"/>
          </w:tcPr>
          <w:p w14:paraId="7DBD9E08">
            <w:pPr>
              <w:spacing w:line="360" w:lineRule="auto"/>
              <w:jc w:val="center"/>
              <w:rPr>
                <w:rFonts w:cs="仿宋" w:asciiTheme="minorEastAsia" w:hAnsiTheme="minorEastAsia"/>
                <w:color w:val="auto"/>
                <w:sz w:val="24"/>
                <w:highlight w:val="none"/>
              </w:rPr>
            </w:pPr>
          </w:p>
        </w:tc>
        <w:tc>
          <w:tcPr>
            <w:tcW w:w="1828" w:type="dxa"/>
            <w:vAlign w:val="center"/>
          </w:tcPr>
          <w:p w14:paraId="270198FB">
            <w:pPr>
              <w:spacing w:line="360" w:lineRule="auto"/>
              <w:jc w:val="center"/>
              <w:rPr>
                <w:rFonts w:cs="仿宋" w:asciiTheme="minorEastAsia" w:hAnsiTheme="minorEastAsia"/>
                <w:color w:val="auto"/>
                <w:sz w:val="24"/>
                <w:highlight w:val="none"/>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8078" w:type="dxa"/>
            <w:gridSpan w:val="5"/>
            <w:vAlign w:val="center"/>
          </w:tcPr>
          <w:p w14:paraId="54F0AB74">
            <w:pPr>
              <w:spacing w:line="360" w:lineRule="auto"/>
              <w:jc w:val="center"/>
              <w:rPr>
                <w:rFonts w:cs="仿宋" w:asciiTheme="minorEastAsia" w:hAnsiTheme="minorEastAsia"/>
                <w:color w:val="auto"/>
                <w:sz w:val="24"/>
                <w:highlight w:val="none"/>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8078" w:type="dxa"/>
            <w:gridSpan w:val="5"/>
            <w:vAlign w:val="center"/>
          </w:tcPr>
          <w:p w14:paraId="6D6CC8C5">
            <w:pPr>
              <w:spacing w:line="360" w:lineRule="auto"/>
              <w:jc w:val="center"/>
              <w:rPr>
                <w:rFonts w:cs="仿宋" w:asciiTheme="minorEastAsia" w:hAnsiTheme="minorEastAsia"/>
                <w:color w:val="auto"/>
                <w:sz w:val="24"/>
                <w:highlight w:val="none"/>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8078" w:type="dxa"/>
            <w:gridSpan w:val="5"/>
            <w:vAlign w:val="center"/>
          </w:tcPr>
          <w:p w14:paraId="5C2EF2C8">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3C75DB50">
      <w:pPr>
        <w:snapToGrid w:val="0"/>
        <w:spacing w:line="360" w:lineRule="auto"/>
        <w:ind w:left="480"/>
        <w:rPr>
          <w:rFonts w:hint="eastAsia" w:cs="仿宋" w:asciiTheme="minorEastAsia" w:hAnsiTheme="minorEastAsia"/>
          <w:b/>
          <w:color w:val="auto"/>
          <w:kern w:val="0"/>
          <w:sz w:val="24"/>
          <w:highlight w:val="none"/>
          <w:lang w:val="zh-CN"/>
        </w:rPr>
      </w:pPr>
    </w:p>
    <w:p w14:paraId="75FB2EDB">
      <w:pPr>
        <w:snapToGrid w:val="0"/>
        <w:spacing w:line="360" w:lineRule="auto"/>
        <w:ind w:left="480"/>
        <w:rPr>
          <w:rFonts w:hint="eastAsia" w:cs="仿宋" w:asciiTheme="minorEastAsia" w:hAnsiTheme="minorEastAsia"/>
          <w:b/>
          <w:color w:val="auto"/>
          <w:kern w:val="0"/>
          <w:sz w:val="24"/>
          <w:highlight w:val="none"/>
          <w:lang w:val="zh-CN"/>
        </w:rPr>
      </w:pPr>
    </w:p>
    <w:p w14:paraId="49A472D9">
      <w:pPr>
        <w:spacing w:line="360" w:lineRule="auto"/>
        <w:jc w:val="center"/>
        <w:rPr>
          <w:rFonts w:hint="eastAsia" w:cs="仿宋" w:asciiTheme="minorEastAsia" w:hAnsiTheme="minorEastAsia" w:eastAsiaTheme="minorEastAsia"/>
          <w:b/>
          <w:bCs w:val="0"/>
          <w:color w:val="auto"/>
          <w:kern w:val="0"/>
          <w:sz w:val="24"/>
          <w:szCs w:val="24"/>
          <w:highlight w:val="none"/>
          <w:lang w:val="en-US" w:eastAsia="zh-CN" w:bidi="ar-SA"/>
        </w:rPr>
      </w:pPr>
    </w:p>
    <w:p w14:paraId="3084C73D">
      <w:pPr>
        <w:spacing w:line="360" w:lineRule="auto"/>
        <w:jc w:val="center"/>
        <w:rPr>
          <w:color w:val="auto"/>
          <w:szCs w:val="21"/>
          <w:highlight w:val="none"/>
        </w:rPr>
      </w:pPr>
      <w:r>
        <w:rPr>
          <w:rFonts w:hint="eastAsia" w:cs="仿宋" w:asciiTheme="minorEastAsia" w:hAnsiTheme="minorEastAsia" w:eastAsiaTheme="minorEastAsia"/>
          <w:b/>
          <w:bCs w:val="0"/>
          <w:color w:val="auto"/>
          <w:kern w:val="0"/>
          <w:sz w:val="24"/>
          <w:szCs w:val="24"/>
          <w:highlight w:val="none"/>
          <w:lang w:val="en-US" w:eastAsia="zh-CN" w:bidi="ar-SA"/>
        </w:rPr>
        <w:t xml:space="preserve">表2： </w:t>
      </w:r>
      <w:r>
        <w:rPr>
          <w:rFonts w:hint="eastAsia" w:cs="仿宋" w:asciiTheme="minorEastAsia" w:hAnsiTheme="minorEastAsia" w:eastAsiaTheme="minorEastAsia"/>
          <w:b/>
          <w:bCs w:val="0"/>
          <w:color w:val="auto"/>
          <w:kern w:val="0"/>
          <w:sz w:val="24"/>
          <w:szCs w:val="24"/>
          <w:highlight w:val="none"/>
          <w:lang w:val="zh-CN" w:eastAsia="zh-CN" w:bidi="ar-SA"/>
        </w:rPr>
        <w:t>免费运维期满后系统运维费用报价表</w:t>
      </w:r>
      <w:r>
        <w:rPr>
          <w:rFonts w:hint="eastAsia" w:cs="仿宋" w:asciiTheme="minorEastAsia" w:hAnsiTheme="minorEastAsia"/>
          <w:b/>
          <w:color w:val="auto"/>
          <w:kern w:val="0"/>
          <w:sz w:val="24"/>
          <w:highlight w:val="none"/>
          <w:lang w:val="zh-CN"/>
        </w:rPr>
        <w:t>(单位均为人民币元)</w:t>
      </w:r>
    </w:p>
    <w:tbl>
      <w:tblPr>
        <w:tblStyle w:val="16"/>
        <w:tblW w:w="13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3578"/>
        <w:gridCol w:w="3994"/>
        <w:gridCol w:w="5194"/>
      </w:tblGrid>
      <w:tr w14:paraId="6F57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1" w:type="dxa"/>
            <w:vAlign w:val="center"/>
          </w:tcPr>
          <w:p w14:paraId="46B93510">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序号</w:t>
            </w:r>
          </w:p>
        </w:tc>
        <w:tc>
          <w:tcPr>
            <w:tcW w:w="3578" w:type="dxa"/>
            <w:vAlign w:val="center"/>
          </w:tcPr>
          <w:p w14:paraId="42889504">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项目</w:t>
            </w:r>
          </w:p>
        </w:tc>
        <w:tc>
          <w:tcPr>
            <w:tcW w:w="3994" w:type="dxa"/>
            <w:vAlign w:val="center"/>
          </w:tcPr>
          <w:p w14:paraId="0FD82BB1">
            <w:pPr>
              <w:pStyle w:val="33"/>
              <w:adjustRightInd w:val="0"/>
              <w:snapToGrid w:val="0"/>
              <w:spacing w:beforeLines="0"/>
              <w:ind w:firstLine="0" w:firstLineChars="0"/>
              <w:jc w:val="center"/>
              <w:textAlignment w:val="center"/>
              <w:rPr>
                <w:rFonts w:hint="eastAsia" w:ascii="Times New Roman" w:hAnsi="Times New Roman" w:eastAsia="宋体"/>
                <w:color w:val="auto"/>
                <w:sz w:val="21"/>
                <w:szCs w:val="21"/>
                <w:highlight w:val="none"/>
                <w:lang w:eastAsia="zh-CN"/>
              </w:rPr>
            </w:pPr>
            <w:r>
              <w:rPr>
                <w:rFonts w:ascii="Times New Roman" w:hAnsi="Times New Roman" w:eastAsia="宋体"/>
                <w:color w:val="auto"/>
                <w:sz w:val="21"/>
                <w:szCs w:val="21"/>
                <w:highlight w:val="none"/>
              </w:rPr>
              <w:t>含税</w:t>
            </w:r>
            <w:r>
              <w:rPr>
                <w:rFonts w:hint="eastAsia" w:ascii="Times New Roman" w:hAnsi="Times New Roman" w:eastAsia="宋体"/>
                <w:color w:val="auto"/>
                <w:sz w:val="21"/>
                <w:szCs w:val="21"/>
                <w:highlight w:val="none"/>
              </w:rPr>
              <w:t>每年</w:t>
            </w:r>
            <w:r>
              <w:rPr>
                <w:rFonts w:hint="eastAsia" w:ascii="Times New Roman" w:hAnsi="Times New Roman" w:eastAsia="宋体"/>
                <w:color w:val="auto"/>
                <w:sz w:val="21"/>
                <w:szCs w:val="21"/>
                <w:highlight w:val="none"/>
                <w:lang w:val="en-US" w:eastAsia="zh-CN"/>
              </w:rPr>
              <w:t>单价</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元/年</w:t>
            </w:r>
            <w:r>
              <w:rPr>
                <w:rFonts w:hint="eastAsia" w:ascii="Times New Roman" w:hAnsi="Times New Roman" w:eastAsia="宋体"/>
                <w:color w:val="auto"/>
                <w:sz w:val="21"/>
                <w:szCs w:val="21"/>
                <w:highlight w:val="none"/>
                <w:lang w:eastAsia="zh-CN"/>
              </w:rPr>
              <w:t>）</w:t>
            </w:r>
          </w:p>
        </w:tc>
        <w:tc>
          <w:tcPr>
            <w:tcW w:w="5194" w:type="dxa"/>
            <w:vAlign w:val="center"/>
          </w:tcPr>
          <w:p w14:paraId="6A7FA606">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备注</w:t>
            </w:r>
          </w:p>
        </w:tc>
      </w:tr>
      <w:tr w14:paraId="38BB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21" w:type="dxa"/>
            <w:vAlign w:val="center"/>
          </w:tcPr>
          <w:p w14:paraId="40F5C061">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3578" w:type="dxa"/>
            <w:vAlign w:val="center"/>
          </w:tcPr>
          <w:p w14:paraId="7084FAC4">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免费运维</w:t>
            </w:r>
            <w:r>
              <w:rPr>
                <w:rFonts w:ascii="Times New Roman" w:hAnsi="Times New Roman" w:eastAsia="宋体"/>
                <w:color w:val="auto"/>
                <w:sz w:val="21"/>
                <w:szCs w:val="21"/>
                <w:highlight w:val="none"/>
              </w:rPr>
              <w:t>期满后系统运维费用</w:t>
            </w:r>
          </w:p>
        </w:tc>
        <w:tc>
          <w:tcPr>
            <w:tcW w:w="3994" w:type="dxa"/>
            <w:vAlign w:val="center"/>
          </w:tcPr>
          <w:p w14:paraId="2BD4103C">
            <w:pPr>
              <w:pStyle w:val="33"/>
              <w:adjustRightInd w:val="0"/>
              <w:snapToGrid w:val="0"/>
              <w:spacing w:beforeLines="0"/>
              <w:ind w:firstLine="0" w:firstLineChars="0"/>
              <w:jc w:val="center"/>
              <w:textAlignment w:val="center"/>
              <w:rPr>
                <w:rFonts w:ascii="Times New Roman" w:hAnsi="Times New Roman" w:eastAsia="宋体"/>
                <w:color w:val="auto"/>
                <w:sz w:val="21"/>
                <w:szCs w:val="21"/>
                <w:highlight w:val="none"/>
              </w:rPr>
            </w:pPr>
          </w:p>
        </w:tc>
        <w:tc>
          <w:tcPr>
            <w:tcW w:w="5194" w:type="dxa"/>
            <w:vAlign w:val="center"/>
          </w:tcPr>
          <w:p w14:paraId="1F1DA732">
            <w:pPr>
              <w:pStyle w:val="33"/>
              <w:adjustRightInd w:val="0"/>
              <w:snapToGrid w:val="0"/>
              <w:spacing w:beforeLines="0"/>
              <w:ind w:firstLine="0" w:firstLineChars="0"/>
              <w:jc w:val="center"/>
              <w:textAlignment w:val="center"/>
              <w:rPr>
                <w:rFonts w:hint="default" w:ascii="Times New Roman" w:hAnsi="Times New Roman" w:eastAsia="宋体" w:cs="宋体"/>
                <w:color w:val="auto"/>
                <w:sz w:val="21"/>
                <w:szCs w:val="21"/>
                <w:highlight w:val="none"/>
                <w:lang w:val="en-US"/>
              </w:rPr>
            </w:pPr>
            <w:r>
              <w:rPr>
                <w:rFonts w:hint="eastAsia" w:ascii="Times New Roman" w:hAnsi="Times New Roman" w:eastAsia="宋体" w:cs="宋体"/>
                <w:color w:val="auto"/>
                <w:sz w:val="21"/>
                <w:szCs w:val="21"/>
                <w:highlight w:val="none"/>
                <w:lang w:val="en-US" w:eastAsia="zh-CN"/>
              </w:rPr>
              <w:t>合同一年一签，</w:t>
            </w:r>
            <w:r>
              <w:rPr>
                <w:rFonts w:hint="eastAsia" w:ascii="Times New Roman" w:hAnsi="Times New Roman" w:eastAsia="宋体" w:cs="宋体"/>
                <w:b/>
                <w:bCs/>
                <w:color w:val="0000FF"/>
                <w:sz w:val="21"/>
                <w:szCs w:val="21"/>
                <w:highlight w:val="none"/>
                <w:lang w:val="en-US" w:eastAsia="zh-CN"/>
              </w:rPr>
              <w:t>本报价为评审依据</w:t>
            </w:r>
          </w:p>
        </w:tc>
      </w:tr>
    </w:tbl>
    <w:p w14:paraId="724EED81">
      <w:pPr>
        <w:ind w:firstLine="200"/>
        <w:jc w:val="left"/>
        <w:rPr>
          <w:rFonts w:hAnsi="宋体" w:cs="宋体"/>
          <w:color w:val="auto"/>
          <w:sz w:val="20"/>
          <w:szCs w:val="20"/>
          <w:highlight w:val="none"/>
        </w:rPr>
      </w:pPr>
      <w:r>
        <w:rPr>
          <w:rFonts w:hAnsi="宋体" w:cs="宋体"/>
          <w:color w:val="auto"/>
          <w:sz w:val="20"/>
          <w:szCs w:val="20"/>
          <w:highlight w:val="none"/>
        </w:rPr>
        <w:t>备注：</w:t>
      </w:r>
      <w:r>
        <w:rPr>
          <w:rFonts w:hint="eastAsia" w:hAnsi="宋体" w:cs="宋体"/>
          <w:b/>
          <w:bCs/>
          <w:color w:val="auto"/>
          <w:sz w:val="20"/>
          <w:szCs w:val="20"/>
          <w:highlight w:val="none"/>
        </w:rPr>
        <w:t>每年运维</w:t>
      </w:r>
      <w:r>
        <w:rPr>
          <w:rFonts w:hAnsi="宋体" w:cs="宋体"/>
          <w:b/>
          <w:bCs/>
          <w:color w:val="auto"/>
          <w:sz w:val="20"/>
          <w:szCs w:val="20"/>
          <w:highlight w:val="none"/>
        </w:rPr>
        <w:t>服务价格不得高于</w:t>
      </w:r>
      <w:r>
        <w:rPr>
          <w:rFonts w:hint="eastAsia" w:hAnsi="宋体" w:cs="宋体"/>
          <w:b/>
          <w:bCs/>
          <w:color w:val="auto"/>
          <w:sz w:val="28"/>
          <w:szCs w:val="28"/>
          <w:highlight w:val="none"/>
          <w:u w:val="single"/>
          <w:lang w:val="en-US" w:eastAsia="zh-CN"/>
        </w:rPr>
        <w:t>4.5万元</w:t>
      </w:r>
      <w:r>
        <w:rPr>
          <w:rFonts w:hAnsi="宋体" w:cs="宋体"/>
          <w:color w:val="auto"/>
          <w:sz w:val="20"/>
          <w:szCs w:val="20"/>
          <w:highlight w:val="none"/>
        </w:rPr>
        <w:t>，表内的报价信息仅在</w:t>
      </w:r>
      <w:r>
        <w:rPr>
          <w:rFonts w:hint="eastAsia" w:hAnsi="宋体" w:cs="宋体"/>
          <w:color w:val="auto"/>
          <w:sz w:val="20"/>
          <w:szCs w:val="20"/>
          <w:highlight w:val="none"/>
          <w:lang w:val="en-US" w:eastAsia="zh-CN"/>
        </w:rPr>
        <w:t>采购人</w:t>
      </w:r>
      <w:r>
        <w:rPr>
          <w:rFonts w:hAnsi="宋体" w:cs="宋体"/>
          <w:color w:val="auto"/>
          <w:sz w:val="20"/>
          <w:szCs w:val="20"/>
          <w:highlight w:val="none"/>
        </w:rPr>
        <w:t>要求</w:t>
      </w:r>
      <w:r>
        <w:rPr>
          <w:rFonts w:hint="eastAsia" w:hAnsi="宋体" w:cs="宋体"/>
          <w:color w:val="auto"/>
          <w:sz w:val="20"/>
          <w:szCs w:val="20"/>
          <w:highlight w:val="none"/>
          <w:lang w:val="en-US" w:eastAsia="zh-CN"/>
        </w:rPr>
        <w:t>供应商</w:t>
      </w:r>
      <w:r>
        <w:rPr>
          <w:rFonts w:hAnsi="宋体" w:cs="宋体"/>
          <w:color w:val="auto"/>
          <w:sz w:val="20"/>
          <w:szCs w:val="20"/>
          <w:highlight w:val="none"/>
        </w:rPr>
        <w:t>提供</w:t>
      </w:r>
      <w:r>
        <w:rPr>
          <w:rFonts w:hint="eastAsia" w:hAnsi="宋体" w:cs="宋体"/>
          <w:color w:val="auto"/>
          <w:sz w:val="20"/>
          <w:szCs w:val="20"/>
          <w:highlight w:val="none"/>
        </w:rPr>
        <w:t>运维服务</w:t>
      </w:r>
      <w:r>
        <w:rPr>
          <w:rFonts w:hAnsi="宋体" w:cs="宋体"/>
          <w:color w:val="auto"/>
          <w:sz w:val="20"/>
          <w:szCs w:val="20"/>
          <w:highlight w:val="none"/>
        </w:rPr>
        <w:t>时，作为确定支付的基础。报价有效期：</w:t>
      </w:r>
      <w:r>
        <w:rPr>
          <w:rFonts w:hint="eastAsia" w:hAnsi="宋体" w:cs="宋体"/>
          <w:color w:val="auto"/>
          <w:sz w:val="20"/>
          <w:szCs w:val="20"/>
          <w:highlight w:val="none"/>
        </w:rPr>
        <w:t>免费</w:t>
      </w:r>
      <w:r>
        <w:rPr>
          <w:rFonts w:hint="eastAsia"/>
          <w:color w:val="auto"/>
          <w:szCs w:val="21"/>
          <w:highlight w:val="none"/>
        </w:rPr>
        <w:t>运维</w:t>
      </w:r>
      <w:r>
        <w:rPr>
          <w:rFonts w:hAnsi="宋体" w:cs="宋体"/>
          <w:color w:val="auto"/>
          <w:sz w:val="20"/>
          <w:szCs w:val="20"/>
          <w:highlight w:val="none"/>
        </w:rPr>
        <w:t>期满后</w:t>
      </w:r>
      <w:r>
        <w:rPr>
          <w:rFonts w:hint="eastAsia" w:hAnsi="宋体" w:cs="宋体"/>
          <w:color w:val="auto"/>
          <w:sz w:val="20"/>
          <w:szCs w:val="20"/>
          <w:highlight w:val="none"/>
          <w:lang w:val="en-US" w:eastAsia="zh-CN"/>
        </w:rPr>
        <w:t>十</w:t>
      </w:r>
      <w:r>
        <w:rPr>
          <w:rFonts w:hAnsi="宋体" w:cs="宋体"/>
          <w:color w:val="auto"/>
          <w:sz w:val="20"/>
          <w:szCs w:val="20"/>
          <w:highlight w:val="none"/>
        </w:rPr>
        <w:t>年内。</w:t>
      </w:r>
    </w:p>
    <w:p w14:paraId="38AD4ECC">
      <w:pPr>
        <w:snapToGrid w:val="0"/>
        <w:spacing w:line="360" w:lineRule="auto"/>
        <w:ind w:left="480"/>
        <w:rPr>
          <w:rFonts w:hint="eastAsia" w:cs="仿宋" w:asciiTheme="minorEastAsia" w:hAnsiTheme="minorEastAsia"/>
          <w:b/>
          <w:color w:val="auto"/>
          <w:kern w:val="0"/>
          <w:sz w:val="24"/>
          <w:highlight w:val="none"/>
          <w:lang w:val="zh-CN"/>
        </w:rPr>
      </w:pPr>
    </w:p>
    <w:p w14:paraId="07D35D93">
      <w:pPr>
        <w:snapToGrid w:val="0"/>
        <w:spacing w:line="360" w:lineRule="auto"/>
        <w:ind w:left="480"/>
        <w:rPr>
          <w:rFonts w:hint="eastAsia" w:cs="仿宋" w:asciiTheme="minorEastAsia" w:hAnsiTheme="minorEastAsia"/>
          <w:b/>
          <w:color w:val="auto"/>
          <w:kern w:val="0"/>
          <w:sz w:val="24"/>
          <w:highlight w:val="none"/>
          <w:lang w:val="zh-CN"/>
        </w:rPr>
      </w:pPr>
    </w:p>
    <w:p w14:paraId="2EE9E824">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7BD6B2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1B948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955980">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6C378D68">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37C2A5C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1A5D795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2025-2026年供应链管理平台系统采购项目（第二次）</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3E1E62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color w:val="auto"/>
                <w:sz w:val="24"/>
                <w:highlight w:val="none"/>
              </w:rPr>
            </w:pPr>
          </w:p>
        </w:tc>
        <w:tc>
          <w:tcPr>
            <w:tcW w:w="3493" w:type="dxa"/>
            <w:vAlign w:val="center"/>
          </w:tcPr>
          <w:p w14:paraId="23574EEC">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7197E4D1">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1594979F">
            <w:pPr>
              <w:spacing w:line="360" w:lineRule="auto"/>
              <w:rPr>
                <w:rFonts w:ascii="宋体" w:hAnsi="宋体" w:cs="宋体"/>
                <w:color w:val="auto"/>
                <w:sz w:val="24"/>
                <w:highlight w:val="none"/>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color w:val="auto"/>
                <w:sz w:val="24"/>
                <w:highlight w:val="none"/>
              </w:rPr>
            </w:pPr>
          </w:p>
        </w:tc>
        <w:tc>
          <w:tcPr>
            <w:tcW w:w="3493" w:type="dxa"/>
            <w:vAlign w:val="center"/>
          </w:tcPr>
          <w:p w14:paraId="155E09F4">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699E361F">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663B54E5">
            <w:pPr>
              <w:spacing w:line="360" w:lineRule="auto"/>
              <w:rPr>
                <w:rFonts w:ascii="宋体" w:hAnsi="宋体" w:cs="宋体"/>
                <w:color w:val="auto"/>
                <w:sz w:val="24"/>
                <w:highlight w:val="none"/>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color w:val="auto"/>
                <w:sz w:val="24"/>
                <w:highlight w:val="none"/>
              </w:rPr>
            </w:pPr>
          </w:p>
        </w:tc>
        <w:tc>
          <w:tcPr>
            <w:tcW w:w="6986" w:type="dxa"/>
            <w:gridSpan w:val="3"/>
            <w:vAlign w:val="center"/>
          </w:tcPr>
          <w:p w14:paraId="1C286F25">
            <w:pPr>
              <w:spacing w:line="360" w:lineRule="auto"/>
              <w:rPr>
                <w:rFonts w:hint="eastAsia" w:ascii="宋体" w:hAnsi="宋体" w:cs="宋体"/>
                <w:color w:val="auto"/>
                <w:sz w:val="24"/>
                <w:highlight w:val="none"/>
                <w:lang w:eastAsia="zh-CN"/>
              </w:rPr>
            </w:pPr>
          </w:p>
          <w:p w14:paraId="5083C79A">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0DA4B3AE">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color w:val="auto"/>
                <w:sz w:val="24"/>
                <w:highlight w:val="none"/>
              </w:rPr>
            </w:pPr>
          </w:p>
        </w:tc>
        <w:tc>
          <w:tcPr>
            <w:tcW w:w="6986" w:type="dxa"/>
            <w:gridSpan w:val="3"/>
            <w:vAlign w:val="center"/>
          </w:tcPr>
          <w:p w14:paraId="4D5A1292">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6C9F17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color w:val="auto"/>
                <w:sz w:val="24"/>
                <w:highlight w:val="none"/>
              </w:rPr>
            </w:pPr>
          </w:p>
        </w:tc>
        <w:tc>
          <w:tcPr>
            <w:tcW w:w="6986" w:type="dxa"/>
            <w:gridSpan w:val="3"/>
            <w:vAlign w:val="center"/>
          </w:tcPr>
          <w:p w14:paraId="72731274">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color w:val="auto"/>
                <w:sz w:val="24"/>
                <w:highlight w:val="none"/>
              </w:rPr>
            </w:pPr>
          </w:p>
        </w:tc>
        <w:tc>
          <w:tcPr>
            <w:tcW w:w="6986" w:type="dxa"/>
            <w:gridSpan w:val="3"/>
            <w:vAlign w:val="center"/>
          </w:tcPr>
          <w:p w14:paraId="2EDBA217">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1AB81D7B">
      <w:pPr>
        <w:pStyle w:val="6"/>
        <w:rPr>
          <w:rFonts w:ascii="宋体" w:hAnsi="宋体" w:cs="宋体"/>
          <w:color w:val="auto"/>
          <w:highlight w:val="none"/>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2025-2026年供应链管理平台系统采购项目（第二次）</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202510027-1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D324CF1">
      <w:pPr>
        <w:pStyle w:val="8"/>
        <w:rPr>
          <w:rFonts w:hint="eastAsia" w:hAnsi="宋体" w:cs="宋体"/>
          <w:b/>
          <w:bCs/>
          <w:color w:val="auto"/>
          <w:sz w:val="24"/>
          <w:highlight w:val="none"/>
        </w:rPr>
      </w:pPr>
    </w:p>
    <w:p w14:paraId="5BC930A5">
      <w:pPr>
        <w:pStyle w:val="8"/>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3BE6FE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9ABCE5">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49737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6D8E5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D675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C57D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A3432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2A6CC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D9BB4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79D94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8B94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D7E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3420E6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6BAE11B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74E96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949D28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4E3F0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CE0B2D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9D8381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F2C884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4947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8A93D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4A4A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BAEF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956CA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1B18C5A">
      <w:pPr>
        <w:spacing w:line="360" w:lineRule="auto"/>
        <w:jc w:val="center"/>
        <w:rPr>
          <w:rFonts w:ascii="宋体" w:hAnsi="宋体" w:cs="宋体"/>
          <w:b/>
          <w:bCs/>
          <w:color w:val="auto"/>
          <w:sz w:val="24"/>
          <w:highlight w:val="none"/>
        </w:rPr>
      </w:pPr>
    </w:p>
    <w:p w14:paraId="55D73CFA">
      <w:pPr>
        <w:spacing w:line="360" w:lineRule="auto"/>
        <w:rPr>
          <w:rFonts w:ascii="宋体" w:hAnsi="宋体" w:cs="宋体"/>
          <w:b/>
          <w:color w:val="auto"/>
          <w:sz w:val="24"/>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highlight w:val="none"/>
        </w:rPr>
      </w:pPr>
    </w:p>
    <w:p w14:paraId="1D413EF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506F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5B5880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highlight w:val="none"/>
        </w:rPr>
      </w:pPr>
    </w:p>
    <w:p w14:paraId="011E430A">
      <w:pPr>
        <w:spacing w:line="360" w:lineRule="auto"/>
        <w:jc w:val="center"/>
        <w:rPr>
          <w:rFonts w:ascii="宋体" w:hAnsi="宋体" w:cs="宋体"/>
          <w:b/>
          <w:color w:val="auto"/>
          <w:spacing w:val="6"/>
          <w:sz w:val="32"/>
          <w:szCs w:val="32"/>
          <w:highlight w:val="none"/>
        </w:rPr>
      </w:pPr>
    </w:p>
    <w:p w14:paraId="4995632F">
      <w:pPr>
        <w:spacing w:line="360" w:lineRule="auto"/>
        <w:jc w:val="center"/>
        <w:rPr>
          <w:rFonts w:ascii="宋体" w:hAnsi="宋体" w:cs="宋体"/>
          <w:b/>
          <w:color w:val="auto"/>
          <w:spacing w:val="6"/>
          <w:sz w:val="32"/>
          <w:szCs w:val="32"/>
          <w:highlight w:val="none"/>
        </w:rPr>
      </w:pPr>
    </w:p>
    <w:p w14:paraId="17BC5222">
      <w:pPr>
        <w:spacing w:line="360" w:lineRule="auto"/>
        <w:jc w:val="center"/>
        <w:rPr>
          <w:rFonts w:ascii="宋体" w:hAnsi="宋体" w:cs="宋体"/>
          <w:b/>
          <w:color w:val="auto"/>
          <w:spacing w:val="6"/>
          <w:sz w:val="32"/>
          <w:szCs w:val="32"/>
          <w:highlight w:val="none"/>
        </w:rPr>
      </w:pPr>
    </w:p>
    <w:p w14:paraId="3157E512">
      <w:pPr>
        <w:spacing w:line="360" w:lineRule="auto"/>
        <w:jc w:val="center"/>
        <w:rPr>
          <w:rFonts w:ascii="宋体" w:hAnsi="宋体" w:cs="宋体"/>
          <w:b/>
          <w:color w:val="auto"/>
          <w:spacing w:val="6"/>
          <w:sz w:val="32"/>
          <w:szCs w:val="32"/>
          <w:highlight w:val="none"/>
        </w:rPr>
      </w:pPr>
    </w:p>
    <w:p w14:paraId="18F32C89">
      <w:pPr>
        <w:spacing w:line="360" w:lineRule="auto"/>
        <w:jc w:val="center"/>
        <w:rPr>
          <w:rFonts w:ascii="宋体" w:hAnsi="宋体" w:cs="宋体"/>
          <w:b/>
          <w:color w:val="auto"/>
          <w:spacing w:val="6"/>
          <w:sz w:val="32"/>
          <w:szCs w:val="32"/>
          <w:highlight w:val="none"/>
        </w:rPr>
      </w:pPr>
    </w:p>
    <w:p w14:paraId="567858F9">
      <w:pPr>
        <w:spacing w:line="360" w:lineRule="auto"/>
        <w:jc w:val="center"/>
        <w:rPr>
          <w:rFonts w:ascii="宋体" w:hAnsi="宋体" w:cs="宋体"/>
          <w:b/>
          <w:color w:val="auto"/>
          <w:spacing w:val="6"/>
          <w:sz w:val="32"/>
          <w:szCs w:val="32"/>
          <w:highlight w:val="none"/>
        </w:rPr>
      </w:pPr>
    </w:p>
    <w:p w14:paraId="04E7C431">
      <w:pPr>
        <w:spacing w:line="360" w:lineRule="auto"/>
        <w:jc w:val="center"/>
        <w:rPr>
          <w:rFonts w:ascii="宋体" w:hAnsi="宋体" w:cs="宋体"/>
          <w:b/>
          <w:color w:val="auto"/>
          <w:spacing w:val="6"/>
          <w:sz w:val="32"/>
          <w:szCs w:val="32"/>
          <w:highlight w:val="none"/>
        </w:rPr>
      </w:pPr>
    </w:p>
    <w:p w14:paraId="0FA402E8">
      <w:pPr>
        <w:spacing w:line="360" w:lineRule="auto"/>
        <w:jc w:val="center"/>
        <w:rPr>
          <w:rFonts w:ascii="宋体" w:hAnsi="宋体" w:cs="宋体"/>
          <w:b/>
          <w:color w:val="auto"/>
          <w:spacing w:val="6"/>
          <w:sz w:val="32"/>
          <w:szCs w:val="32"/>
          <w:highlight w:val="none"/>
        </w:rPr>
      </w:pPr>
    </w:p>
    <w:p w14:paraId="351F737C">
      <w:pPr>
        <w:spacing w:line="360" w:lineRule="auto"/>
        <w:jc w:val="center"/>
        <w:rPr>
          <w:rFonts w:ascii="宋体" w:hAnsi="宋体" w:cs="宋体"/>
          <w:b/>
          <w:color w:val="auto"/>
          <w:spacing w:val="6"/>
          <w:sz w:val="32"/>
          <w:szCs w:val="32"/>
          <w:highlight w:val="none"/>
        </w:rPr>
      </w:pPr>
    </w:p>
    <w:p w14:paraId="5293947E">
      <w:pPr>
        <w:spacing w:line="360" w:lineRule="auto"/>
        <w:jc w:val="center"/>
        <w:rPr>
          <w:rFonts w:ascii="宋体" w:hAnsi="宋体" w:cs="宋体"/>
          <w:b/>
          <w:color w:val="auto"/>
          <w:spacing w:val="6"/>
          <w:sz w:val="32"/>
          <w:szCs w:val="32"/>
          <w:highlight w:val="none"/>
        </w:rPr>
      </w:pPr>
    </w:p>
    <w:p w14:paraId="1F039C58">
      <w:pPr>
        <w:spacing w:line="360" w:lineRule="auto"/>
        <w:jc w:val="center"/>
        <w:rPr>
          <w:rFonts w:ascii="宋体" w:hAnsi="宋体" w:cs="宋体"/>
          <w:b/>
          <w:color w:val="auto"/>
          <w:spacing w:val="6"/>
          <w:sz w:val="32"/>
          <w:szCs w:val="32"/>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E8BF">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C85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D8A90"/>
    <w:multiLevelType w:val="singleLevel"/>
    <w:tmpl w:val="297D8A90"/>
    <w:lvl w:ilvl="0" w:tentative="0">
      <w:start w:val="2"/>
      <w:numFmt w:val="chineseCounting"/>
      <w:suff w:val="nothing"/>
      <w:lvlText w:val="%1、"/>
      <w:lvlJc w:val="left"/>
      <w:rPr>
        <w:rFonts w:hint="eastAsia"/>
      </w:rPr>
    </w:lvl>
  </w:abstractNum>
  <w:abstractNum w:abstractNumId="1">
    <w:nsid w:val="5345448E"/>
    <w:multiLevelType w:val="multilevel"/>
    <w:tmpl w:val="5345448E"/>
    <w:lvl w:ilvl="0" w:tentative="0">
      <w:start w:val="1"/>
      <w:numFmt w:val="koreanDigital2"/>
      <w:pStyle w:val="32"/>
      <w:lvlText w:val="第%1章"/>
      <w:lvlJc w:val="left"/>
      <w:pPr>
        <w:ind w:left="0" w:firstLine="0"/>
      </w:pPr>
      <w:rPr>
        <w:rFonts w:hint="eastAsia"/>
      </w:rPr>
    </w:lvl>
    <w:lvl w:ilvl="1" w:tentative="0">
      <w:start w:val="1"/>
      <w:numFmt w:val="chineseCountingThousand"/>
      <w:lvlText w:val="附件%2、"/>
      <w:lvlJc w:val="left"/>
      <w:pPr>
        <w:ind w:left="0" w:firstLine="425"/>
      </w:pPr>
      <w:rPr>
        <w:rFonts w:hint="eastAsia"/>
      </w:rPr>
    </w:lvl>
    <w:lvl w:ilvl="2" w:tentative="0">
      <w:start w:val="1"/>
      <w:numFmt w:val="koreanDigital2"/>
      <w:lvlText w:val="%3、"/>
      <w:lvlJc w:val="left"/>
      <w:pPr>
        <w:ind w:left="0" w:firstLine="851"/>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E12589"/>
    <w:rsid w:val="013D6280"/>
    <w:rsid w:val="023E1286"/>
    <w:rsid w:val="02D0211D"/>
    <w:rsid w:val="03254E27"/>
    <w:rsid w:val="03272182"/>
    <w:rsid w:val="03A53B02"/>
    <w:rsid w:val="046A1781"/>
    <w:rsid w:val="04E634F4"/>
    <w:rsid w:val="04F47237"/>
    <w:rsid w:val="05150472"/>
    <w:rsid w:val="05171224"/>
    <w:rsid w:val="051B17AF"/>
    <w:rsid w:val="058F1A64"/>
    <w:rsid w:val="07916952"/>
    <w:rsid w:val="0805754C"/>
    <w:rsid w:val="08322A8C"/>
    <w:rsid w:val="08670640"/>
    <w:rsid w:val="08E37A2F"/>
    <w:rsid w:val="093C57F1"/>
    <w:rsid w:val="09545F70"/>
    <w:rsid w:val="09946F9F"/>
    <w:rsid w:val="09D74B85"/>
    <w:rsid w:val="09E53FC0"/>
    <w:rsid w:val="09EC7123"/>
    <w:rsid w:val="09ED56C9"/>
    <w:rsid w:val="0A1D0FFF"/>
    <w:rsid w:val="0A7C1006"/>
    <w:rsid w:val="0A9E5856"/>
    <w:rsid w:val="0AD025A1"/>
    <w:rsid w:val="0AE16FEA"/>
    <w:rsid w:val="0B4E0B4D"/>
    <w:rsid w:val="0B586581"/>
    <w:rsid w:val="0BAB24C1"/>
    <w:rsid w:val="0BD07B44"/>
    <w:rsid w:val="0C492847"/>
    <w:rsid w:val="0C554576"/>
    <w:rsid w:val="0F095788"/>
    <w:rsid w:val="0F5E496A"/>
    <w:rsid w:val="0F81598B"/>
    <w:rsid w:val="10886BCD"/>
    <w:rsid w:val="10947BCD"/>
    <w:rsid w:val="10BE08E9"/>
    <w:rsid w:val="10FE773C"/>
    <w:rsid w:val="1157552B"/>
    <w:rsid w:val="11EC0AD6"/>
    <w:rsid w:val="12465811"/>
    <w:rsid w:val="13064D3F"/>
    <w:rsid w:val="13280BD9"/>
    <w:rsid w:val="13322A9B"/>
    <w:rsid w:val="13897267"/>
    <w:rsid w:val="1399374C"/>
    <w:rsid w:val="13FF5068"/>
    <w:rsid w:val="14521AA0"/>
    <w:rsid w:val="146C41CB"/>
    <w:rsid w:val="15451E24"/>
    <w:rsid w:val="15BE749A"/>
    <w:rsid w:val="15E02F18"/>
    <w:rsid w:val="166F3635"/>
    <w:rsid w:val="172D3193"/>
    <w:rsid w:val="17EA5768"/>
    <w:rsid w:val="185A544F"/>
    <w:rsid w:val="18890233"/>
    <w:rsid w:val="18C2162A"/>
    <w:rsid w:val="18DD703F"/>
    <w:rsid w:val="198737C7"/>
    <w:rsid w:val="19DC6BDA"/>
    <w:rsid w:val="1A6B392A"/>
    <w:rsid w:val="1AA56FDE"/>
    <w:rsid w:val="1AC310BB"/>
    <w:rsid w:val="1B3F4556"/>
    <w:rsid w:val="1B5D386B"/>
    <w:rsid w:val="1B711AFA"/>
    <w:rsid w:val="1B7913A6"/>
    <w:rsid w:val="1BEF726B"/>
    <w:rsid w:val="1C2C25CD"/>
    <w:rsid w:val="1C4B4111"/>
    <w:rsid w:val="1C742A28"/>
    <w:rsid w:val="1C832D39"/>
    <w:rsid w:val="1CAA3340"/>
    <w:rsid w:val="1CC449A5"/>
    <w:rsid w:val="1CD34128"/>
    <w:rsid w:val="1CDE6781"/>
    <w:rsid w:val="1D987ACC"/>
    <w:rsid w:val="1DC31FA0"/>
    <w:rsid w:val="1DDA19F5"/>
    <w:rsid w:val="1DEB283E"/>
    <w:rsid w:val="1EFF4AEA"/>
    <w:rsid w:val="1F29161A"/>
    <w:rsid w:val="1F42517D"/>
    <w:rsid w:val="1F457921"/>
    <w:rsid w:val="1F6A5A03"/>
    <w:rsid w:val="1FAD20E8"/>
    <w:rsid w:val="20284B0B"/>
    <w:rsid w:val="20F326ED"/>
    <w:rsid w:val="21677697"/>
    <w:rsid w:val="229536BA"/>
    <w:rsid w:val="22A244DC"/>
    <w:rsid w:val="235E195C"/>
    <w:rsid w:val="2378337E"/>
    <w:rsid w:val="239871BB"/>
    <w:rsid w:val="23AE001C"/>
    <w:rsid w:val="249017C8"/>
    <w:rsid w:val="251A0B90"/>
    <w:rsid w:val="25251AF7"/>
    <w:rsid w:val="25AC7732"/>
    <w:rsid w:val="25C26B32"/>
    <w:rsid w:val="25CD5C03"/>
    <w:rsid w:val="266C3655"/>
    <w:rsid w:val="266E39AE"/>
    <w:rsid w:val="2696637E"/>
    <w:rsid w:val="26B84BDB"/>
    <w:rsid w:val="26C27A57"/>
    <w:rsid w:val="26F13790"/>
    <w:rsid w:val="26F41C6E"/>
    <w:rsid w:val="272E083D"/>
    <w:rsid w:val="27F848F5"/>
    <w:rsid w:val="284179E1"/>
    <w:rsid w:val="284A39BF"/>
    <w:rsid w:val="28A354BE"/>
    <w:rsid w:val="28FE39D5"/>
    <w:rsid w:val="292813A2"/>
    <w:rsid w:val="298D0BC4"/>
    <w:rsid w:val="29BD69E3"/>
    <w:rsid w:val="29E654E5"/>
    <w:rsid w:val="2A1060BE"/>
    <w:rsid w:val="2A6366FF"/>
    <w:rsid w:val="2A6807FA"/>
    <w:rsid w:val="2A8E3487"/>
    <w:rsid w:val="2B32649C"/>
    <w:rsid w:val="2B9B5E5B"/>
    <w:rsid w:val="2BDA5141"/>
    <w:rsid w:val="2BDE3F9A"/>
    <w:rsid w:val="2C270527"/>
    <w:rsid w:val="2C4141D8"/>
    <w:rsid w:val="2C465F83"/>
    <w:rsid w:val="2CBD6A98"/>
    <w:rsid w:val="2D0347D2"/>
    <w:rsid w:val="2D682F2F"/>
    <w:rsid w:val="2E542420"/>
    <w:rsid w:val="2EA152A3"/>
    <w:rsid w:val="2EDC6BC3"/>
    <w:rsid w:val="2F1F33A8"/>
    <w:rsid w:val="2F5836E9"/>
    <w:rsid w:val="2F7610B9"/>
    <w:rsid w:val="2F8C4439"/>
    <w:rsid w:val="30123142"/>
    <w:rsid w:val="302169BE"/>
    <w:rsid w:val="304A7E50"/>
    <w:rsid w:val="31491286"/>
    <w:rsid w:val="314B6E80"/>
    <w:rsid w:val="315D3AEF"/>
    <w:rsid w:val="31BF0628"/>
    <w:rsid w:val="31E036E7"/>
    <w:rsid w:val="32843E96"/>
    <w:rsid w:val="328B05C6"/>
    <w:rsid w:val="32A5238E"/>
    <w:rsid w:val="32C95DE9"/>
    <w:rsid w:val="32D33460"/>
    <w:rsid w:val="346671FA"/>
    <w:rsid w:val="34D93658"/>
    <w:rsid w:val="351F7AFD"/>
    <w:rsid w:val="352F03C1"/>
    <w:rsid w:val="35635B24"/>
    <w:rsid w:val="36162BCB"/>
    <w:rsid w:val="363646DC"/>
    <w:rsid w:val="36412810"/>
    <w:rsid w:val="368E0296"/>
    <w:rsid w:val="3690649D"/>
    <w:rsid w:val="36A32180"/>
    <w:rsid w:val="36BD312A"/>
    <w:rsid w:val="36C12E10"/>
    <w:rsid w:val="37396C72"/>
    <w:rsid w:val="37514AF4"/>
    <w:rsid w:val="377C0298"/>
    <w:rsid w:val="37AF4D25"/>
    <w:rsid w:val="37F61CA1"/>
    <w:rsid w:val="38450E32"/>
    <w:rsid w:val="38FB1805"/>
    <w:rsid w:val="394A64EB"/>
    <w:rsid w:val="39C31C6C"/>
    <w:rsid w:val="3B910E0D"/>
    <w:rsid w:val="3BFD4027"/>
    <w:rsid w:val="3C283344"/>
    <w:rsid w:val="3C3420E0"/>
    <w:rsid w:val="3C485F9D"/>
    <w:rsid w:val="3C4E2A76"/>
    <w:rsid w:val="3C77173A"/>
    <w:rsid w:val="3C7965F9"/>
    <w:rsid w:val="3C7C70D7"/>
    <w:rsid w:val="3C94308C"/>
    <w:rsid w:val="3CB84BBF"/>
    <w:rsid w:val="3D1E469E"/>
    <w:rsid w:val="3D3879AE"/>
    <w:rsid w:val="3DE8141D"/>
    <w:rsid w:val="3E0C6463"/>
    <w:rsid w:val="3E564C85"/>
    <w:rsid w:val="3F4F566F"/>
    <w:rsid w:val="3F8142B1"/>
    <w:rsid w:val="3FA13295"/>
    <w:rsid w:val="401808B6"/>
    <w:rsid w:val="403E57B7"/>
    <w:rsid w:val="40532D51"/>
    <w:rsid w:val="40533552"/>
    <w:rsid w:val="40A4368B"/>
    <w:rsid w:val="4179370E"/>
    <w:rsid w:val="41D016DB"/>
    <w:rsid w:val="41DA3416"/>
    <w:rsid w:val="42043E37"/>
    <w:rsid w:val="42112513"/>
    <w:rsid w:val="42E9077C"/>
    <w:rsid w:val="432B3628"/>
    <w:rsid w:val="433F2D12"/>
    <w:rsid w:val="43496F4C"/>
    <w:rsid w:val="435518AD"/>
    <w:rsid w:val="435C30B6"/>
    <w:rsid w:val="437A2DA4"/>
    <w:rsid w:val="43872620"/>
    <w:rsid w:val="44873A1C"/>
    <w:rsid w:val="4491515E"/>
    <w:rsid w:val="470471FE"/>
    <w:rsid w:val="472961BF"/>
    <w:rsid w:val="49105C83"/>
    <w:rsid w:val="496B5052"/>
    <w:rsid w:val="4992263D"/>
    <w:rsid w:val="499600A6"/>
    <w:rsid w:val="499917D4"/>
    <w:rsid w:val="49A53D97"/>
    <w:rsid w:val="49C77F53"/>
    <w:rsid w:val="49CC76C1"/>
    <w:rsid w:val="49E77A36"/>
    <w:rsid w:val="4AE27CAC"/>
    <w:rsid w:val="4B96007C"/>
    <w:rsid w:val="4BAC48C9"/>
    <w:rsid w:val="4C644E61"/>
    <w:rsid w:val="4C7644E0"/>
    <w:rsid w:val="4C831A74"/>
    <w:rsid w:val="4CAA0A32"/>
    <w:rsid w:val="4D49405A"/>
    <w:rsid w:val="4E191EC4"/>
    <w:rsid w:val="4E5B0326"/>
    <w:rsid w:val="4EA9254B"/>
    <w:rsid w:val="4ECA5B50"/>
    <w:rsid w:val="4F251D5C"/>
    <w:rsid w:val="4FD65994"/>
    <w:rsid w:val="4FEB08B0"/>
    <w:rsid w:val="50772E11"/>
    <w:rsid w:val="50886E1D"/>
    <w:rsid w:val="50C64B4C"/>
    <w:rsid w:val="513B5867"/>
    <w:rsid w:val="51454B8D"/>
    <w:rsid w:val="514563A8"/>
    <w:rsid w:val="51544AEA"/>
    <w:rsid w:val="523875F5"/>
    <w:rsid w:val="52487F94"/>
    <w:rsid w:val="524F0C99"/>
    <w:rsid w:val="52506204"/>
    <w:rsid w:val="52B35FD7"/>
    <w:rsid w:val="533B163F"/>
    <w:rsid w:val="53FA1DF3"/>
    <w:rsid w:val="54204352"/>
    <w:rsid w:val="54AB2D04"/>
    <w:rsid w:val="54BE47E5"/>
    <w:rsid w:val="5524243C"/>
    <w:rsid w:val="566F5824"/>
    <w:rsid w:val="56F563A5"/>
    <w:rsid w:val="571F3A0C"/>
    <w:rsid w:val="57F2034A"/>
    <w:rsid w:val="58235318"/>
    <w:rsid w:val="58354DBE"/>
    <w:rsid w:val="586E6522"/>
    <w:rsid w:val="58BE2D14"/>
    <w:rsid w:val="59121C77"/>
    <w:rsid w:val="592A4855"/>
    <w:rsid w:val="593A0A80"/>
    <w:rsid w:val="59DD570D"/>
    <w:rsid w:val="59DE0E09"/>
    <w:rsid w:val="5A283DD0"/>
    <w:rsid w:val="5A2E5F69"/>
    <w:rsid w:val="5A974EDF"/>
    <w:rsid w:val="5ACD76EE"/>
    <w:rsid w:val="5B021A05"/>
    <w:rsid w:val="5B3D7F5F"/>
    <w:rsid w:val="5C2E5856"/>
    <w:rsid w:val="5CC45F7C"/>
    <w:rsid w:val="5E9B32B7"/>
    <w:rsid w:val="5EA617F0"/>
    <w:rsid w:val="5EFD2476"/>
    <w:rsid w:val="5F0279C4"/>
    <w:rsid w:val="5F944466"/>
    <w:rsid w:val="5FC93D7A"/>
    <w:rsid w:val="60A96E90"/>
    <w:rsid w:val="60C555F3"/>
    <w:rsid w:val="61090515"/>
    <w:rsid w:val="6139287F"/>
    <w:rsid w:val="61F56B7E"/>
    <w:rsid w:val="62121B84"/>
    <w:rsid w:val="625269DC"/>
    <w:rsid w:val="63130FEA"/>
    <w:rsid w:val="633329E6"/>
    <w:rsid w:val="63CF15A0"/>
    <w:rsid w:val="63DE0509"/>
    <w:rsid w:val="64AB05AF"/>
    <w:rsid w:val="64CD2ABF"/>
    <w:rsid w:val="657B7ADB"/>
    <w:rsid w:val="660E4A3F"/>
    <w:rsid w:val="66717A25"/>
    <w:rsid w:val="667C7047"/>
    <w:rsid w:val="673E5F91"/>
    <w:rsid w:val="67817E21"/>
    <w:rsid w:val="679754A0"/>
    <w:rsid w:val="67D649B5"/>
    <w:rsid w:val="67FC76A6"/>
    <w:rsid w:val="682C1895"/>
    <w:rsid w:val="689618A9"/>
    <w:rsid w:val="68C66552"/>
    <w:rsid w:val="69345B52"/>
    <w:rsid w:val="69B66A8E"/>
    <w:rsid w:val="69CA0EC7"/>
    <w:rsid w:val="6A4E3ABD"/>
    <w:rsid w:val="6A81681A"/>
    <w:rsid w:val="6A9D6924"/>
    <w:rsid w:val="6ABD4230"/>
    <w:rsid w:val="6AE63D7E"/>
    <w:rsid w:val="6B462C2B"/>
    <w:rsid w:val="6BD746DF"/>
    <w:rsid w:val="6BDC6E7B"/>
    <w:rsid w:val="6C30596E"/>
    <w:rsid w:val="6CEB080D"/>
    <w:rsid w:val="6D893D5F"/>
    <w:rsid w:val="6DC46C7A"/>
    <w:rsid w:val="6EAC75B8"/>
    <w:rsid w:val="6F502166"/>
    <w:rsid w:val="6F8821FC"/>
    <w:rsid w:val="700D088C"/>
    <w:rsid w:val="700E4F44"/>
    <w:rsid w:val="70173239"/>
    <w:rsid w:val="70A46B2D"/>
    <w:rsid w:val="70FC24C5"/>
    <w:rsid w:val="71A36DE5"/>
    <w:rsid w:val="721A5B23"/>
    <w:rsid w:val="72B931C1"/>
    <w:rsid w:val="738D03F5"/>
    <w:rsid w:val="7420296E"/>
    <w:rsid w:val="7431692A"/>
    <w:rsid w:val="74435A84"/>
    <w:rsid w:val="74E01AD0"/>
    <w:rsid w:val="753B10E2"/>
    <w:rsid w:val="760B4D2C"/>
    <w:rsid w:val="765D3192"/>
    <w:rsid w:val="767E5B01"/>
    <w:rsid w:val="771567FA"/>
    <w:rsid w:val="779944AF"/>
    <w:rsid w:val="78160310"/>
    <w:rsid w:val="782F5514"/>
    <w:rsid w:val="785A54C0"/>
    <w:rsid w:val="78D32916"/>
    <w:rsid w:val="78FD6DDA"/>
    <w:rsid w:val="79741F31"/>
    <w:rsid w:val="79DF4732"/>
    <w:rsid w:val="79EB254B"/>
    <w:rsid w:val="79F044D8"/>
    <w:rsid w:val="7A8D1EA6"/>
    <w:rsid w:val="7AF4716D"/>
    <w:rsid w:val="7AF75924"/>
    <w:rsid w:val="7B1C6B0D"/>
    <w:rsid w:val="7B2031F9"/>
    <w:rsid w:val="7B6106CC"/>
    <w:rsid w:val="7BA4483D"/>
    <w:rsid w:val="7BA82ABD"/>
    <w:rsid w:val="7BFA5853"/>
    <w:rsid w:val="7C0562F8"/>
    <w:rsid w:val="7C662D96"/>
    <w:rsid w:val="7CFD5C38"/>
    <w:rsid w:val="7D713C29"/>
    <w:rsid w:val="7D797C2B"/>
    <w:rsid w:val="7D810EAC"/>
    <w:rsid w:val="7D927D07"/>
    <w:rsid w:val="7D955BFE"/>
    <w:rsid w:val="7DAC6A56"/>
    <w:rsid w:val="7E0230E5"/>
    <w:rsid w:val="7E1A3F8B"/>
    <w:rsid w:val="7E600661"/>
    <w:rsid w:val="7EA13F7B"/>
    <w:rsid w:val="7ECA02C7"/>
    <w:rsid w:val="7EF25FDD"/>
    <w:rsid w:val="7F173D36"/>
    <w:rsid w:val="7FC43C1A"/>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9.12第一章"/>
    <w:qFormat/>
    <w:uiPriority w:val="0"/>
    <w:pPr>
      <w:widowControl w:val="0"/>
      <w:numPr>
        <w:ilvl w:val="0"/>
        <w:numId w:val="1"/>
      </w:numPr>
      <w:jc w:val="center"/>
    </w:pPr>
    <w:rPr>
      <w:rFonts w:ascii="仿宋" w:hAnsi="仿宋" w:eastAsia="仿宋" w:cs="Times New Roman"/>
      <w:b/>
      <w:bCs/>
      <w:kern w:val="2"/>
      <w:sz w:val="36"/>
      <w:szCs w:val="36"/>
      <w:lang w:val="en-US" w:eastAsia="zh-CN" w:bidi="ar-SA"/>
    </w:rPr>
  </w:style>
  <w:style w:type="paragraph" w:customStyle="1" w:styleId="33">
    <w:name w:val="11正文"/>
    <w:basedOn w:val="1"/>
    <w:qFormat/>
    <w:uiPriority w:val="0"/>
    <w:pPr>
      <w:widowControl/>
      <w:spacing w:beforeLines="50"/>
      <w:ind w:firstLine="425" w:firstLineChars="177"/>
      <w:jc w:val="left"/>
    </w:pPr>
    <w:rPr>
      <w:rFonts w:ascii="仿宋_GB2312" w:hAnsi="Calibri" w:eastAsia="微软雅黑"/>
      <w:kern w:val="0"/>
      <w:sz w:val="24"/>
    </w:rPr>
  </w:style>
  <w:style w:type="paragraph" w:customStyle="1" w:styleId="34">
    <w:name w:val="样式 首行缩进:  2 字符"/>
    <w:basedOn w:val="1"/>
    <w:qFormat/>
    <w:uiPriority w:val="0"/>
    <w:pPr>
      <w:spacing w:line="480" w:lineRule="exact"/>
      <w:ind w:firstLine="200" w:firstLineChars="200"/>
      <w:jc w:val="left"/>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5752</Words>
  <Characters>6354</Characters>
  <Lines>0</Lines>
  <Paragraphs>0</Paragraphs>
  <TotalTime>40</TotalTime>
  <ScaleCrop>false</ScaleCrop>
  <LinksUpToDate>false</LinksUpToDate>
  <CharactersWithSpaces>6482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2025-11-11T05:30:56Z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