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D9A30D">
      <w:pPr>
        <w:pStyle w:val="10"/>
        <w:jc w:val="center"/>
        <w:rPr>
          <w:rFonts w:cs="宋体" w:asciiTheme="minorEastAsia" w:hAnsiTheme="minorEastAsia"/>
          <w:sz w:val="48"/>
          <w:szCs w:val="48"/>
          <w:u w:val="single"/>
        </w:rPr>
      </w:pPr>
    </w:p>
    <w:p w14:paraId="6115E9AB">
      <w:pPr>
        <w:pStyle w:val="10"/>
        <w:jc w:val="center"/>
        <w:rPr>
          <w:rFonts w:cs="宋体" w:asciiTheme="minorEastAsia" w:hAnsiTheme="minorEastAsia"/>
          <w:sz w:val="48"/>
          <w:szCs w:val="48"/>
          <w:u w:val="single"/>
        </w:rPr>
      </w:pPr>
    </w:p>
    <w:p w14:paraId="6EFC2212">
      <w:pPr>
        <w:pStyle w:val="10"/>
        <w:jc w:val="center"/>
        <w:rPr>
          <w:rFonts w:cs="宋体" w:asciiTheme="minorEastAsia" w:hAnsiTheme="minorEastAsia"/>
          <w:sz w:val="48"/>
          <w:szCs w:val="48"/>
          <w:u w:val="single"/>
        </w:rPr>
      </w:pPr>
    </w:p>
    <w:p w14:paraId="3F256C03">
      <w:pPr>
        <w:pStyle w:val="10"/>
        <w:jc w:val="center"/>
        <w:rPr>
          <w:rFonts w:cs="宋体" w:asciiTheme="minorEastAsia" w:hAnsiTheme="minorEastAsia"/>
          <w:sz w:val="48"/>
          <w:szCs w:val="48"/>
          <w:u w:val="single"/>
        </w:rPr>
      </w:pPr>
    </w:p>
    <w:p w14:paraId="47A96DD0">
      <w:pPr>
        <w:pStyle w:val="10"/>
        <w:jc w:val="center"/>
        <w:rPr>
          <w:rFonts w:cs="宋体" w:asciiTheme="minorEastAsia" w:hAnsiTheme="minorEastAsia"/>
          <w:sz w:val="48"/>
          <w:szCs w:val="48"/>
          <w:u w:val="single"/>
        </w:rPr>
      </w:pPr>
    </w:p>
    <w:p w14:paraId="7CFC887B">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2025年三</w:t>
      </w:r>
      <w:r>
        <w:rPr>
          <w:rFonts w:hint="eastAsia" w:cs="宋体" w:asciiTheme="minorEastAsia" w:hAnsiTheme="minorEastAsia"/>
          <w:color w:val="auto"/>
          <w:sz w:val="48"/>
          <w:szCs w:val="48"/>
          <w:u w:val="single"/>
          <w:lang w:eastAsia="zh-CN"/>
        </w:rPr>
        <w:t>固运行中心循环水系统在线化学清洗服务采购项目</w:t>
      </w:r>
    </w:p>
    <w:p w14:paraId="6719ED81">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42BBB91B">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202509032</w:t>
      </w:r>
    </w:p>
    <w:p w14:paraId="2CF1A384">
      <w:pPr>
        <w:spacing w:line="360" w:lineRule="auto"/>
        <w:jc w:val="center"/>
        <w:rPr>
          <w:rFonts w:cs="仿宋" w:asciiTheme="minorEastAsia" w:hAnsiTheme="minorEastAsia"/>
          <w:b/>
          <w:bCs/>
          <w:sz w:val="72"/>
          <w:szCs w:val="72"/>
        </w:rPr>
      </w:pPr>
    </w:p>
    <w:p w14:paraId="7F82FFC4">
      <w:pPr>
        <w:pStyle w:val="6"/>
        <w:rPr>
          <w:rFonts w:asciiTheme="minorEastAsia" w:hAnsiTheme="minorEastAsia"/>
        </w:rPr>
      </w:pPr>
    </w:p>
    <w:p w14:paraId="6108CEEA">
      <w:pPr>
        <w:spacing w:line="360" w:lineRule="auto"/>
        <w:jc w:val="center"/>
        <w:rPr>
          <w:rFonts w:cs="仿宋" w:asciiTheme="minorEastAsia" w:hAnsiTheme="minorEastAsia"/>
          <w:b/>
          <w:bCs/>
          <w:sz w:val="72"/>
          <w:szCs w:val="72"/>
        </w:rPr>
      </w:pPr>
    </w:p>
    <w:p w14:paraId="16894072">
      <w:pPr>
        <w:pStyle w:val="10"/>
      </w:pPr>
    </w:p>
    <w:p w14:paraId="202B9314"/>
    <w:p w14:paraId="2434BC1B">
      <w:pPr>
        <w:pStyle w:val="10"/>
      </w:pPr>
    </w:p>
    <w:p w14:paraId="63AE4F2D"/>
    <w:p w14:paraId="0C44F7BA">
      <w:pPr>
        <w:spacing w:line="360" w:lineRule="auto"/>
        <w:rPr>
          <w:rFonts w:cs="仿宋" w:asciiTheme="minorEastAsia" w:hAnsiTheme="minorEastAsia"/>
          <w:sz w:val="24"/>
        </w:rPr>
      </w:pPr>
    </w:p>
    <w:p w14:paraId="341F0403">
      <w:pPr>
        <w:pStyle w:val="10"/>
        <w:rPr>
          <w:rFonts w:cs="仿宋" w:asciiTheme="minorEastAsia" w:hAnsiTheme="minorEastAsia"/>
          <w:sz w:val="24"/>
          <w:szCs w:val="24"/>
        </w:rPr>
      </w:pPr>
    </w:p>
    <w:p w14:paraId="634DEE41">
      <w:pPr>
        <w:pStyle w:val="10"/>
        <w:jc w:val="center"/>
        <w:rPr>
          <w:rFonts w:cs="仿宋" w:asciiTheme="minorEastAsia" w:hAnsiTheme="minorEastAsia"/>
          <w:sz w:val="24"/>
          <w:szCs w:val="24"/>
        </w:rPr>
      </w:pPr>
    </w:p>
    <w:p w14:paraId="674F8221">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2C39C948">
      <w:pPr>
        <w:spacing w:line="360" w:lineRule="auto"/>
        <w:jc w:val="center"/>
        <w:rPr>
          <w:rFonts w:hint="eastAsia" w:cs="仿宋" w:asciiTheme="minorEastAsia" w:hAnsiTheme="minorEastAsia" w:eastAsiaTheme="minorEastAsia"/>
          <w:b/>
          <w:sz w:val="24"/>
          <w:lang w:eastAsia="zh-CN"/>
        </w:rPr>
      </w:pPr>
      <w:r>
        <w:rPr>
          <w:rFonts w:hint="eastAsia" w:cs="仿宋" w:asciiTheme="minorEastAsia" w:hAnsiTheme="minorEastAsia"/>
          <w:sz w:val="32"/>
          <w:szCs w:val="32"/>
          <w:lang w:eastAsia="zh-CN"/>
        </w:rPr>
        <w:t>2025年9月29日</w:t>
      </w:r>
    </w:p>
    <w:p w14:paraId="6B2CA480">
      <w:pPr>
        <w:spacing w:line="360" w:lineRule="auto"/>
        <w:ind w:firstLine="602" w:firstLineChars="200"/>
        <w:jc w:val="center"/>
        <w:rPr>
          <w:rFonts w:cs="仿宋" w:asciiTheme="minorEastAsia" w:hAnsiTheme="minorEastAsia"/>
          <w:b/>
          <w:sz w:val="30"/>
          <w:szCs w:val="30"/>
        </w:rPr>
      </w:pPr>
    </w:p>
    <w:p w14:paraId="05FFBC42">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14:paraId="203224DE">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66ABCCC0">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536EC566">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739F38AE">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462E2D6B">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6CB09E93">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2415AA3D">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14:paraId="7A118DBA">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73A3A22D">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02"/>
      <w:bookmarkStart w:id="2" w:name="_Toc35393621"/>
      <w:bookmarkStart w:id="3" w:name="_Toc35393790"/>
      <w:bookmarkStart w:id="4" w:name="_Toc28359079"/>
      <w:bookmarkStart w:id="5"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14:paraId="497E5072">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2025年三固运行中心循环水系统在线化学清洗服务采购项目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w:t>
      </w:r>
      <w:r>
        <w:rPr>
          <w:rFonts w:hint="eastAsia" w:cs="仿宋" w:asciiTheme="minorEastAsia" w:hAnsiTheme="minorEastAsia"/>
          <w:sz w:val="24"/>
          <w:lang w:eastAsia="zh-CN"/>
        </w:rPr>
        <w:t>）</w:t>
      </w:r>
      <w:r>
        <w:rPr>
          <w:rFonts w:hint="eastAsia" w:cs="仿宋" w:asciiTheme="minorEastAsia" w:hAnsiTheme="minorEastAsia"/>
          <w:sz w:val="24"/>
        </w:rPr>
        <w:t>、浙江政府采购网（http://zfcg.czt.zj.gov.cn/）、杭州市环境集团有限公司、杭州临江环境能源有限公司官网发布。欢迎对本项目有兴趣且符合资质条件的潜在供应商参加本次采购项目。</w:t>
      </w:r>
    </w:p>
    <w:p w14:paraId="02B7ED72">
      <w:pPr>
        <w:pStyle w:val="3"/>
        <w:spacing w:line="240" w:lineRule="auto"/>
        <w:ind w:firstLine="482" w:firstLineChars="200"/>
        <w:rPr>
          <w:rFonts w:cs="仿宋" w:asciiTheme="minorEastAsia" w:hAnsiTheme="minorEastAsia" w:eastAsiaTheme="minorEastAsia"/>
          <w:bCs w:val="0"/>
          <w:sz w:val="24"/>
          <w:szCs w:val="24"/>
        </w:rPr>
      </w:pPr>
      <w:bookmarkStart w:id="493" w:name="_GoBack"/>
      <w:r>
        <w:rPr>
          <w:rFonts w:hint="eastAsia" w:cs="仿宋" w:asciiTheme="minorEastAsia" w:hAnsiTheme="minorEastAsia" w:eastAsiaTheme="minorEastAsia"/>
          <w:bCs w:val="0"/>
          <w:sz w:val="24"/>
          <w:szCs w:val="24"/>
        </w:rPr>
        <w:t>一、项目基本情况</w:t>
      </w:r>
      <w:bookmarkEnd w:id="1"/>
      <w:bookmarkEnd w:id="2"/>
      <w:bookmarkEnd w:id="3"/>
      <w:bookmarkEnd w:id="4"/>
    </w:p>
    <w:p w14:paraId="7A669D88">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202509032</w:t>
      </w:r>
    </w:p>
    <w:p w14:paraId="2110F726">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2025年三固运行中心循环水系统在线化学清洗服务采购项目</w:t>
      </w:r>
    </w:p>
    <w:p w14:paraId="67C8555C">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62DDF797">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u w:val="single"/>
          <w:lang w:val="en-US" w:eastAsia="zh-CN"/>
        </w:rPr>
        <w:t>9</w:t>
      </w:r>
      <w:r>
        <w:rPr>
          <w:rFonts w:hint="eastAsia" w:cs="仿宋" w:asciiTheme="minorEastAsia" w:hAnsiTheme="minorEastAsia"/>
          <w:sz w:val="24"/>
          <w:u w:val="single"/>
        </w:rPr>
        <w:t>万元</w:t>
      </w:r>
    </w:p>
    <w:p w14:paraId="255E4F41">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5191B1B2">
      <w:pPr>
        <w:spacing w:line="360" w:lineRule="auto"/>
        <w:ind w:firstLine="480" w:firstLineChars="200"/>
        <w:rPr>
          <w:rFonts w:hAnsi="宋体"/>
          <w:sz w:val="24"/>
        </w:rPr>
      </w:pPr>
      <w:r>
        <w:rPr>
          <w:rFonts w:hint="eastAsia" w:cs="仿宋" w:asciiTheme="minorEastAsia" w:hAnsiTheme="minorEastAsia"/>
          <w:sz w:val="24"/>
          <w:lang w:val="en-US" w:eastAsia="zh-CN"/>
        </w:rPr>
        <w:t>采购三固</w:t>
      </w:r>
      <w:r>
        <w:rPr>
          <w:rFonts w:hint="eastAsia" w:cs="仿宋" w:asciiTheme="minorEastAsia" w:hAnsiTheme="minorEastAsia"/>
          <w:sz w:val="24"/>
        </w:rPr>
        <w:t>运行中心的循环水系统在线化学清洗</w:t>
      </w:r>
      <w:r>
        <w:rPr>
          <w:rFonts w:hint="eastAsia" w:cs="仿宋" w:asciiTheme="minorEastAsia" w:hAnsiTheme="minorEastAsia"/>
          <w:sz w:val="24"/>
          <w:lang w:val="en-US" w:eastAsia="zh-CN"/>
        </w:rPr>
        <w:t>服务</w:t>
      </w:r>
      <w:r>
        <w:rPr>
          <w:rFonts w:hint="eastAsia" w:cs="仿宋" w:asciiTheme="minorEastAsia" w:hAnsiTheme="minorEastAsia"/>
          <w:sz w:val="24"/>
        </w:rPr>
        <w:t>。具体要求以询价通知书第三部分采购需求为准。</w:t>
      </w:r>
    </w:p>
    <w:p w14:paraId="142DBDFB">
      <w:pPr>
        <w:spacing w:line="360" w:lineRule="auto"/>
        <w:ind w:firstLine="482" w:firstLineChars="200"/>
        <w:rPr>
          <w:rFonts w:hint="eastAsia" w:cs="仿宋" w:asciiTheme="minorEastAsia" w:hAnsiTheme="minorEastAsia"/>
          <w:sz w:val="24"/>
          <w:u w:val="single"/>
          <w:lang w:eastAsia="zh-CN"/>
        </w:rPr>
      </w:pPr>
      <w:r>
        <w:rPr>
          <w:rFonts w:hint="eastAsia" w:cs="仿宋" w:asciiTheme="minorEastAsia" w:hAnsiTheme="minorEastAsia"/>
          <w:b/>
          <w:bCs/>
          <w:sz w:val="24"/>
        </w:rPr>
        <w:t>6.合同履行期限：</w:t>
      </w:r>
      <w:r>
        <w:rPr>
          <w:rFonts w:hint="eastAsia" w:cs="仿宋" w:asciiTheme="minorEastAsia" w:hAnsiTheme="minorEastAsia"/>
          <w:sz w:val="24"/>
          <w:u w:val="single"/>
        </w:rPr>
        <w:t xml:space="preserve"> </w:t>
      </w:r>
      <w:bookmarkStart w:id="6" w:name="_Toc35393622"/>
      <w:bookmarkStart w:id="7" w:name="_Toc28359080"/>
      <w:bookmarkStart w:id="8" w:name="_Toc28359003"/>
      <w:bookmarkStart w:id="9" w:name="_Toc35393791"/>
      <w:r>
        <w:rPr>
          <w:rFonts w:hint="eastAsia" w:cs="仿宋" w:asciiTheme="minorEastAsia" w:hAnsiTheme="minorEastAsia"/>
          <w:sz w:val="24"/>
          <w:u w:val="single"/>
          <w:lang w:eastAsia="zh-CN"/>
        </w:rPr>
        <w:t xml:space="preserve"> 自合同签订后6个月内完成清洗并通过验收。</w:t>
      </w:r>
    </w:p>
    <w:p w14:paraId="6DF25A22">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本项目不接受联合体响应</w:t>
      </w:r>
      <w:r>
        <w:rPr>
          <w:rFonts w:hint="eastAsia" w:hAnsi="宋体" w:cs="宋体"/>
          <w:kern w:val="0"/>
          <w:sz w:val="24"/>
        </w:rPr>
        <w:t>。</w:t>
      </w:r>
    </w:p>
    <w:p w14:paraId="5DF3662B">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二、供应商的资格要求：</w:t>
      </w:r>
      <w:bookmarkEnd w:id="6"/>
      <w:bookmarkEnd w:id="7"/>
      <w:bookmarkEnd w:id="8"/>
      <w:bookmarkEnd w:id="9"/>
      <w:bookmarkStart w:id="10" w:name="_Toc28359081"/>
      <w:bookmarkStart w:id="11" w:name="_Toc35393792"/>
      <w:bookmarkStart w:id="12" w:name="_Toc28359004"/>
      <w:bookmarkStart w:id="13" w:name="_Toc35393623"/>
    </w:p>
    <w:p w14:paraId="2FF9180C">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1.供应商必须是在中华人民共和国境内注册，具有独立法人资格和独立承担民事责任的能力，有能力提供相关服务。</w:t>
      </w:r>
    </w:p>
    <w:p w14:paraId="52370B66">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2.近三年内，供应商未被“信用中国”</w:t>
      </w:r>
      <w:r>
        <w:rPr>
          <w:rFonts w:hint="eastAsia" w:cs="仿宋" w:asciiTheme="minorEastAsia" w:hAnsiTheme="minorEastAsia"/>
          <w:bCs/>
          <w:sz w:val="24"/>
          <w:lang w:eastAsia="zh-CN"/>
        </w:rPr>
        <w:t>（</w:t>
      </w:r>
      <w:r>
        <w:rPr>
          <w:rFonts w:hint="eastAsia" w:cs="仿宋" w:asciiTheme="minorEastAsia" w:hAnsiTheme="minorEastAsia"/>
          <w:bCs/>
          <w:sz w:val="24"/>
        </w:rPr>
        <w:t>www.creditchina.gov.cn</w:t>
      </w:r>
      <w:r>
        <w:rPr>
          <w:rFonts w:hint="eastAsia" w:cs="仿宋" w:asciiTheme="minorEastAsia" w:hAnsiTheme="minorEastAsia"/>
          <w:bCs/>
          <w:sz w:val="24"/>
          <w:lang w:eastAsia="zh-CN"/>
        </w:rPr>
        <w:t>）</w:t>
      </w:r>
      <w:r>
        <w:rPr>
          <w:rFonts w:hint="eastAsia" w:cs="仿宋" w:asciiTheme="minorEastAsia" w:hAnsiTheme="minorEastAsia"/>
          <w:bCs/>
          <w:sz w:val="24"/>
        </w:rPr>
        <w:t>、中国政府采购网</w:t>
      </w:r>
      <w:r>
        <w:rPr>
          <w:rFonts w:hint="eastAsia" w:cs="仿宋" w:asciiTheme="minorEastAsia" w:hAnsiTheme="minorEastAsia"/>
          <w:bCs/>
          <w:sz w:val="24"/>
          <w:lang w:eastAsia="zh-CN"/>
        </w:rPr>
        <w:t>（</w:t>
      </w:r>
      <w:r>
        <w:rPr>
          <w:rFonts w:hint="eastAsia" w:cs="仿宋" w:asciiTheme="minorEastAsia" w:hAnsiTheme="minorEastAsia"/>
          <w:bCs/>
          <w:sz w:val="24"/>
        </w:rPr>
        <w:t>www.ccgp.gov.cn</w:t>
      </w:r>
      <w:r>
        <w:rPr>
          <w:rFonts w:hint="eastAsia" w:cs="仿宋" w:asciiTheme="minorEastAsia" w:hAnsiTheme="minorEastAsia"/>
          <w:bCs/>
          <w:sz w:val="24"/>
          <w:lang w:eastAsia="zh-CN"/>
        </w:rPr>
        <w:t>）</w:t>
      </w:r>
      <w:r>
        <w:rPr>
          <w:rFonts w:hint="eastAsia" w:cs="仿宋" w:asciiTheme="minorEastAsia" w:hAnsiTheme="minorEastAsia"/>
          <w:bCs/>
          <w:sz w:val="24"/>
        </w:rPr>
        <w:t>等官方网站列入失信被执行人名单、重大税收违法失信主体名单、政府采购严重违法失信行为名单。</w:t>
      </w:r>
    </w:p>
    <w:p w14:paraId="25238082">
      <w:pP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sz w:val="24"/>
        </w:rPr>
        <w:t>3.业绩要求：</w:t>
      </w:r>
      <w:r>
        <w:rPr>
          <w:rFonts w:hint="eastAsia" w:cs="仿宋" w:asciiTheme="minorEastAsia" w:hAnsiTheme="minorEastAsia"/>
          <w:bCs/>
          <w:sz w:val="24"/>
          <w:u w:val="single"/>
        </w:rPr>
        <w:t>供应商提供自202</w:t>
      </w:r>
      <w:r>
        <w:rPr>
          <w:rFonts w:hint="eastAsia" w:cs="仿宋" w:asciiTheme="minorEastAsia" w:hAnsiTheme="minorEastAsia"/>
          <w:bCs/>
          <w:sz w:val="24"/>
          <w:u w:val="single"/>
          <w:lang w:val="en-US" w:eastAsia="zh-CN"/>
        </w:rPr>
        <w:t>1</w:t>
      </w:r>
      <w:r>
        <w:rPr>
          <w:rFonts w:hint="eastAsia" w:cs="仿宋" w:asciiTheme="minorEastAsia" w:hAnsiTheme="minorEastAsia"/>
          <w:bCs/>
          <w:color w:val="auto"/>
          <w:sz w:val="24"/>
          <w:u w:val="single"/>
        </w:rPr>
        <w:t>年1月1日起至少</w:t>
      </w:r>
      <w:r>
        <w:rPr>
          <w:rFonts w:hint="eastAsia" w:cs="仿宋" w:asciiTheme="minorEastAsia" w:hAnsiTheme="minorEastAsia"/>
          <w:bCs/>
          <w:color w:val="auto"/>
          <w:sz w:val="24"/>
          <w:u w:val="single"/>
          <w:lang w:val="en-US" w:eastAsia="zh-CN"/>
        </w:rPr>
        <w:t>完成过</w:t>
      </w:r>
      <w:r>
        <w:rPr>
          <w:rFonts w:hint="eastAsia" w:cs="仿宋" w:asciiTheme="minorEastAsia" w:hAnsiTheme="minorEastAsia"/>
          <w:bCs/>
          <w:color w:val="auto"/>
          <w:sz w:val="24"/>
          <w:u w:val="single"/>
        </w:rPr>
        <w:t>1例</w:t>
      </w:r>
      <w:r>
        <w:rPr>
          <w:rFonts w:hint="eastAsia" w:cs="仿宋" w:asciiTheme="minorEastAsia" w:hAnsiTheme="minorEastAsia"/>
          <w:b/>
          <w:bCs w:val="0"/>
          <w:color w:val="auto"/>
          <w:sz w:val="32"/>
          <w:szCs w:val="32"/>
          <w:u w:val="single"/>
          <w:lang w:val="en-US" w:eastAsia="zh-CN"/>
        </w:rPr>
        <w:t>工业</w:t>
      </w:r>
      <w:r>
        <w:rPr>
          <w:rFonts w:hint="eastAsia" w:cs="仿宋" w:asciiTheme="minorEastAsia" w:hAnsiTheme="minorEastAsia"/>
          <w:bCs/>
          <w:color w:val="auto"/>
          <w:sz w:val="24"/>
          <w:u w:val="single"/>
          <w:lang w:val="en-US" w:eastAsia="zh-CN"/>
        </w:rPr>
        <w:t>循</w:t>
      </w:r>
      <w:r>
        <w:rPr>
          <w:rFonts w:hint="eastAsia" w:cs="仿宋" w:asciiTheme="minorEastAsia" w:hAnsiTheme="minorEastAsia"/>
          <w:bCs/>
          <w:sz w:val="24"/>
          <w:u w:val="single"/>
          <w:lang w:val="en-US" w:eastAsia="zh-CN"/>
        </w:rPr>
        <w:t>环水的清洗服务</w:t>
      </w:r>
      <w:r>
        <w:rPr>
          <w:rFonts w:hint="eastAsia" w:cs="仿宋" w:asciiTheme="minorEastAsia" w:hAnsiTheme="minorEastAsia"/>
          <w:bCs/>
          <w:sz w:val="24"/>
          <w:u w:val="single"/>
        </w:rPr>
        <w:t>业绩（同时提供合同复印件</w:t>
      </w:r>
      <w:r>
        <w:rPr>
          <w:rFonts w:hint="eastAsia" w:cs="仿宋" w:asciiTheme="minorEastAsia" w:hAnsiTheme="minorEastAsia"/>
          <w:bCs/>
          <w:sz w:val="24"/>
          <w:u w:val="single"/>
          <w:lang w:eastAsia="zh-CN"/>
        </w:rPr>
        <w:t>，</w:t>
      </w:r>
      <w:r>
        <w:rPr>
          <w:rFonts w:hint="eastAsia" w:cs="仿宋" w:asciiTheme="minorEastAsia" w:hAnsiTheme="minorEastAsia"/>
          <w:bCs/>
          <w:sz w:val="24"/>
          <w:u w:val="single"/>
          <w:lang w:val="en-US" w:eastAsia="zh-CN"/>
        </w:rPr>
        <w:t>以合同签订时间为准</w:t>
      </w:r>
      <w:r>
        <w:rPr>
          <w:rFonts w:hint="eastAsia" w:cs="仿宋" w:asciiTheme="minorEastAsia" w:hAnsiTheme="minorEastAsia"/>
          <w:bCs/>
          <w:sz w:val="24"/>
          <w:u w:val="single"/>
        </w:rPr>
        <w:t>）</w:t>
      </w:r>
      <w:r>
        <w:rPr>
          <w:rFonts w:hint="eastAsia" w:cs="仿宋" w:asciiTheme="minorEastAsia" w:hAnsiTheme="minorEastAsia"/>
          <w:bCs/>
          <w:sz w:val="24"/>
        </w:rPr>
        <w:t>；</w:t>
      </w:r>
    </w:p>
    <w:p w14:paraId="5EFB9DF9">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4.供应商不得在杭州市环境集团有限公司不合格供应商或者在黑名单之内。</w:t>
      </w:r>
    </w:p>
    <w:p w14:paraId="1C6EDDF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56844E57">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3CFBBFA4">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本项目其他资格要求：</w:t>
      </w:r>
      <w:r>
        <w:rPr>
          <w:rFonts w:hint="eastAsia" w:cs="仿宋" w:asciiTheme="minorEastAsia" w:hAnsiTheme="minorEastAsia"/>
          <w:bCs/>
          <w:sz w:val="24"/>
          <w:u w:val="single"/>
        </w:rPr>
        <w:t>无</w:t>
      </w:r>
      <w:r>
        <w:rPr>
          <w:rFonts w:hint="eastAsia" w:cs="仿宋" w:asciiTheme="minorEastAsia" w:hAnsiTheme="minorEastAsia"/>
          <w:bCs/>
          <w:i/>
          <w:iCs/>
          <w:sz w:val="24"/>
          <w:u w:val="single"/>
        </w:rPr>
        <w:t xml:space="preserve">  。</w:t>
      </w:r>
    </w:p>
    <w:p w14:paraId="4DE70B09">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5ACB0E9B">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35393624"/>
      <w:bookmarkStart w:id="15" w:name="_Toc35393793"/>
      <w:bookmarkStart w:id="16" w:name="_Toc28359005"/>
      <w:bookmarkStart w:id="17" w:name="_Toc28359082"/>
      <w:r>
        <w:rPr>
          <w:rFonts w:hint="eastAsia" w:cs="仿宋" w:asciiTheme="minorEastAsia" w:hAnsiTheme="minorEastAsia" w:eastAsiaTheme="minorEastAsia"/>
          <w:b w:val="0"/>
          <w:sz w:val="24"/>
          <w:szCs w:val="24"/>
        </w:rPr>
        <w:t>1.时间：报价截止时间前。</w:t>
      </w:r>
    </w:p>
    <w:p w14:paraId="52E52B59">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2DF8C69A">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46735D4A">
      <w:pPr>
        <w:spacing w:line="360" w:lineRule="auto"/>
        <w:ind w:firstLine="482" w:firstLineChars="200"/>
        <w:rPr>
          <w:rFonts w:eastAsia="宋体" w:cs="宋体"/>
          <w:b/>
          <w:sz w:val="24"/>
        </w:rPr>
      </w:pPr>
      <w:r>
        <w:rPr>
          <w:rFonts w:hint="eastAsia" w:cs="仿宋" w:asciiTheme="minorEastAsia" w:hAnsiTheme="minorEastAsia"/>
          <w:b/>
          <w:bCs/>
          <w:sz w:val="24"/>
        </w:rPr>
        <w:t>四、询价保证金：</w:t>
      </w:r>
      <w:r>
        <w:rPr>
          <w:rFonts w:hint="eastAsia" w:eastAsia="宋体" w:cs="宋体"/>
          <w:bCs/>
          <w:sz w:val="24"/>
        </w:rPr>
        <w:t>本项目</w:t>
      </w:r>
      <w:r>
        <w:rPr>
          <w:rFonts w:hint="eastAsia" w:cs="宋体"/>
          <w:bCs/>
          <w:sz w:val="24"/>
          <w:u w:val="single"/>
        </w:rPr>
        <w:t>□</w:t>
      </w:r>
      <w:r>
        <w:rPr>
          <w:rFonts w:hint="eastAsia" w:eastAsia="宋体" w:cs="宋体"/>
          <w:bCs/>
          <w:sz w:val="24"/>
          <w:u w:val="single"/>
        </w:rPr>
        <w:t>需要</w:t>
      </w:r>
      <w:r>
        <w:rPr>
          <w:rFonts w:hint="eastAsia" w:cs="宋体"/>
          <w:bCs/>
          <w:sz w:val="24"/>
          <w:u w:val="single"/>
        </w:rPr>
        <w:t>/☑</w:t>
      </w:r>
      <w:r>
        <w:rPr>
          <w:rFonts w:cs="宋体"/>
          <w:bCs/>
          <w:sz w:val="24"/>
          <w:u w:val="single"/>
        </w:rPr>
        <w:t>不需要</w:t>
      </w:r>
      <w:r>
        <w:rPr>
          <w:rFonts w:hint="eastAsia" w:cs="宋体"/>
          <w:bCs/>
          <w:sz w:val="24"/>
          <w:u w:val="single"/>
        </w:rPr>
        <w:t xml:space="preserve"> 缴纳</w:t>
      </w:r>
      <w:r>
        <w:rPr>
          <w:rFonts w:hint="eastAsia" w:cs="宋体"/>
          <w:bCs/>
          <w:sz w:val="24"/>
        </w:rPr>
        <w:t>询价</w:t>
      </w:r>
      <w:r>
        <w:rPr>
          <w:rFonts w:cs="宋体"/>
          <w:bCs/>
          <w:sz w:val="24"/>
        </w:rPr>
        <w:t>保证</w:t>
      </w:r>
      <w:r>
        <w:rPr>
          <w:rFonts w:hint="eastAsia" w:cs="宋体"/>
          <w:bCs/>
          <w:sz w:val="24"/>
        </w:rPr>
        <w:t>金。交纳投标保证金</w:t>
      </w:r>
      <w:r>
        <w:rPr>
          <w:rFonts w:hint="eastAsia" w:cs="宋体"/>
          <w:sz w:val="24"/>
        </w:rPr>
        <w:t>的具体要求如下：</w:t>
      </w:r>
    </w:p>
    <w:p w14:paraId="001946C3">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1.缴纳金额：</w:t>
      </w:r>
      <w:r>
        <w:rPr>
          <w:rFonts w:hint="eastAsia" w:cs="仿宋" w:asciiTheme="minorEastAsia" w:hAnsiTheme="minorEastAsia" w:eastAsiaTheme="minorEastAsia"/>
          <w:b w:val="0"/>
          <w:sz w:val="24"/>
          <w:szCs w:val="24"/>
          <w:u w:val="single"/>
        </w:rPr>
        <w:t xml:space="preserve"> / </w:t>
      </w:r>
      <w:r>
        <w:rPr>
          <w:rFonts w:hint="eastAsia" w:cs="仿宋" w:asciiTheme="minorEastAsia" w:hAnsiTheme="minorEastAsia" w:eastAsiaTheme="minorEastAsia"/>
          <w:b w:val="0"/>
          <w:sz w:val="24"/>
          <w:szCs w:val="24"/>
        </w:rPr>
        <w:t>元，同时注明</w:t>
      </w:r>
      <w:r>
        <w:rPr>
          <w:rFonts w:hint="eastAsia" w:cs="仿宋" w:asciiTheme="minorEastAsia" w:hAnsiTheme="minorEastAsia" w:eastAsiaTheme="minorEastAsia"/>
          <w:b w:val="0"/>
          <w:sz w:val="24"/>
          <w:szCs w:val="24"/>
          <w:lang w:eastAsia="zh-CN"/>
        </w:rPr>
        <w:t>：</w:t>
      </w:r>
      <w:r>
        <w:rPr>
          <w:rFonts w:hint="eastAsia" w:cs="仿宋" w:asciiTheme="minorEastAsia" w:hAnsiTheme="minorEastAsia" w:eastAsiaTheme="minorEastAsia"/>
          <w:b w:val="0"/>
          <w:sz w:val="24"/>
          <w:szCs w:val="24"/>
          <w:u w:val="single"/>
        </w:rPr>
        <w:t xml:space="preserve"> /询价保证金</w:t>
      </w:r>
      <w:r>
        <w:rPr>
          <w:rFonts w:hint="eastAsia" w:cs="仿宋" w:asciiTheme="minorEastAsia" w:hAnsiTheme="minorEastAsia" w:eastAsiaTheme="minorEastAsia"/>
          <w:b w:val="0"/>
          <w:sz w:val="24"/>
          <w:szCs w:val="24"/>
        </w:rPr>
        <w:t>。</w:t>
      </w:r>
    </w:p>
    <w:p w14:paraId="56B415FD">
      <w:pPr>
        <w:pStyle w:val="3"/>
        <w:spacing w:before="0" w:after="0" w:line="360" w:lineRule="auto"/>
        <w:ind w:firstLine="480" w:firstLineChars="200"/>
        <w:rPr>
          <w:rFonts w:cs="仿宋" w:asciiTheme="minorEastAsia" w:hAnsiTheme="minorEastAsia" w:eastAsiaTheme="minorEastAsia"/>
          <w:b w:val="0"/>
          <w:sz w:val="24"/>
          <w:szCs w:val="24"/>
          <w:u w:val="single"/>
        </w:rPr>
      </w:pPr>
      <w:r>
        <w:rPr>
          <w:rFonts w:hint="eastAsia" w:cs="仿宋" w:asciiTheme="minorEastAsia" w:hAnsiTheme="minorEastAsia" w:eastAsiaTheme="minorEastAsia"/>
          <w:b w:val="0"/>
          <w:sz w:val="24"/>
          <w:szCs w:val="24"/>
        </w:rPr>
        <w:t>2.供应商应在响应文件开启截止日之前以电汇或网银转账方式缴纳至指定账户</w:t>
      </w:r>
      <w:r>
        <w:rPr>
          <w:rFonts w:hint="eastAsia" w:ascii="宋体" w:hAnsi="宋体" w:eastAsia="宋体" w:cs="宋体"/>
          <w:bCs w:val="0"/>
          <w:sz w:val="24"/>
          <w:szCs w:val="24"/>
        </w:rPr>
        <w:t>（</w:t>
      </w:r>
      <w:r>
        <w:rPr>
          <w:rFonts w:hint="eastAsia" w:ascii="宋体" w:hAnsi="宋体" w:eastAsia="宋体" w:cs="宋体"/>
          <w:bCs w:val="0"/>
          <w:sz w:val="24"/>
          <w:szCs w:val="24"/>
          <w:u w:val="single"/>
        </w:rPr>
        <w:t>注：必须为企业账户汇出，个人形式递交或现金递交视为未交纳</w:t>
      </w:r>
      <w:r>
        <w:rPr>
          <w:rFonts w:hint="eastAsia" w:ascii="宋体" w:hAnsi="宋体" w:eastAsia="宋体" w:cs="宋体"/>
          <w:bCs w:val="0"/>
          <w:sz w:val="24"/>
          <w:szCs w:val="24"/>
        </w:rPr>
        <w:t>）</w:t>
      </w:r>
      <w:r>
        <w:rPr>
          <w:rFonts w:hint="eastAsia" w:cs="仿宋" w:asciiTheme="minorEastAsia" w:hAnsiTheme="minorEastAsia" w:eastAsiaTheme="minorEastAsia"/>
          <w:b w:val="0"/>
          <w:sz w:val="24"/>
          <w:szCs w:val="24"/>
        </w:rPr>
        <w:t>。</w:t>
      </w:r>
      <w:r>
        <w:rPr>
          <w:rFonts w:hint="eastAsia" w:cs="仿宋" w:asciiTheme="minorEastAsia" w:hAnsiTheme="minorEastAsia" w:eastAsiaTheme="minorEastAsia"/>
          <w:b w:val="0"/>
          <w:sz w:val="24"/>
          <w:szCs w:val="24"/>
          <w:u w:val="single"/>
        </w:rPr>
        <w:t>同时将银行缴款凭证复印件作为响应文件组成部分。</w:t>
      </w:r>
    </w:p>
    <w:p w14:paraId="1C647BBA">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3.交纳账户：</w:t>
      </w:r>
    </w:p>
    <w:p w14:paraId="7D6C430B">
      <w:pPr>
        <w:pStyle w:val="3"/>
        <w:spacing w:before="0" w:after="0" w:line="360" w:lineRule="auto"/>
        <w:ind w:firstLine="480" w:firstLineChars="200"/>
        <w:rPr>
          <w:rFonts w:cs="仿宋" w:asciiTheme="minorEastAsia" w:hAnsiTheme="minorEastAsia" w:eastAsiaTheme="minorEastAsia"/>
          <w:b w:val="0"/>
          <w:sz w:val="24"/>
          <w:szCs w:val="24"/>
          <w:u w:val="single"/>
        </w:rPr>
      </w:pPr>
      <w:r>
        <w:rPr>
          <w:rFonts w:hint="eastAsia" w:cs="仿宋" w:asciiTheme="minorEastAsia" w:hAnsiTheme="minorEastAsia" w:eastAsiaTheme="minorEastAsia"/>
          <w:b w:val="0"/>
          <w:sz w:val="24"/>
          <w:szCs w:val="24"/>
        </w:rPr>
        <w:t>户    名：</w:t>
      </w:r>
      <w:r>
        <w:rPr>
          <w:rFonts w:hint="eastAsia" w:cs="仿宋" w:asciiTheme="minorEastAsia" w:hAnsiTheme="minorEastAsia" w:eastAsiaTheme="minorEastAsia"/>
          <w:b w:val="0"/>
          <w:sz w:val="24"/>
          <w:szCs w:val="24"/>
          <w:u w:val="single"/>
        </w:rPr>
        <w:t>杭州临江环境能源有限公司</w:t>
      </w:r>
    </w:p>
    <w:p w14:paraId="17C46FAC">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开户银行：</w:t>
      </w:r>
      <w:r>
        <w:rPr>
          <w:rFonts w:hint="eastAsia" w:cs="仿宋" w:asciiTheme="minorEastAsia" w:hAnsiTheme="minorEastAsia" w:eastAsiaTheme="minorEastAsia"/>
          <w:b w:val="0"/>
          <w:sz w:val="24"/>
          <w:szCs w:val="24"/>
          <w:u w:val="single"/>
        </w:rPr>
        <w:t>杭州银行大江东支行</w:t>
      </w:r>
    </w:p>
    <w:p w14:paraId="19F5AA05">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账    号：</w:t>
      </w:r>
      <w:r>
        <w:rPr>
          <w:rFonts w:hint="eastAsia" w:cs="仿宋" w:asciiTheme="minorEastAsia" w:hAnsiTheme="minorEastAsia" w:eastAsiaTheme="minorEastAsia"/>
          <w:b w:val="0"/>
          <w:sz w:val="24"/>
          <w:szCs w:val="24"/>
          <w:u w:val="single"/>
        </w:rPr>
        <w:t>3301040160008775754</w:t>
      </w:r>
    </w:p>
    <w:p w14:paraId="2D480E7F">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五、响应文件递交及开启</w:t>
      </w:r>
    </w:p>
    <w:p w14:paraId="1B6A4D87">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1.递交截止时间（同响应文件开启时间）：</w:t>
      </w:r>
      <w:r>
        <w:rPr>
          <w:rFonts w:hint="eastAsia" w:cs="仿宋" w:asciiTheme="minorEastAsia" w:hAnsiTheme="minorEastAsia"/>
          <w:sz w:val="24"/>
          <w:u w:val="single"/>
        </w:rPr>
        <w:t>2025年</w:t>
      </w:r>
      <w:r>
        <w:rPr>
          <w:rFonts w:hint="eastAsia" w:cs="仿宋" w:asciiTheme="minorEastAsia" w:hAnsiTheme="minorEastAsia"/>
          <w:sz w:val="24"/>
          <w:u w:val="single"/>
          <w:lang w:val="en-US" w:eastAsia="zh-CN"/>
        </w:rPr>
        <w:t>10</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 00秒</w:t>
      </w:r>
      <w:r>
        <w:rPr>
          <w:rFonts w:hint="eastAsia" w:cs="仿宋" w:asciiTheme="minorEastAsia" w:hAnsiTheme="minorEastAsia"/>
          <w:sz w:val="24"/>
        </w:rPr>
        <w:t>（北京时间）。</w:t>
      </w:r>
    </w:p>
    <w:p w14:paraId="39126080">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7480D992">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14:paraId="030E4215">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14:paraId="6038619E">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1.本次询价开启采用线上和线下同时进行的方式，供应商可参与现场开启，或者线上参加“腾讯会议”形式参与线上现场开启。开启期间供应商代表通过“腾讯会议”保持全程在线直至开启结束。腾讯会议号在</w:t>
      </w:r>
      <w:r>
        <w:rPr>
          <w:rFonts w:hint="eastAsia" w:cs="仿宋" w:asciiTheme="minorEastAsia" w:hAnsiTheme="minorEastAsia"/>
          <w:sz w:val="24"/>
          <w:u w:val="single"/>
        </w:rPr>
        <w:t>响应文件开启时间</w:t>
      </w:r>
      <w:r>
        <w:rPr>
          <w:rFonts w:hint="eastAsia" w:cs="仿宋" w:asciiTheme="minorEastAsia" w:hAnsiTheme="minorEastAsia"/>
          <w:sz w:val="24"/>
        </w:rPr>
        <w:t>之前在杭州临江环境能源有限公司网站公示，请各供应商及时关注进入会场。</w:t>
      </w:r>
    </w:p>
    <w:p w14:paraId="28C87E6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2.开启过程：</w:t>
      </w:r>
    </w:p>
    <w:p w14:paraId="0FD7CB15">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（1）密封性检查：由本项目采购经办人展示各个响应文件密封性情况；供应商对响应文件密封情况在线进行确认；</w:t>
      </w:r>
      <w:r>
        <w:rPr>
          <w:rFonts w:hint="eastAsia" w:cs="仿宋" w:asciiTheme="minorEastAsia" w:hAnsiTheme="minorEastAsia"/>
          <w:sz w:val="24"/>
          <w:u w:val="single"/>
        </w:rPr>
        <w:t>若供应商长时间未确认的视为无异议，不得再提出异议</w:t>
      </w:r>
      <w:r>
        <w:rPr>
          <w:rFonts w:hint="eastAsia" w:cs="仿宋" w:asciiTheme="minorEastAsia" w:hAnsiTheme="minorEastAsia"/>
          <w:sz w:val="24"/>
        </w:rPr>
        <w:t>。</w:t>
      </w:r>
    </w:p>
    <w:p w14:paraId="1AB3FD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（2）结果确认：各供应商在线回复确认记录结果完毕后（供应商因故未能确认记录结果的，默认供应商已确认开启结果），采购人打印开启记录，宣布开启会议结束，并负责保存“腾讯会议”录像。</w:t>
      </w:r>
    </w:p>
    <w:p w14:paraId="4062B7B8">
      <w:pPr>
        <w:spacing w:line="360" w:lineRule="auto"/>
        <w:ind w:firstLine="480" w:firstLineChars="200"/>
        <w:rPr>
          <w:rFonts w:cs="仿宋" w:asciiTheme="minorEastAsia" w:hAnsiTheme="minorEastAsia"/>
          <w:sz w:val="24"/>
        </w:rPr>
      </w:pPr>
      <w:r>
        <w:rPr>
          <w:rFonts w:hint="eastAsia" w:cs="仿宋" w:asciiTheme="minorEastAsia" w:hAnsiTheme="minorEastAsia"/>
          <w:sz w:val="24"/>
        </w:rPr>
        <w:t>（3）见证要求：开启期间供应商因未参与现场开启或未参加线上会议，视为认可全过程和结果，不得提出异议。</w:t>
      </w:r>
    </w:p>
    <w:p w14:paraId="12EDA953">
      <w:pPr>
        <w:spacing w:line="360" w:lineRule="auto"/>
        <w:ind w:firstLine="480" w:firstLineChars="200"/>
      </w:pPr>
      <w:r>
        <w:rPr>
          <w:rFonts w:hint="eastAsia" w:cs="仿宋" w:asciiTheme="minorEastAsia" w:hAnsiTheme="minorEastAsia"/>
          <w:sz w:val="24"/>
        </w:rPr>
        <w:t>（4）异议处理：供应商对开启过程有异议的，应在开启会议结束前通过“腾讯会议”在线上提出，采购人应现场予以答复，并做好记录。</w:t>
      </w:r>
    </w:p>
    <w:p w14:paraId="44C1E57D">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31600867">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LJHJ_CG1@LJHJNY.COM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23525EBA">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八、业务联系方式</w:t>
      </w:r>
    </w:p>
    <w:p w14:paraId="59EF6245">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color w:val="auto"/>
          <w:sz w:val="24"/>
        </w:rPr>
        <w:t>：华工</w:t>
      </w:r>
      <w:r>
        <w:rPr>
          <w:rFonts w:hint="eastAsia" w:cs="仿宋" w:asciiTheme="minorEastAsia" w:hAnsiTheme="minorEastAsia"/>
          <w:sz w:val="24"/>
        </w:rPr>
        <w:t xml:space="preserve"> 联系电话：0571-81997921 </w:t>
      </w:r>
    </w:p>
    <w:p w14:paraId="354F02BF">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九、邮寄信息及要求</w:t>
      </w:r>
    </w:p>
    <w:p w14:paraId="48E328D8">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1.邮寄地址：杭州市钱塘区临江街道红十五线与观十五线交叉口杭州临江环境能源有限公司科研楼经营管理部 </w:t>
      </w:r>
      <w:r>
        <w:rPr>
          <w:rFonts w:hint="eastAsia" w:cs="仿宋" w:asciiTheme="minorEastAsia" w:hAnsiTheme="minorEastAsia"/>
          <w:color w:val="auto"/>
          <w:sz w:val="24"/>
        </w:rPr>
        <w:t xml:space="preserve">  </w:t>
      </w:r>
      <w:r>
        <w:rPr>
          <w:rFonts w:hint="eastAsia" w:cs="仿宋" w:asciiTheme="minorEastAsia" w:hAnsiTheme="minorEastAsia"/>
          <w:color w:val="auto"/>
          <w:sz w:val="24"/>
          <w:lang w:val="en-US" w:eastAsia="zh-CN"/>
        </w:rPr>
        <w:t>华</w:t>
      </w:r>
      <w:r>
        <w:rPr>
          <w:rFonts w:hint="eastAsia" w:cs="仿宋" w:asciiTheme="minorEastAsia" w:hAnsiTheme="minorEastAsia"/>
          <w:color w:val="auto"/>
          <w:sz w:val="24"/>
        </w:rPr>
        <w:t xml:space="preserve">工 </w:t>
      </w:r>
      <w:r>
        <w:rPr>
          <w:rFonts w:hint="eastAsia" w:cs="仿宋" w:asciiTheme="minorEastAsia" w:hAnsiTheme="minorEastAsia"/>
          <w:color w:val="auto"/>
          <w:sz w:val="24"/>
          <w:lang w:val="en-US" w:eastAsia="zh-CN"/>
        </w:rPr>
        <w:t>15857174171</w:t>
      </w:r>
      <w:r>
        <w:rPr>
          <w:rFonts w:hint="eastAsia" w:cs="仿宋" w:asciiTheme="minorEastAsia" w:hAnsiTheme="minorEastAsia"/>
          <w:color w:val="auto"/>
          <w:sz w:val="24"/>
          <w:lang w:eastAsia="zh-CN"/>
        </w:rPr>
        <w:t>。</w:t>
      </w:r>
    </w:p>
    <w:p w14:paraId="6352E4AD">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14:paraId="38F3245A">
      <w:pPr>
        <w:spacing w:line="360" w:lineRule="auto"/>
        <w:ind w:firstLine="480" w:firstLineChars="200"/>
        <w:rPr>
          <w:rFonts w:cs="仿宋" w:asciiTheme="minorEastAsia" w:hAnsiTheme="minorEastAsia"/>
          <w:sz w:val="24"/>
        </w:rPr>
      </w:pPr>
      <w:r>
        <w:rPr>
          <w:rFonts w:hint="eastAsia" w:cs="仿宋" w:asciiTheme="minorEastAsia" w:hAnsiTheme="minorEastAsia"/>
          <w:sz w:val="24"/>
        </w:rPr>
        <w:t>3.响应文件邮递递交截止时间：以邮寄签收时间为准，因邮寄原因导致响应文件不能如期送达等风险由供应商自行承担。 </w:t>
      </w:r>
    </w:p>
    <w:p w14:paraId="5D051203">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十、监督部门</w:t>
      </w:r>
    </w:p>
    <w:p w14:paraId="6A1BAD84">
      <w:pPr>
        <w:spacing w:line="360" w:lineRule="auto"/>
        <w:ind w:firstLine="480" w:firstLineChars="200"/>
        <w:rPr>
          <w:rFonts w:cs="仿宋" w:asciiTheme="minorEastAsia" w:hAnsiTheme="minorEastAsia"/>
          <w:sz w:val="24"/>
        </w:rPr>
      </w:pPr>
      <w:r>
        <w:rPr>
          <w:rFonts w:hint="eastAsia" w:cs="仿宋" w:asciiTheme="minorEastAsia" w:hAnsiTheme="minorEastAsia"/>
          <w:sz w:val="24"/>
        </w:rPr>
        <w:t>监管单位： 杭州临江环境能源有限公司监察审计部</w:t>
      </w:r>
      <w:r>
        <w:rPr>
          <w:rFonts w:hint="eastAsia" w:cs="仿宋" w:asciiTheme="minorEastAsia" w:hAnsiTheme="minorEastAsia"/>
          <w:sz w:val="24"/>
        </w:rPr>
        <w:tab/>
      </w:r>
    </w:p>
    <w:p w14:paraId="5957EDFD">
      <w:pPr>
        <w:spacing w:line="360" w:lineRule="auto"/>
        <w:ind w:firstLine="480" w:firstLineChars="200"/>
        <w:rPr>
          <w:rFonts w:cs="仿宋" w:asciiTheme="minorEastAsia" w:hAnsiTheme="minorEastAsia"/>
          <w:sz w:val="24"/>
        </w:rPr>
      </w:pPr>
      <w:r>
        <w:rPr>
          <w:rFonts w:hint="eastAsia" w:cs="仿宋" w:asciiTheme="minorEastAsia" w:hAnsiTheme="minorEastAsia"/>
          <w:sz w:val="24"/>
        </w:rPr>
        <w:t>地    址：浙江省杭州市钱塘区临江街道红十五路10388-123号</w:t>
      </w:r>
      <w:r>
        <w:rPr>
          <w:rFonts w:hint="eastAsia" w:cs="仿宋" w:asciiTheme="minorEastAsia" w:hAnsiTheme="minorEastAsia"/>
          <w:sz w:val="24"/>
        </w:rPr>
        <w:tab/>
      </w:r>
    </w:p>
    <w:p w14:paraId="4B003CB7">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 系 人：吕工</w:t>
      </w:r>
      <w:r>
        <w:rPr>
          <w:rFonts w:hint="eastAsia" w:cs="仿宋" w:asciiTheme="minorEastAsia" w:hAnsiTheme="minorEastAsia"/>
          <w:sz w:val="24"/>
        </w:rPr>
        <w:tab/>
      </w:r>
    </w:p>
    <w:p w14:paraId="6320772E">
      <w:pPr>
        <w:spacing w:line="360" w:lineRule="auto"/>
        <w:ind w:firstLine="480" w:firstLineChars="200"/>
        <w:rPr>
          <w:rFonts w:cs="仿宋" w:asciiTheme="minorEastAsia" w:hAnsiTheme="minorEastAsia"/>
          <w:sz w:val="24"/>
        </w:rPr>
      </w:pPr>
      <w:r>
        <w:rPr>
          <w:rFonts w:hint="eastAsia" w:cs="仿宋" w:asciiTheme="minorEastAsia" w:hAnsiTheme="minorEastAsia"/>
          <w:sz w:val="24"/>
        </w:rPr>
        <w:t>电    话：0571-81997962</w:t>
      </w:r>
      <w:r>
        <w:rPr>
          <w:rFonts w:hint="eastAsia" w:cs="仿宋" w:asciiTheme="minorEastAsia" w:hAnsiTheme="minorEastAsia"/>
          <w:sz w:val="24"/>
        </w:rPr>
        <w:tab/>
      </w:r>
    </w:p>
    <w:p w14:paraId="0F4C2E68">
      <w:pPr>
        <w:spacing w:line="360" w:lineRule="auto"/>
        <w:ind w:firstLine="480" w:firstLineChars="200"/>
        <w:rPr>
          <w:rFonts w:cs="仿宋" w:asciiTheme="minorEastAsia" w:hAnsiTheme="minorEastAsia"/>
          <w:sz w:val="24"/>
        </w:rPr>
      </w:pPr>
    </w:p>
    <w:p w14:paraId="4BC2FC02">
      <w:pPr>
        <w:spacing w:line="360" w:lineRule="auto"/>
        <w:ind w:firstLine="3840" w:firstLineChars="1600"/>
        <w:rPr>
          <w:rFonts w:cs="仿宋" w:asciiTheme="minorEastAsia" w:hAnsiTheme="minorEastAsia"/>
          <w:sz w:val="24"/>
        </w:rPr>
      </w:pPr>
    </w:p>
    <w:p w14:paraId="099BE257">
      <w:pPr>
        <w:spacing w:line="360" w:lineRule="auto"/>
        <w:ind w:firstLine="3840" w:firstLineChars="1600"/>
        <w:rPr>
          <w:rFonts w:cs="仿宋" w:asciiTheme="minorEastAsia" w:hAnsiTheme="minorEastAsia"/>
          <w:sz w:val="24"/>
        </w:rPr>
      </w:pPr>
    </w:p>
    <w:p w14:paraId="111D4E35">
      <w:pPr>
        <w:spacing w:line="360" w:lineRule="auto"/>
        <w:ind w:firstLine="3840" w:firstLineChars="1600"/>
        <w:jc w:val="right"/>
        <w:rPr>
          <w:rFonts w:cs="仿宋" w:asciiTheme="minorEastAsia" w:hAnsiTheme="minorEastAsia"/>
          <w:sz w:val="24"/>
        </w:rPr>
      </w:pPr>
      <w:r>
        <w:rPr>
          <w:rFonts w:hint="eastAsia" w:cs="仿宋" w:asciiTheme="minorEastAsia" w:hAnsiTheme="minorEastAsia"/>
          <w:sz w:val="24"/>
        </w:rPr>
        <w:t>杭州临江环境能源有限公司</w:t>
      </w:r>
    </w:p>
    <w:p w14:paraId="016DE7D2">
      <w:pPr>
        <w:spacing w:line="360" w:lineRule="auto"/>
        <w:ind w:firstLine="4320" w:firstLineChars="1800"/>
        <w:jc w:val="right"/>
        <w:rPr>
          <w:rFonts w:hint="eastAsia" w:cs="仿宋" w:asciiTheme="minorEastAsia" w:hAnsiTheme="minorEastAsia" w:eastAsiaTheme="minorEastAsia"/>
          <w:b/>
          <w:bCs/>
          <w:sz w:val="24"/>
          <w:lang w:eastAsia="zh-CN"/>
        </w:rPr>
      </w:pPr>
      <w:r>
        <w:rPr>
          <w:rFonts w:hint="eastAsia" w:cs="仿宋" w:asciiTheme="minorEastAsia" w:hAnsiTheme="minorEastAsia"/>
          <w:sz w:val="24"/>
          <w:lang w:eastAsia="zh-CN"/>
        </w:rPr>
        <w:t>2025年9月29日</w:t>
      </w:r>
    </w:p>
    <w:bookmarkEnd w:id="493"/>
    <w:p w14:paraId="5B60E1EC">
      <w:pPr>
        <w:spacing w:line="460" w:lineRule="exact"/>
        <w:jc w:val="center"/>
        <w:rPr>
          <w:rFonts w:cs="仿宋" w:asciiTheme="minorEastAsia" w:hAnsiTheme="minorEastAsia"/>
          <w:b/>
          <w:bCs/>
          <w:sz w:val="36"/>
          <w:szCs w:val="36"/>
        </w:rPr>
      </w:pPr>
    </w:p>
    <w:p w14:paraId="099E5B5D">
      <w:pPr>
        <w:pStyle w:val="16"/>
      </w:pPr>
    </w:p>
    <w:p w14:paraId="7E728851">
      <w:pPr>
        <w:spacing w:line="460" w:lineRule="exact"/>
        <w:jc w:val="center"/>
        <w:rPr>
          <w:rFonts w:cs="仿宋" w:asciiTheme="minorEastAsia" w:hAnsiTheme="minorEastAsia"/>
          <w:b/>
          <w:bCs/>
          <w:sz w:val="36"/>
          <w:szCs w:val="36"/>
        </w:rPr>
      </w:pPr>
    </w:p>
    <w:p w14:paraId="0A4C59CA">
      <w:pPr>
        <w:rPr>
          <w:rFonts w:cs="仿宋" w:asciiTheme="minorEastAsia" w:hAnsiTheme="minorEastAsia"/>
          <w:b/>
          <w:bCs/>
          <w:sz w:val="36"/>
          <w:szCs w:val="36"/>
        </w:rPr>
      </w:pPr>
      <w:r>
        <w:rPr>
          <w:rFonts w:hint="eastAsia" w:cs="仿宋" w:asciiTheme="minorEastAsia" w:hAnsiTheme="minorEastAsia"/>
          <w:b/>
          <w:bCs/>
          <w:sz w:val="36"/>
          <w:szCs w:val="36"/>
        </w:rPr>
        <w:br w:type="page"/>
      </w:r>
    </w:p>
    <w:p w14:paraId="67FBE165">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5F912FFB">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7412A9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07C2A27">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299BD2AC">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34040ED6">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14:paraId="515342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9E76963">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377F4B04">
            <w:pPr>
              <w:pStyle w:val="20"/>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1E6F7392">
            <w:pPr>
              <w:pStyle w:val="20"/>
              <w:snapToGrid w:val="0"/>
              <w:spacing w:line="400" w:lineRule="exact"/>
              <w:ind w:right="42" w:rightChars="20"/>
              <w:rPr>
                <w:szCs w:val="21"/>
              </w:rPr>
            </w:pPr>
            <w:r>
              <w:rPr>
                <w:rFonts w:hint="eastAsia"/>
                <w:snapToGrid w:val="0"/>
                <w:szCs w:val="21"/>
              </w:rPr>
              <w:t>详见采购公告</w:t>
            </w:r>
          </w:p>
        </w:tc>
      </w:tr>
      <w:tr w14:paraId="3644DA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0B1B75AB">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048EC5C9">
            <w:pPr>
              <w:pStyle w:val="20"/>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2DAED9AE">
            <w:pPr>
              <w:pStyle w:val="20"/>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14:paraId="2AAC5837">
            <w:pPr>
              <w:pStyle w:val="20"/>
              <w:snapToGrid w:val="0"/>
              <w:spacing w:line="400" w:lineRule="exact"/>
              <w:ind w:right="42" w:rightChars="20"/>
              <w:rPr>
                <w:snapToGrid w:val="0"/>
                <w:szCs w:val="21"/>
              </w:rPr>
            </w:pPr>
            <w:r>
              <w:rPr>
                <w:rFonts w:hint="eastAsia"/>
                <w:snapToGrid w:val="0"/>
                <w:szCs w:val="21"/>
              </w:rPr>
              <w:t>资格条件见采购公告</w:t>
            </w:r>
          </w:p>
        </w:tc>
      </w:tr>
      <w:tr w14:paraId="7C380E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262260DB">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00266C85">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036AC4E8">
            <w:pPr>
              <w:spacing w:line="360" w:lineRule="auto"/>
              <w:rPr>
                <w:rFonts w:ascii="宋体" w:hAnsi="宋体" w:eastAsia="宋体" w:cs="宋体"/>
                <w:szCs w:val="21"/>
              </w:rPr>
            </w:pPr>
            <w:r>
              <w:rPr>
                <w:rFonts w:hint="eastAsia" w:ascii="宋体" w:hAnsi="宋体" w:eastAsia="宋体" w:cs="宋体"/>
                <w:szCs w:val="21"/>
              </w:rPr>
              <w:t>不组织，供应商经采购人同意后可自行前往对项目现场和周围环境进行踏勘和了解。</w:t>
            </w:r>
          </w:p>
        </w:tc>
      </w:tr>
      <w:tr w14:paraId="1E66A9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D0BBF6C">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33BD0D0">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7ACA5DC6">
            <w:pPr>
              <w:spacing w:line="360" w:lineRule="auto"/>
              <w:rPr>
                <w:rFonts w:ascii="宋体" w:hAnsi="宋体" w:eastAsia="宋体" w:cs="宋体"/>
                <w:szCs w:val="21"/>
              </w:rPr>
            </w:pPr>
            <w:sdt>
              <w:sdtPr>
                <w:rPr>
                  <w:rFonts w:hint="eastAsia" w:ascii="宋体" w:hAnsi="宋体" w:eastAsia="宋体" w:cs="宋体"/>
                  <w:kern w:val="0"/>
                  <w:szCs w:val="21"/>
                </w:rPr>
                <w:id w:val="147454485"/>
              </w:sdtPr>
              <w:sdtEndPr>
                <w:rPr>
                  <w:rFonts w:hint="eastAsia" w:ascii="宋体" w:hAnsi="宋体" w:eastAsia="宋体" w:cs="宋体"/>
                  <w:kern w:val="0"/>
                  <w:szCs w:val="21"/>
                </w:rPr>
              </w:sdtEndPr>
              <w:sdtContent>
                <w:sdt>
                  <w:sdtPr>
                    <w:rPr>
                      <w:rFonts w:hint="eastAsia" w:ascii="宋体" w:hAnsi="宋体" w:eastAsia="宋体" w:cs="宋体"/>
                      <w:kern w:val="0"/>
                      <w:szCs w:val="21"/>
                    </w:rPr>
                    <w:id w:val="14746310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14:paraId="001E7587">
            <w:pPr>
              <w:spacing w:line="360" w:lineRule="auto"/>
              <w:rPr>
                <w:rFonts w:ascii="宋体" w:hAnsi="宋体" w:eastAsia="宋体" w:cs="宋体"/>
                <w:szCs w:val="21"/>
                <w:u w:val="single"/>
              </w:rPr>
            </w:pPr>
            <w:sdt>
              <w:sdtPr>
                <w:rPr>
                  <w:rFonts w:hint="eastAsia" w:ascii="宋体" w:hAnsi="宋体" w:eastAsia="宋体" w:cs="宋体"/>
                  <w:kern w:val="0"/>
                  <w:szCs w:val="21"/>
                </w:rPr>
                <w:id w:val="14746587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47452066"/>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14:paraId="7B3B9F92">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b/>
                <w:bCs/>
                <w:sz w:val="24"/>
                <w:u w:val="single"/>
              </w:rPr>
              <w:t>/</w:t>
            </w:r>
            <w:r>
              <w:rPr>
                <w:rFonts w:hint="eastAsia" w:ascii="宋体" w:hAnsi="宋体" w:eastAsia="宋体" w:cs="宋体"/>
                <w:szCs w:val="21"/>
              </w:rPr>
              <w:t>作为样品，从样品中能看出材质、样式结构、质量等关键信息并予以标注，样品作为后续验收参考标准之一。</w:t>
            </w:r>
          </w:p>
        </w:tc>
      </w:tr>
      <w:tr w14:paraId="497532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53061BF0">
            <w:pPr>
              <w:jc w:val="center"/>
              <w:rPr>
                <w:rFonts w:ascii="宋体" w:hAnsi="宋体" w:eastAsia="宋体" w:cs="宋体"/>
              </w:rPr>
            </w:pPr>
            <w:r>
              <w:rPr>
                <w:rFonts w:hint="eastAsia" w:ascii="宋体" w:hAnsi="宋体" w:eastAsia="宋体" w:cs="宋体"/>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BD30E93">
            <w:pPr>
              <w:jc w:val="center"/>
              <w:rPr>
                <w:rFonts w:ascii="宋体" w:hAnsi="宋体" w:eastAsia="宋体" w:cs="宋体"/>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06726F2">
            <w:pPr>
              <w:jc w:val="center"/>
              <w:rPr>
                <w:rFonts w:ascii="宋体" w:hAnsi="宋体" w:eastAsia="宋体" w:cs="宋体"/>
              </w:rPr>
            </w:pPr>
            <w:r>
              <w:rPr>
                <w:rFonts w:hint="eastAsia" w:ascii="宋体" w:hAnsi="宋体" w:eastAsia="宋体" w:cs="宋体"/>
              </w:rPr>
              <w:t>详见采购公告</w:t>
            </w:r>
          </w:p>
        </w:tc>
      </w:tr>
      <w:tr w14:paraId="02BFC7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2111021C">
            <w:pPr>
              <w:snapToGrid w:val="0"/>
              <w:spacing w:line="360" w:lineRule="auto"/>
              <w:jc w:val="center"/>
              <w:rPr>
                <w:rFonts w:ascii="宋体" w:hAnsi="宋体" w:eastAsia="宋体" w:cs="宋体"/>
                <w:szCs w:val="21"/>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7F773052">
            <w:pPr>
              <w:spacing w:line="360" w:lineRule="auto"/>
              <w:jc w:val="center"/>
              <w:outlineLvl w:val="1"/>
              <w:rPr>
                <w:rFonts w:ascii="宋体" w:hAnsi="宋体" w:eastAsia="宋体" w:cs="宋体"/>
                <w:szCs w:val="21"/>
              </w:rPr>
            </w:pPr>
            <w:r>
              <w:rPr>
                <w:rFonts w:hint="eastAsia" w:ascii="宋体" w:hAnsi="宋体" w:eastAsia="宋体" w:cs="宋体"/>
                <w:b/>
                <w:bCs/>
                <w:szCs w:val="21"/>
              </w:rPr>
              <w:t>报价文件份数及其他要求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szCs w:val="21"/>
              </w:rPr>
              <w:id w:val="147452531"/>
            </w:sdtPr>
            <w:sdtEndPr>
              <w:rPr>
                <w:rFonts w:hint="eastAsia" w:ascii="宋体" w:hAnsi="宋体" w:eastAsia="宋体" w:cs="宋体"/>
                <w:b/>
                <w:bCs/>
                <w:szCs w:val="21"/>
              </w:rPr>
            </w:sdtEndPr>
            <w:sdtContent>
              <w:p w14:paraId="20A5DF49">
                <w:pPr>
                  <w:spacing w:line="360" w:lineRule="auto"/>
                  <w:outlineLvl w:val="1"/>
                  <w:rPr>
                    <w:rFonts w:ascii="宋体" w:hAnsi="宋体" w:eastAsia="宋体" w:cs="宋体"/>
                    <w:b/>
                    <w:bCs/>
                    <w:szCs w:val="21"/>
                    <w:lang w:val="zh-CN"/>
                  </w:rPr>
                </w:pPr>
                <w:r>
                  <w:rPr>
                    <w:rFonts w:hint="eastAsia" w:ascii="宋体" w:hAnsi="宋体" w:eastAsia="宋体" w:cs="宋体"/>
                    <w:szCs w:val="21"/>
                  </w:rPr>
                  <w:t>报价响应文件份数：1正2副 ；</w:t>
                </w:r>
                <w:r>
                  <w:rPr>
                    <w:rFonts w:hint="eastAsia" w:ascii="宋体" w:hAnsi="宋体" w:eastAsia="宋体" w:cs="宋体"/>
                    <w:b/>
                    <w:bCs/>
                    <w:szCs w:val="21"/>
                  </w:rPr>
                  <w:t>供应商根据采购人要求提供响应文件的PDF文件及word版本各1份。</w:t>
                </w:r>
              </w:p>
            </w:sdtContent>
          </w:sdt>
        </w:tc>
      </w:tr>
      <w:tr w14:paraId="404808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12258A5">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3DC96324">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D70AB6F">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14:paraId="66D6CE0F">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14:paraId="74C1DD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D798685">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27053B25">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14:paraId="55B014CB">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6C80609A">
            <w:pPr>
              <w:autoSpaceDE w:val="0"/>
              <w:autoSpaceDN w:val="0"/>
              <w:adjustRightInd w:val="0"/>
              <w:snapToGrid w:val="0"/>
              <w:spacing w:line="320" w:lineRule="exact"/>
            </w:pPr>
            <w:r>
              <w:rPr>
                <w:rFonts w:hint="eastAsia" w:ascii="宋体" w:hAnsi="宋体" w:cs="宋体"/>
                <w:kern w:val="0"/>
                <w:szCs w:val="21"/>
              </w:rPr>
              <w:sym w:font="Wingdings" w:char="00FE"/>
            </w:r>
            <w:r>
              <w:rPr>
                <w:rFonts w:hint="eastAsia"/>
              </w:rPr>
              <w:t>经评审后最低投标价法。</w:t>
            </w:r>
          </w:p>
          <w:p w14:paraId="760D262B">
            <w:pPr>
              <w:autoSpaceDE w:val="0"/>
              <w:autoSpaceDN w:val="0"/>
              <w:adjustRightInd w:val="0"/>
              <w:snapToGrid w:val="0"/>
              <w:spacing w:line="320" w:lineRule="exact"/>
            </w:pPr>
            <w:r>
              <w:rPr>
                <w:rFonts w:hint="eastAsia" w:ascii="宋体" w:hAnsi="宋体" w:cs="宋体"/>
                <w:kern w:val="0"/>
                <w:szCs w:val="21"/>
              </w:rPr>
              <w:sym w:font="Wingdings" w:char="00A8"/>
            </w:r>
            <w:r>
              <w:rPr>
                <w:rFonts w:hint="eastAsia" w:ascii="宋体" w:hAnsi="宋体" w:cs="宋体"/>
                <w:kern w:val="0"/>
                <w:szCs w:val="21"/>
              </w:rPr>
              <w:t>其他</w:t>
            </w:r>
            <w:r>
              <w:rPr>
                <w:rFonts w:hint="eastAsia"/>
              </w:rPr>
              <w:t>。</w:t>
            </w:r>
          </w:p>
          <w:p w14:paraId="653D5CDC">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14:paraId="598091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B150E4A">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53F34D8C">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响应文件开启时应携带的资料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50F329B">
            <w:pPr>
              <w:autoSpaceDE w:val="0"/>
              <w:autoSpaceDN w:val="0"/>
              <w:adjustRightInd w:val="0"/>
              <w:snapToGrid w:val="0"/>
              <w:spacing w:line="400" w:lineRule="exact"/>
            </w:pPr>
            <w:r>
              <w:rPr>
                <w:rFonts w:hint="eastAsia" w:ascii="宋体" w:hAnsi="宋体" w:eastAsia="宋体" w:cs="宋体"/>
                <w:kern w:val="0"/>
                <w:szCs w:val="21"/>
                <w:lang w:val="zh-CN"/>
              </w:rPr>
              <w:t>详见第</w:t>
            </w:r>
            <w:r>
              <w:rPr>
                <w:rFonts w:hint="eastAsia" w:ascii="宋体" w:hAnsi="宋体" w:eastAsia="宋体" w:cs="宋体"/>
                <w:kern w:val="0"/>
                <w:szCs w:val="21"/>
              </w:rPr>
              <w:t>六</w:t>
            </w:r>
            <w:r>
              <w:rPr>
                <w:rFonts w:hint="eastAsia" w:ascii="宋体" w:hAnsi="宋体" w:eastAsia="宋体" w:cs="宋体"/>
                <w:kern w:val="0"/>
                <w:szCs w:val="21"/>
                <w:lang w:val="zh-CN"/>
              </w:rPr>
              <w:t>章“应提交的有关格式范例”，委托代理人的则须提供授权委托书）原件。</w:t>
            </w:r>
            <w:r>
              <w:rPr>
                <w:rFonts w:hint="eastAsia" w:ascii="宋体" w:hAnsi="宋体" w:eastAsia="宋体" w:cs="宋体"/>
                <w:kern w:val="0"/>
                <w:szCs w:val="21"/>
              </w:rPr>
              <w:t>若</w:t>
            </w:r>
            <w:r>
              <w:rPr>
                <w:rFonts w:hint="eastAsia" w:ascii="宋体" w:hAnsi="宋体" w:eastAsia="宋体" w:cs="宋体"/>
                <w:kern w:val="0"/>
                <w:szCs w:val="21"/>
                <w:lang w:val="zh-CN"/>
              </w:rPr>
              <w:t>密封在</w:t>
            </w:r>
            <w:r>
              <w:rPr>
                <w:rFonts w:hint="eastAsia" w:ascii="宋体" w:hAnsi="宋体" w:eastAsia="宋体" w:cs="宋体"/>
                <w:kern w:val="0"/>
                <w:szCs w:val="21"/>
              </w:rPr>
              <w:t>响应</w:t>
            </w:r>
            <w:r>
              <w:rPr>
                <w:rFonts w:hint="eastAsia" w:ascii="宋体" w:hAnsi="宋体" w:eastAsia="宋体" w:cs="宋体"/>
                <w:kern w:val="0"/>
                <w:szCs w:val="21"/>
                <w:lang w:val="zh-CN"/>
              </w:rPr>
              <w:t>文件里，开启后查验符合要求也可以。</w:t>
            </w:r>
          </w:p>
        </w:tc>
      </w:tr>
      <w:tr w14:paraId="02163F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D5B7C2F">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6A5FD778">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评审小组组建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3B36008E">
            <w:pPr>
              <w:autoSpaceDE w:val="0"/>
              <w:autoSpaceDN w:val="0"/>
              <w:adjustRightInd w:val="0"/>
              <w:snapToGrid w:val="0"/>
              <w:spacing w:line="400" w:lineRule="exact"/>
              <w:rPr>
                <w:rFonts w:ascii="宋体" w:hAnsi="宋体" w:eastAsia="宋体" w:cs="宋体"/>
                <w:kern w:val="0"/>
                <w:szCs w:val="21"/>
                <w:highlight w:val="yellow"/>
                <w:lang w:val="zh-CN"/>
              </w:rPr>
            </w:pPr>
            <w:r>
              <w:rPr>
                <w:rFonts w:hint="eastAsia" w:ascii="宋体" w:hAnsi="宋体" w:eastAsia="宋体" w:cs="宋体"/>
                <w:kern w:val="0"/>
                <w:szCs w:val="21"/>
              </w:rPr>
              <w:t>评审小组</w:t>
            </w:r>
            <w:r>
              <w:rPr>
                <w:rFonts w:hint="eastAsia" w:ascii="宋体" w:hAnsi="宋体" w:eastAsia="宋体" w:cs="宋体"/>
                <w:kern w:val="0"/>
                <w:szCs w:val="21"/>
                <w:lang w:val="zh-CN"/>
              </w:rPr>
              <w:t>由</w:t>
            </w:r>
            <w:r>
              <w:rPr>
                <w:rFonts w:hint="eastAsia" w:ascii="宋体" w:hAnsi="宋体" w:eastAsia="宋体" w:cs="宋体"/>
                <w:kern w:val="0"/>
                <w:szCs w:val="21"/>
              </w:rPr>
              <w:t>采购</w:t>
            </w:r>
            <w:r>
              <w:rPr>
                <w:rFonts w:hint="eastAsia" w:ascii="宋体" w:hAnsi="宋体" w:eastAsia="宋体" w:cs="宋体"/>
                <w:kern w:val="0"/>
                <w:szCs w:val="21"/>
                <w:lang w:val="zh-CN"/>
              </w:rPr>
              <w:t xml:space="preserve">人组建，由 </w:t>
            </w:r>
            <w:r>
              <w:rPr>
                <w:rFonts w:hint="eastAsia" w:ascii="宋体" w:hAnsi="宋体" w:eastAsia="宋体" w:cs="宋体"/>
                <w:kern w:val="0"/>
                <w:szCs w:val="21"/>
              </w:rPr>
              <w:t>3</w:t>
            </w:r>
            <w:r>
              <w:rPr>
                <w:rFonts w:hint="eastAsia" w:ascii="宋体" w:hAnsi="宋体" w:eastAsia="宋体" w:cs="宋体"/>
                <w:kern w:val="0"/>
                <w:szCs w:val="21"/>
                <w:lang w:val="zh-CN"/>
              </w:rPr>
              <w:t>人组成</w:t>
            </w:r>
          </w:p>
        </w:tc>
      </w:tr>
      <w:tr w14:paraId="3452FC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1E53C43">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4940A780">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推荐成交候选人的人数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06EBCC3A">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14:paraId="2E9ADA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F6BE991">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14:paraId="700EEB72">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4AD24D8B">
            <w:pPr>
              <w:pStyle w:val="22"/>
              <w:snapToGrid w:val="0"/>
              <w:spacing w:line="400" w:lineRule="exact"/>
              <w:ind w:firstLine="0" w:firstLineChars="0"/>
              <w:jc w:val="left"/>
              <w:rPr>
                <w:rFonts w:ascii="宋体" w:hAnsi="宋体" w:eastAsia="宋体" w:cs="宋体"/>
              </w:rPr>
            </w:pPr>
            <w:r>
              <w:rPr>
                <w:rFonts w:hint="eastAsia" w:ascii="宋体" w:hAnsi="宋体" w:cs="宋体"/>
              </w:rPr>
              <w:t>履约保证金金额：</w:t>
            </w:r>
            <w:r>
              <w:rPr>
                <w:rFonts w:hint="eastAsia" w:ascii="宋体" w:hAnsi="宋体" w:eastAsia="宋体" w:cs="宋体"/>
                <w:szCs w:val="21"/>
              </w:rPr>
              <w:sym w:font="Wingdings" w:char="00FE"/>
            </w:r>
            <w:r>
              <w:rPr>
                <w:rFonts w:hint="eastAsia" w:ascii="宋体" w:hAnsi="宋体" w:eastAsia="宋体" w:cs="宋体"/>
                <w:szCs w:val="21"/>
              </w:rPr>
              <w:t>有，</w:t>
            </w:r>
            <w:r>
              <w:rPr>
                <w:rFonts w:hint="eastAsia" w:ascii="宋体" w:hAnsi="宋体" w:cs="宋体"/>
              </w:rPr>
              <w:t>约合同价的</w:t>
            </w:r>
            <w:r>
              <w:rPr>
                <w:rFonts w:ascii="宋体" w:hAnsi="宋体" w:cs="宋体"/>
              </w:rPr>
              <w:t>5</w:t>
            </w:r>
            <w:r>
              <w:rPr>
                <w:rFonts w:hint="eastAsia" w:ascii="宋体" w:hAnsi="宋体" w:cs="宋体"/>
              </w:rPr>
              <w:t>%；</w:t>
            </w:r>
            <w:r>
              <w:rPr>
                <w:rFonts w:hint="eastAsia" w:ascii="宋体" w:hAnsi="宋体" w:eastAsia="宋体" w:cs="宋体"/>
                <w:szCs w:val="21"/>
              </w:rPr>
              <w:sym w:font="Wingdings" w:char="00A8"/>
            </w:r>
            <w:r>
              <w:rPr>
                <w:rFonts w:hint="eastAsia" w:ascii="宋体" w:hAnsi="宋体" w:eastAsia="宋体" w:cs="宋体"/>
                <w:szCs w:val="21"/>
              </w:rPr>
              <w:t>无；</w:t>
            </w:r>
          </w:p>
          <w:p w14:paraId="55F8DFE5">
            <w:pPr>
              <w:pStyle w:val="22"/>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14:paraId="6C4E3FB7">
            <w:pPr>
              <w:pStyle w:val="22"/>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14:paraId="19F90EAB">
            <w:pPr>
              <w:pStyle w:val="22"/>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14:paraId="5EE17C39">
            <w:pPr>
              <w:pStyle w:val="22"/>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履约保证金有效期限：履约保证金将在本项目合同到期或终止后，扣除供应商应承担的违约金、损失赔偿金等款项后经供应商申请30个工作日后无息退还。</w:t>
            </w:r>
          </w:p>
        </w:tc>
      </w:tr>
      <w:tr w14:paraId="678273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2FE171">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14:paraId="5EF68978">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1B84A88D">
            <w:pPr>
              <w:pStyle w:val="20"/>
              <w:snapToGrid w:val="0"/>
              <w:spacing w:line="400" w:lineRule="exact"/>
              <w:ind w:right="42" w:rightChars="20"/>
              <w:rPr>
                <w:snapToGrid w:val="0"/>
                <w:szCs w:val="21"/>
              </w:rPr>
            </w:pPr>
            <w:r>
              <w:rPr>
                <w:rFonts w:hint="eastAsia"/>
                <w:snapToGrid w:val="0"/>
                <w:szCs w:val="21"/>
              </w:rPr>
              <w:t>是否分册装订：</w:t>
            </w:r>
          </w:p>
          <w:p w14:paraId="2A40E3D9">
            <w:pPr>
              <w:pStyle w:val="20"/>
              <w:snapToGrid w:val="0"/>
              <w:spacing w:line="400" w:lineRule="exact"/>
              <w:ind w:right="42" w:rightChars="20"/>
              <w:rPr>
                <w:snapToGrid w:val="0"/>
                <w:szCs w:val="21"/>
              </w:rPr>
            </w:pPr>
            <w:r>
              <w:rPr>
                <w:rFonts w:hint="eastAsia"/>
                <w:szCs w:val="21"/>
              </w:rPr>
              <w:sym w:font="Wingdings" w:char="00FE"/>
            </w:r>
            <w:r>
              <w:rPr>
                <w:rFonts w:hint="eastAsia"/>
                <w:snapToGrid w:val="0"/>
                <w:szCs w:val="21"/>
              </w:rPr>
              <w:t>不分册装订；</w:t>
            </w:r>
          </w:p>
          <w:p w14:paraId="72C23F99">
            <w:pPr>
              <w:pStyle w:val="20"/>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14:paraId="5292F973">
            <w:pPr>
              <w:pStyle w:val="20"/>
              <w:snapToGrid w:val="0"/>
              <w:spacing w:line="400" w:lineRule="exact"/>
              <w:ind w:right="42" w:rightChars="20"/>
              <w:rPr>
                <w:lang w:val="en-US"/>
              </w:rPr>
            </w:pPr>
            <w:r>
              <w:rPr>
                <w:rFonts w:hint="eastAsia"/>
                <w:snapToGrid w:val="0"/>
                <w:szCs w:val="21"/>
              </w:rPr>
              <w:t>装订要求：A4幅面，单面或</w:t>
            </w:r>
            <w:r>
              <w:rPr>
                <w:rFonts w:hint="eastAsia"/>
                <w:b/>
                <w:bCs/>
                <w:snapToGrid w:val="0"/>
                <w:szCs w:val="21"/>
              </w:rPr>
              <w:t>双面</w:t>
            </w:r>
            <w:r>
              <w:rPr>
                <w:rFonts w:hint="eastAsia"/>
                <w:snapToGrid w:val="0"/>
                <w:szCs w:val="21"/>
              </w:rPr>
              <w:t>打印，装订应牢固、不易拆散和换页。</w:t>
            </w:r>
          </w:p>
        </w:tc>
      </w:tr>
      <w:tr w14:paraId="09DC1F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095A5748">
            <w:pPr>
              <w:snapToGrid w:val="0"/>
              <w:spacing w:line="360" w:lineRule="auto"/>
              <w:jc w:val="center"/>
              <w:rPr>
                <w:rFonts w:ascii="宋体" w:hAnsi="宋体" w:eastAsia="宋体" w:cs="宋体"/>
                <w:szCs w:val="21"/>
              </w:rPr>
            </w:pPr>
            <w:r>
              <w:rPr>
                <w:rFonts w:hint="eastAsia" w:ascii="宋体" w:hAnsi="宋体" w:eastAsia="宋体" w:cs="宋体"/>
                <w:szCs w:val="21"/>
              </w:rPr>
              <w:t>14</w:t>
            </w:r>
          </w:p>
        </w:tc>
        <w:tc>
          <w:tcPr>
            <w:tcW w:w="1593" w:type="dxa"/>
            <w:tcBorders>
              <w:top w:val="single" w:color="000000" w:sz="8" w:space="0"/>
              <w:left w:val="single" w:color="000000" w:sz="2" w:space="0"/>
              <w:bottom w:val="single" w:color="000000" w:sz="8" w:space="0"/>
              <w:right w:val="single" w:color="000000" w:sz="8" w:space="0"/>
            </w:tcBorders>
            <w:vAlign w:val="center"/>
          </w:tcPr>
          <w:p w14:paraId="54D5EB21">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1CDA513F">
            <w:pPr>
              <w:pStyle w:val="20"/>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14:paraId="2B51D398">
      <w:pPr>
        <w:spacing w:line="360" w:lineRule="auto"/>
        <w:jc w:val="center"/>
        <w:outlineLvl w:val="0"/>
        <w:rPr>
          <w:rFonts w:cs="仿宋" w:asciiTheme="minorEastAsia" w:hAnsiTheme="minorEastAsia"/>
          <w:b/>
          <w:sz w:val="32"/>
          <w:szCs w:val="20"/>
        </w:rPr>
      </w:pPr>
    </w:p>
    <w:p w14:paraId="7926E7E8">
      <w:pPr>
        <w:spacing w:line="360" w:lineRule="auto"/>
        <w:jc w:val="center"/>
        <w:outlineLvl w:val="0"/>
        <w:rPr>
          <w:rFonts w:cs="仿宋" w:asciiTheme="minorEastAsia" w:hAnsiTheme="minorEastAsia"/>
          <w:b/>
          <w:sz w:val="32"/>
          <w:szCs w:val="20"/>
        </w:rPr>
      </w:pPr>
    </w:p>
    <w:p w14:paraId="1761C62B">
      <w:pPr>
        <w:spacing w:line="360" w:lineRule="auto"/>
        <w:jc w:val="center"/>
        <w:outlineLvl w:val="0"/>
        <w:rPr>
          <w:rFonts w:cs="仿宋" w:asciiTheme="minorEastAsia" w:hAnsiTheme="minorEastAsia"/>
          <w:b/>
          <w:sz w:val="32"/>
          <w:szCs w:val="20"/>
        </w:rPr>
      </w:pPr>
    </w:p>
    <w:p w14:paraId="7D4413BB">
      <w:pPr>
        <w:pStyle w:val="7"/>
        <w:ind w:firstLine="0"/>
        <w:rPr>
          <w:rFonts w:cs="仿宋" w:asciiTheme="minorEastAsia" w:hAnsiTheme="minorEastAsia"/>
          <w:b/>
          <w:sz w:val="32"/>
        </w:rPr>
      </w:pPr>
    </w:p>
    <w:p w14:paraId="3A704D80">
      <w:pPr>
        <w:pStyle w:val="8"/>
        <w:rPr>
          <w:rFonts w:cs="仿宋" w:asciiTheme="minorEastAsia" w:hAnsiTheme="minorEastAsia"/>
          <w:b/>
          <w:sz w:val="32"/>
          <w:szCs w:val="20"/>
        </w:rPr>
      </w:pPr>
    </w:p>
    <w:p w14:paraId="715DE980">
      <w:pPr>
        <w:rPr>
          <w:rFonts w:cs="仿宋" w:asciiTheme="minorEastAsia" w:hAnsiTheme="minorEastAsia"/>
          <w:b/>
          <w:sz w:val="32"/>
          <w:szCs w:val="20"/>
        </w:rPr>
      </w:pPr>
    </w:p>
    <w:p w14:paraId="6DC09E5F">
      <w:pPr>
        <w:rPr>
          <w:rFonts w:cs="仿宋" w:asciiTheme="minorEastAsia" w:hAnsiTheme="minorEastAsia"/>
          <w:b/>
          <w:sz w:val="32"/>
          <w:szCs w:val="20"/>
        </w:rPr>
      </w:pPr>
    </w:p>
    <w:p w14:paraId="3D7A486D">
      <w:pPr>
        <w:rPr>
          <w:rFonts w:cs="仿宋" w:asciiTheme="minorEastAsia" w:hAnsiTheme="minorEastAsia"/>
          <w:b/>
          <w:sz w:val="32"/>
          <w:szCs w:val="20"/>
        </w:rPr>
      </w:pPr>
    </w:p>
    <w:p w14:paraId="7E64C39A">
      <w:pPr>
        <w:rPr>
          <w:rFonts w:cs="仿宋" w:asciiTheme="minorEastAsia" w:hAnsiTheme="minorEastAsia"/>
          <w:b/>
          <w:sz w:val="32"/>
          <w:szCs w:val="20"/>
        </w:rPr>
      </w:pPr>
    </w:p>
    <w:p w14:paraId="3AC9B6C5">
      <w:pPr>
        <w:rPr>
          <w:rFonts w:cs="仿宋" w:asciiTheme="minorEastAsia" w:hAnsiTheme="minorEastAsia"/>
          <w:b/>
          <w:sz w:val="32"/>
          <w:szCs w:val="20"/>
        </w:rPr>
      </w:pPr>
    </w:p>
    <w:p w14:paraId="5A0B7929">
      <w:pPr>
        <w:rPr>
          <w:rFonts w:cs="仿宋" w:asciiTheme="minorEastAsia" w:hAnsiTheme="minorEastAsia"/>
          <w:b/>
          <w:sz w:val="32"/>
          <w:szCs w:val="20"/>
        </w:rPr>
      </w:pPr>
    </w:p>
    <w:p w14:paraId="15C7A727">
      <w:pPr>
        <w:rPr>
          <w:rFonts w:cs="仿宋" w:asciiTheme="minorEastAsia" w:hAnsiTheme="minorEastAsia"/>
          <w:b/>
          <w:sz w:val="32"/>
          <w:szCs w:val="20"/>
        </w:rPr>
      </w:pPr>
    </w:p>
    <w:p w14:paraId="6F7B8CEB">
      <w:pPr>
        <w:rPr>
          <w:rFonts w:cs="仿宋" w:asciiTheme="minorEastAsia" w:hAnsiTheme="minorEastAsia"/>
          <w:b/>
          <w:sz w:val="32"/>
          <w:szCs w:val="20"/>
        </w:rPr>
      </w:pPr>
    </w:p>
    <w:p w14:paraId="1AD16A95">
      <w:pPr>
        <w:rPr>
          <w:rFonts w:cs="仿宋" w:asciiTheme="minorEastAsia" w:hAnsiTheme="minorEastAsia"/>
          <w:b/>
          <w:sz w:val="32"/>
          <w:szCs w:val="20"/>
        </w:rPr>
      </w:pPr>
    </w:p>
    <w:p w14:paraId="001D72D9">
      <w:pPr>
        <w:rPr>
          <w:rFonts w:cs="仿宋" w:asciiTheme="minorEastAsia" w:hAnsiTheme="minorEastAsia"/>
          <w:b/>
          <w:sz w:val="32"/>
          <w:szCs w:val="20"/>
        </w:rPr>
      </w:pPr>
    </w:p>
    <w:p w14:paraId="72874E61">
      <w:pPr>
        <w:pStyle w:val="8"/>
        <w:rPr>
          <w:rFonts w:cs="仿宋" w:asciiTheme="minorEastAsia" w:hAnsiTheme="minorEastAsia"/>
          <w:b/>
          <w:sz w:val="32"/>
          <w:szCs w:val="20"/>
        </w:rPr>
      </w:pPr>
    </w:p>
    <w:p w14:paraId="4DFC8EFA">
      <w:pPr>
        <w:rPr>
          <w:rFonts w:cs="仿宋" w:asciiTheme="minorEastAsia" w:hAnsiTheme="minorEastAsia"/>
          <w:b/>
          <w:sz w:val="32"/>
          <w:szCs w:val="20"/>
        </w:rPr>
      </w:pPr>
    </w:p>
    <w:p w14:paraId="55C32C8C">
      <w:pPr>
        <w:rPr>
          <w:rFonts w:cs="仿宋" w:asciiTheme="minorEastAsia" w:hAnsiTheme="minorEastAsia"/>
          <w:b/>
          <w:sz w:val="32"/>
          <w:szCs w:val="20"/>
        </w:rPr>
      </w:pPr>
    </w:p>
    <w:p w14:paraId="5BF74E30">
      <w:pPr>
        <w:rPr>
          <w:rFonts w:cs="仿宋" w:asciiTheme="minorEastAsia" w:hAnsiTheme="minorEastAsia"/>
          <w:b/>
          <w:sz w:val="32"/>
          <w:szCs w:val="20"/>
        </w:rPr>
      </w:pPr>
    </w:p>
    <w:p w14:paraId="4390FF29">
      <w:pPr>
        <w:rPr>
          <w:rFonts w:cs="仿宋" w:asciiTheme="minorEastAsia" w:hAnsiTheme="minorEastAsia"/>
          <w:b/>
          <w:sz w:val="32"/>
          <w:szCs w:val="20"/>
        </w:rPr>
      </w:pPr>
    </w:p>
    <w:p w14:paraId="7B8EA3C7"/>
    <w:p w14:paraId="579A08BF">
      <w:pPr>
        <w:rPr>
          <w:rFonts w:cs="仿宋" w:asciiTheme="minorEastAsia" w:hAnsiTheme="minorEastAsia"/>
          <w:b/>
          <w:sz w:val="32"/>
          <w:szCs w:val="20"/>
        </w:rPr>
      </w:pPr>
    </w:p>
    <w:p w14:paraId="1BD28CAC">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661B4B1D">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31D87402">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2968FAC9">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7C05B83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41BEE7F4">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“供应商”系指是指响应询价邀请、参加响应竞争的法人、其他组织、成交单位。</w:t>
      </w:r>
    </w:p>
    <w:p w14:paraId="3BDCD18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2.3“负责人”系指法人企业的法定负责人，或其他组织为法律、行政法规规定代表单位行使职权的主要负责人。</w:t>
      </w:r>
    </w:p>
    <w:p w14:paraId="513B23B1">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4C42DB3F">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74F3202B">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lang w:eastAsia="zh-CN"/>
        </w:rPr>
        <w:t>3.</w:t>
      </w:r>
      <w:r>
        <w:rPr>
          <w:rFonts w:hint="eastAsia" w:cs="仿宋" w:asciiTheme="minorEastAsia" w:hAnsiTheme="minorEastAsia"/>
          <w:b/>
          <w:sz w:val="24"/>
          <w:szCs w:val="24"/>
        </w:rPr>
        <w:t>询价采购文件的构成</w:t>
      </w:r>
    </w:p>
    <w:p w14:paraId="02C2B358">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0F7A29B0">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1A60059F">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2C626E18">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49FADD08">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5CFD42D8">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1D24F727">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2A845514">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693F0387">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3742712B">
      <w:pPr>
        <w:pStyle w:val="23"/>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3B021FF9">
      <w:pPr>
        <w:pStyle w:val="23"/>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51D460B4">
      <w:pPr>
        <w:pStyle w:val="6"/>
        <w:rPr>
          <w:rFonts w:cs="仿宋" w:asciiTheme="minorEastAsia" w:hAnsiTheme="minorEastAsia"/>
          <w:sz w:val="18"/>
          <w:szCs w:val="18"/>
          <w:lang w:val="en-US"/>
        </w:rPr>
      </w:pPr>
    </w:p>
    <w:p w14:paraId="5639CA51">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45EAEB62">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08F4A870">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14:paraId="7EBDD791">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6.响应截止前答疑会或现场考察</w:t>
      </w:r>
    </w:p>
    <w:p w14:paraId="2491A0DE">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1ACB7B12">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689ABEB1">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616E88EB">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1145D594">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499BCCF1">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365C7A0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75E38FE3">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.1.1符合参加采购活动应当具备的一般条件的承诺函；</w:t>
      </w:r>
    </w:p>
    <w:p w14:paraId="27C4AF8D">
      <w:pPr>
        <w:shd w:val="clear"/>
        <w:snapToGrid w:val="0"/>
        <w:spacing w:line="360" w:lineRule="auto"/>
        <w:ind w:firstLine="960" w:firstLineChars="4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9.1.2年审有效期内的营业执照</w:t>
      </w:r>
    </w:p>
    <w:p w14:paraId="55863798">
      <w:pPr>
        <w:shd w:val="clear"/>
        <w:snapToGrid w:val="0"/>
        <w:spacing w:line="360" w:lineRule="auto"/>
        <w:ind w:firstLine="960" w:firstLineChars="4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3本项目的询价保证金银行电子回单（如果有）</w:t>
      </w:r>
    </w:p>
    <w:p w14:paraId="7E30E47F">
      <w:pPr>
        <w:shd w:val="clea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rPr>
        <w:t>。</w:t>
      </w:r>
    </w:p>
    <w:p w14:paraId="6833BA0B">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14:paraId="2ACBA079">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9.2.1响应函；</w:t>
      </w:r>
    </w:p>
    <w:p w14:paraId="5224D544">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9.2.2授权委托书或法定代表人（单位负责人）身份证明；</w:t>
      </w:r>
    </w:p>
    <w:p w14:paraId="7808A305">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9.2.3符合性审查资料；</w:t>
      </w:r>
    </w:p>
    <w:p w14:paraId="63AFA067">
      <w:pPr>
        <w:shd w:val="clea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0877AF24">
      <w:pPr>
        <w:shd w:val="clear"/>
        <w:snapToGrid w:val="0"/>
        <w:spacing w:line="360" w:lineRule="auto"/>
        <w:ind w:firstLine="960" w:firstLineChars="400"/>
        <w:rPr>
          <w:rFonts w:hint="eastAsia"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采购供应商廉洁自律承诺书；</w:t>
      </w:r>
    </w:p>
    <w:p w14:paraId="6174EE31">
      <w:pPr>
        <w:shd w:val="clea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供应商股东信息及出资比例信息表；</w:t>
      </w:r>
    </w:p>
    <w:p w14:paraId="4428F89B">
      <w:pPr>
        <w:shd w:val="clear"/>
        <w:snapToGrid w:val="0"/>
        <w:spacing w:line="360" w:lineRule="auto"/>
        <w:ind w:firstLine="960" w:firstLineChars="4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9.2.7供应商服务质量保证承诺函。</w:t>
      </w:r>
    </w:p>
    <w:p w14:paraId="51502D5A">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rPr>
        <w:t>报价文件：</w:t>
      </w:r>
    </w:p>
    <w:p w14:paraId="12803449">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2E3C7B22">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17926FD6">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33A7B0B7">
      <w:pPr>
        <w:pStyle w:val="23"/>
        <w:snapToGrid w:val="0"/>
        <w:spacing w:before="0"/>
        <w:ind w:firstLine="482"/>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186CC4FA">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109B922A">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4B432080">
      <w:pPr>
        <w:pStyle w:val="23"/>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50A7061D">
      <w:pPr>
        <w:pStyle w:val="23"/>
        <w:spacing w:before="0"/>
        <w:ind w:firstLine="482"/>
        <w:rPr>
          <w:rFonts w:cs="仿宋" w:asciiTheme="minorEastAsia" w:hAnsiTheme="minorEastAsia"/>
          <w:b/>
          <w:szCs w:val="24"/>
        </w:rPr>
      </w:pPr>
      <w:r>
        <w:rPr>
          <w:rFonts w:hint="eastAsia" w:cs="仿宋" w:asciiTheme="minorEastAsia" w:hAnsiTheme="minorEastAsia"/>
          <w:b/>
          <w:szCs w:val="24"/>
        </w:rPr>
        <w:t>12.响应文件的提交、补充、修改、撤回</w:t>
      </w:r>
    </w:p>
    <w:p w14:paraId="55884D81">
      <w:pPr>
        <w:pStyle w:val="23"/>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A863961">
      <w:pPr>
        <w:pStyle w:val="23"/>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665531A4">
      <w:pPr>
        <w:pStyle w:val="23"/>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1EAB6BA5">
      <w:pPr>
        <w:pStyle w:val="23"/>
        <w:spacing w:before="0"/>
        <w:ind w:firstLine="482"/>
        <w:rPr>
          <w:rFonts w:cs="仿宋" w:asciiTheme="minorEastAsia" w:hAnsiTheme="minorEastAsia"/>
          <w:b/>
          <w:szCs w:val="24"/>
        </w:rPr>
      </w:pPr>
      <w:r>
        <w:rPr>
          <w:rFonts w:hint="eastAsia" w:cs="仿宋" w:asciiTheme="minorEastAsia" w:hAnsiTheme="minorEastAsia"/>
          <w:b/>
          <w:szCs w:val="24"/>
        </w:rPr>
        <w:t>13.响应文件的无效处理</w:t>
      </w:r>
    </w:p>
    <w:p w14:paraId="6DE3B0F8">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04063B10">
      <w:pPr>
        <w:pStyle w:val="23"/>
        <w:spacing w:before="0"/>
        <w:ind w:firstLine="482"/>
        <w:rPr>
          <w:rFonts w:cs="仿宋" w:asciiTheme="minorEastAsia" w:hAnsiTheme="minorEastAsia"/>
          <w:b/>
          <w:szCs w:val="24"/>
        </w:rPr>
      </w:pPr>
      <w:r>
        <w:rPr>
          <w:rFonts w:hint="eastAsia" w:cs="仿宋" w:asciiTheme="minorEastAsia" w:hAnsiTheme="minorEastAsia"/>
          <w:b/>
          <w:szCs w:val="24"/>
        </w:rPr>
        <w:t>14.响应有效期</w:t>
      </w:r>
    </w:p>
    <w:p w14:paraId="4648ADAC">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1E8E3B17">
      <w:pPr>
        <w:pStyle w:val="23"/>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61A86B3F">
      <w:pPr>
        <w:pStyle w:val="23"/>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3FBC9AEE">
      <w:pPr>
        <w:pStyle w:val="23"/>
        <w:spacing w:before="0"/>
        <w:ind w:firstLine="0" w:firstLineChars="0"/>
        <w:jc w:val="center"/>
        <w:rPr>
          <w:rFonts w:cs="仿宋" w:asciiTheme="minorEastAsia" w:hAnsiTheme="minorEastAsia"/>
          <w:b/>
          <w:sz w:val="32"/>
        </w:rPr>
      </w:pPr>
    </w:p>
    <w:p w14:paraId="364B31B4">
      <w:pPr>
        <w:pStyle w:val="23"/>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77B1476D">
      <w:pPr>
        <w:pStyle w:val="24"/>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7D99A587">
      <w:pPr>
        <w:pStyle w:val="24"/>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15.1采购人按照询价采购文件规定的时间组织响应文件的开启，邀请所有供应商参加开启。供应商不足3家或者缴纳询价保证金少于3家（若有要求）的，不得拆封开启响应文件。</w:t>
      </w:r>
    </w:p>
    <w:p w14:paraId="0D429F33">
      <w:pPr>
        <w:pStyle w:val="24"/>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158FF7F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14:paraId="1F9631A8">
      <w:pPr>
        <w:pStyle w:val="23"/>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7A6DF7ED">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0ABBE7A9">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79372743">
      <w:pPr>
        <w:pStyle w:val="23"/>
        <w:spacing w:before="0"/>
        <w:ind w:firstLine="482"/>
        <w:rPr>
          <w:rFonts w:cs="仿宋" w:asciiTheme="minorEastAsia" w:hAnsiTheme="minorEastAsia"/>
          <w:b/>
          <w:szCs w:val="24"/>
        </w:rPr>
      </w:pPr>
      <w:r>
        <w:rPr>
          <w:rFonts w:hint="eastAsia" w:cs="仿宋" w:asciiTheme="minorEastAsia" w:hAnsiTheme="minorEastAsia"/>
          <w:b/>
          <w:szCs w:val="24"/>
        </w:rPr>
        <w:t>17.信用信息查询</w:t>
      </w:r>
    </w:p>
    <w:p w14:paraId="08E23690">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14:paraId="4D0C1F23">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3EDC955D">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17.3信用信息的使用规则：经查询，供应商在近三年内被“信用中国”</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等官方网站列入失信被执行人名单、重大税收违法失信主体名单、政府采购严重违法失信行为名单</w:t>
      </w:r>
      <w:r>
        <w:rPr>
          <w:rFonts w:hint="eastAsia" w:cs="仿宋" w:asciiTheme="minorEastAsia" w:hAnsiTheme="minorEastAsia"/>
          <w:kern w:val="0"/>
          <w:szCs w:val="24"/>
          <w:lang w:eastAsia="zh-CN"/>
        </w:rPr>
        <w:t>，</w:t>
      </w:r>
      <w:r>
        <w:rPr>
          <w:rFonts w:hint="eastAsia" w:cs="仿宋" w:asciiTheme="minorEastAsia" w:hAnsiTheme="minorEastAsia"/>
          <w:kern w:val="0"/>
          <w:szCs w:val="24"/>
        </w:rPr>
        <w:t>将被拒绝参与杭州临江环境能源有限公司采购活动。</w:t>
      </w:r>
    </w:p>
    <w:p w14:paraId="4F8FFBF7">
      <w:pPr>
        <w:pStyle w:val="23"/>
        <w:spacing w:before="0"/>
        <w:ind w:firstLine="495" w:firstLineChars="0"/>
        <w:rPr>
          <w:rFonts w:cs="仿宋" w:asciiTheme="minorEastAsia" w:hAnsiTheme="minorEastAsia"/>
          <w:kern w:val="0"/>
          <w:szCs w:val="24"/>
        </w:rPr>
      </w:pPr>
    </w:p>
    <w:p w14:paraId="5869D6FB">
      <w:pPr>
        <w:pStyle w:val="23"/>
        <w:spacing w:before="0"/>
        <w:ind w:firstLine="480"/>
        <w:rPr>
          <w:rFonts w:cs="仿宋" w:asciiTheme="minorEastAsia" w:hAnsiTheme="minorEastAsia"/>
          <w:kern w:val="0"/>
          <w:szCs w:val="24"/>
        </w:rPr>
      </w:pPr>
    </w:p>
    <w:p w14:paraId="75826609">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761E6D4C">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789F8749">
      <w:pPr>
        <w:spacing w:line="360" w:lineRule="auto"/>
        <w:rPr>
          <w:rFonts w:cs="仿宋" w:asciiTheme="minorEastAsia" w:hAnsiTheme="minorEastAsia"/>
          <w:b/>
          <w:sz w:val="24"/>
        </w:rPr>
      </w:pPr>
    </w:p>
    <w:p w14:paraId="4073B93F">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1A453F7A">
      <w:pPr>
        <w:pStyle w:val="23"/>
        <w:snapToGrid w:val="0"/>
        <w:spacing w:before="0"/>
        <w:ind w:firstLine="482"/>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7462F8F3">
      <w:pPr>
        <w:pStyle w:val="23"/>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34771A17">
      <w:pPr>
        <w:widowControl/>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076E35CE">
      <w:pPr>
        <w:widowControl/>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0A162A4C">
      <w:pPr>
        <w:pStyle w:val="23"/>
        <w:snapToGrid w:val="0"/>
        <w:spacing w:before="0"/>
        <w:ind w:firstLine="482"/>
        <w:rPr>
          <w:rFonts w:cs="仿宋" w:asciiTheme="minorEastAsia" w:hAnsiTheme="minorEastAsia"/>
          <w:b/>
          <w:szCs w:val="24"/>
        </w:rPr>
      </w:pPr>
      <w:r>
        <w:rPr>
          <w:rFonts w:hint="eastAsia" w:cs="仿宋" w:asciiTheme="minorEastAsia" w:hAnsiTheme="minorEastAsia"/>
          <w:b/>
          <w:szCs w:val="24"/>
        </w:rPr>
        <w:t>20. 成交通知</w:t>
      </w:r>
    </w:p>
    <w:p w14:paraId="4125F5E2">
      <w:pPr>
        <w:widowControl/>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54D46270">
      <w:pPr>
        <w:snapToGrid w:val="0"/>
        <w:spacing w:line="360" w:lineRule="auto"/>
        <w:ind w:left="120" w:leftChars="57" w:firstLine="482" w:firstLineChars="150"/>
        <w:jc w:val="center"/>
        <w:rPr>
          <w:rFonts w:cs="仿宋" w:asciiTheme="minorEastAsia" w:hAnsiTheme="minorEastAsia"/>
          <w:b/>
          <w:sz w:val="32"/>
        </w:rPr>
      </w:pPr>
    </w:p>
    <w:p w14:paraId="0DD66D00">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28F966C5">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75C07019">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57EC2DBD">
      <w:pPr>
        <w:widowControl/>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除不可抗力等特殊情况外，原则上采购人应当在成交通知书发出之日起30天内，与成交供应商按照询价采购文件确定的事项签订采购合同。</w:t>
      </w:r>
    </w:p>
    <w:p w14:paraId="0B7D9FD3">
      <w:pPr>
        <w:pStyle w:val="23"/>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5888BB51">
      <w:pPr>
        <w:pStyle w:val="23"/>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20634797">
      <w:pPr>
        <w:pStyle w:val="23"/>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22.4成交供应商拒绝与采购人签订合同的，采购人重新开展采购活动。</w:t>
      </w:r>
    </w:p>
    <w:p w14:paraId="0FEE3420">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7B6BF20C">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65FB8F97">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4B95C5C8">
      <w:pPr>
        <w:pStyle w:val="6"/>
        <w:ind w:firstLine="480" w:firstLineChars="200"/>
      </w:pPr>
      <w:r>
        <w:rPr>
          <w:rFonts w:hint="eastAsia"/>
        </w:rPr>
        <w:t>本项目无预付款。</w:t>
      </w:r>
    </w:p>
    <w:p w14:paraId="5C4065FC">
      <w:pPr>
        <w:tabs>
          <w:tab w:val="left" w:pos="0"/>
        </w:tabs>
        <w:spacing w:line="360" w:lineRule="auto"/>
        <w:ind w:firstLine="480"/>
        <w:rPr>
          <w:rFonts w:cs="仿宋" w:asciiTheme="minorEastAsia" w:hAnsiTheme="minorEastAsia"/>
          <w:sz w:val="24"/>
        </w:rPr>
      </w:pPr>
    </w:p>
    <w:p w14:paraId="3C6704F7">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14:paraId="733A57C1">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3A959775">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 xml:space="preserve">25.1成交供应商的询价保证金将在签订合同并按要求缴纳履约保证金后全额无息退还。退保证金前，供应商必须提供加盖公章或财务专用章的收款收据。  </w:t>
      </w:r>
    </w:p>
    <w:p w14:paraId="0104F54F">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 xml:space="preserve">25.2未成交供应商的询价保证金将在预成交结果公示无异议后及时全额无息退还。退保证金前，供应商必须提供加盖公章或财务专用章的收款收据。  </w:t>
      </w:r>
    </w:p>
    <w:p w14:paraId="3689671E">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1871CA78">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5C451EA7">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48D8236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32B1C2E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26.4法律法规规定的其他情形。</w:t>
      </w:r>
    </w:p>
    <w:p w14:paraId="5D289CD7">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7E57EE5D">
      <w:pPr>
        <w:pStyle w:val="9"/>
        <w:spacing w:line="360" w:lineRule="auto"/>
        <w:ind w:firstLine="482"/>
        <w:rPr>
          <w:rFonts w:cs="仿宋" w:asciiTheme="minorEastAsia" w:hAnsiTheme="minorEastAsia"/>
          <w:b/>
        </w:rPr>
      </w:pPr>
      <w:r>
        <w:rPr>
          <w:rFonts w:hint="eastAsia" w:cs="仿宋" w:asciiTheme="minorEastAsia" w:hAnsiTheme="minorEastAsia"/>
          <w:b/>
        </w:rPr>
        <w:t>27.验收</w:t>
      </w:r>
    </w:p>
    <w:p w14:paraId="11744DB7">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5C5E8FFA">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4F30CB70">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25614016">
      <w:pPr>
        <w:rPr>
          <w:rFonts w:cs="仿宋" w:asciiTheme="minorEastAsia" w:hAnsiTheme="minorEastAsia"/>
          <w:kern w:val="0"/>
          <w:sz w:val="24"/>
        </w:rPr>
      </w:pPr>
    </w:p>
    <w:p w14:paraId="27889BA1">
      <w:pPr>
        <w:pStyle w:val="6"/>
      </w:pPr>
    </w:p>
    <w:p w14:paraId="1DC6AE03">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65DE1094">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4D0B29D6">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5D44221B">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25A95101">
      <w:pPr>
        <w:spacing w:line="460" w:lineRule="exact"/>
        <w:jc w:val="center"/>
        <w:rPr>
          <w:sz w:val="24"/>
        </w:rPr>
      </w:pPr>
      <w:r>
        <w:rPr>
          <w:rFonts w:hint="eastAsia" w:cs="仿宋" w:asciiTheme="minorEastAsia" w:hAnsiTheme="minorEastAsia"/>
          <w:b/>
          <w:sz w:val="36"/>
          <w:szCs w:val="36"/>
        </w:rPr>
        <w:t>第三部分 采购需求</w:t>
      </w:r>
    </w:p>
    <w:p w14:paraId="198879B1">
      <w:pPr>
        <w:spacing w:line="360" w:lineRule="auto"/>
        <w:ind w:firstLine="482" w:firstLineChars="200"/>
        <w:rPr>
          <w:rFonts w:hint="default" w:ascii="宋体" w:hAnsi="宋体" w:eastAsia="宋体" w:cs="宋体"/>
          <w:b/>
          <w:sz w:val="24"/>
          <w:lang w:val="en-US" w:eastAsia="zh-CN"/>
        </w:rPr>
      </w:pPr>
      <w:r>
        <w:rPr>
          <w:rFonts w:hint="eastAsia" w:ascii="宋体" w:hAnsi="宋体" w:eastAsia="宋体" w:cs="宋体"/>
          <w:b/>
          <w:sz w:val="24"/>
          <w:lang w:val="en-US" w:eastAsia="zh-CN"/>
        </w:rPr>
        <w:t>一、概况</w:t>
      </w:r>
    </w:p>
    <w:p w14:paraId="02A8379D">
      <w:pPr>
        <w:keepNext w:val="0"/>
        <w:keepLines w:val="0"/>
        <w:widowControl/>
        <w:suppressLineNumbers w:val="0"/>
        <w:spacing w:line="360" w:lineRule="auto"/>
        <w:ind w:firstLine="480" w:firstLineChars="200"/>
        <w:jc w:val="left"/>
        <w:rPr>
          <w:rFonts w:hint="eastAsia" w:ascii="宋体" w:hAnsi="宋体" w:eastAsia="宋体" w:cs="宋体"/>
          <w:b/>
          <w:sz w:val="24"/>
        </w:rPr>
      </w:pPr>
      <w:r>
        <w:rPr>
          <w:rFonts w:hint="eastAsia" w:ascii="宋体" w:hAnsi="宋体" w:eastAsia="宋体" w:cs="宋体"/>
          <w:snapToGrid w:val="0"/>
          <w:color w:val="000000"/>
          <w:kern w:val="0"/>
          <w:sz w:val="24"/>
          <w:szCs w:val="24"/>
          <w:lang w:val="en-US" w:eastAsia="zh-CN" w:bidi="ar"/>
        </w:rPr>
        <w:t>三固运行中心循环冷却水系统，循环量 1800m3/h，保有水量 700 吨。设备间接冷却24小时供水，采用机械通风冷却开式循环供水方式。设备回水经冷却塔冷却后自流至冷水池，冷水由循环泵送至各车间供设备冷却换热使用。</w:t>
      </w:r>
      <w:r>
        <w:rPr>
          <w:rFonts w:hint="eastAsia" w:ascii="宋体" w:hAnsi="宋体" w:eastAsia="宋体" w:cs="宋体"/>
          <w:sz w:val="24"/>
          <w:szCs w:val="24"/>
          <w:lang w:val="en-US" w:eastAsia="zh-CN"/>
        </w:rPr>
        <w:t>循环水系统在运行过程中，会因水中的钙、镁等离子以及微生物、藻类等的滋生，形成水垢、锈垢和生物黏泥等沉积物，</w:t>
      </w:r>
      <w:r>
        <w:rPr>
          <w:rFonts w:hint="eastAsia" w:ascii="宋体" w:hAnsi="宋体" w:eastAsia="宋体" w:cs="宋体"/>
          <w:sz w:val="24"/>
          <w:szCs w:val="24"/>
        </w:rPr>
        <w:t>对设备造成腐蚀。</w:t>
      </w:r>
      <w:r>
        <w:rPr>
          <w:rFonts w:hint="eastAsia" w:ascii="宋体" w:hAnsi="宋体" w:eastAsia="宋体" w:cs="宋体"/>
          <w:sz w:val="24"/>
          <w:szCs w:val="24"/>
          <w:lang w:val="en-US" w:eastAsia="zh-CN"/>
        </w:rPr>
        <w:t>其中</w:t>
      </w:r>
      <w:r>
        <w:rPr>
          <w:rFonts w:hint="eastAsia" w:ascii="宋体" w:hAnsi="宋体" w:eastAsia="宋体" w:cs="宋体"/>
          <w:snapToGrid w:val="0"/>
          <w:color w:val="000000"/>
          <w:kern w:val="0"/>
          <w:sz w:val="24"/>
          <w:szCs w:val="24"/>
          <w:lang w:val="en-US" w:eastAsia="zh-CN" w:bidi="ar"/>
        </w:rPr>
        <w:t>冷却塔填料存在较多的污垢，需要在系统化学清洗前对冷却塔及水池进行物理清洗，采用高压水枪辅助清洗，冲洗掉填料表面的灰尘、泥沙、脱落的藻类及腐蚀物等疏松的污垢。</w:t>
      </w:r>
    </w:p>
    <w:p w14:paraId="3F5F538A">
      <w:pPr>
        <w:spacing w:line="360" w:lineRule="auto"/>
        <w:ind w:firstLine="2457" w:firstLineChars="1050"/>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表一  循环水系统用水量</w:t>
      </w:r>
    </w:p>
    <w:tbl>
      <w:tblPr>
        <w:tblStyle w:val="17"/>
        <w:tblW w:w="82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8"/>
        <w:gridCol w:w="1829"/>
        <w:gridCol w:w="1176"/>
        <w:gridCol w:w="1787"/>
        <w:gridCol w:w="1518"/>
      </w:tblGrid>
      <w:tr w14:paraId="2508C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3845" w:type="dxa"/>
            <w:gridSpan w:val="2"/>
            <w:noWrap w:val="0"/>
            <w:vAlign w:val="top"/>
          </w:tcPr>
          <w:p w14:paraId="1A2446CD">
            <w:pPr>
              <w:jc w:val="center"/>
              <w:rPr>
                <w:rFonts w:hint="eastAsia" w:asciiTheme="minorEastAsia" w:hAnsiTheme="minorEastAsia" w:eastAsiaTheme="minorEastAsia" w:cstheme="minorEastAsia"/>
                <w:sz w:val="24"/>
                <w:szCs w:val="24"/>
              </w:rPr>
            </w:pPr>
          </w:p>
          <w:p w14:paraId="7FFB63FA">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用水设备</w:t>
            </w:r>
          </w:p>
        </w:tc>
        <w:tc>
          <w:tcPr>
            <w:tcW w:w="1137" w:type="dxa"/>
            <w:noWrap w:val="0"/>
            <w:vAlign w:val="top"/>
          </w:tcPr>
          <w:p w14:paraId="15AC64EA">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用水量</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m3/h</w:t>
            </w:r>
            <w:r>
              <w:rPr>
                <w:rFonts w:hint="eastAsia" w:asciiTheme="minorEastAsia" w:hAnsiTheme="minorEastAsia" w:cstheme="minorEastAsia"/>
                <w:sz w:val="24"/>
                <w:szCs w:val="24"/>
                <w:lang w:eastAsia="zh-CN"/>
              </w:rPr>
              <w:t>）</w:t>
            </w:r>
          </w:p>
        </w:tc>
        <w:tc>
          <w:tcPr>
            <w:tcW w:w="1794" w:type="dxa"/>
            <w:noWrap w:val="0"/>
            <w:vAlign w:val="top"/>
          </w:tcPr>
          <w:p w14:paraId="7B5B9F77">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供水水压</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MPa</w:t>
            </w:r>
            <w:r>
              <w:rPr>
                <w:rFonts w:hint="eastAsia" w:asciiTheme="minorEastAsia" w:hAnsiTheme="minorEastAsia" w:cstheme="minorEastAsia"/>
                <w:sz w:val="24"/>
                <w:szCs w:val="24"/>
                <w:lang w:eastAsia="zh-CN"/>
              </w:rPr>
              <w:t>）</w:t>
            </w:r>
          </w:p>
        </w:tc>
        <w:tc>
          <w:tcPr>
            <w:tcW w:w="1522" w:type="dxa"/>
            <w:noWrap w:val="0"/>
            <w:vAlign w:val="top"/>
          </w:tcPr>
          <w:p w14:paraId="45BB376B">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出水压力</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MPa</w:t>
            </w:r>
            <w:r>
              <w:rPr>
                <w:rFonts w:hint="eastAsia" w:asciiTheme="minorEastAsia" w:hAnsiTheme="minorEastAsia" w:cstheme="minorEastAsia"/>
                <w:sz w:val="24"/>
                <w:szCs w:val="24"/>
                <w:lang w:eastAsia="zh-CN"/>
              </w:rPr>
              <w:t>）</w:t>
            </w:r>
          </w:p>
        </w:tc>
      </w:tr>
      <w:tr w14:paraId="7E3BB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003" w:type="dxa"/>
            <w:vMerge w:val="restart"/>
            <w:noWrap w:val="0"/>
            <w:vAlign w:val="top"/>
          </w:tcPr>
          <w:p w14:paraId="5D6E54A2">
            <w:pPr>
              <w:jc w:val="center"/>
              <w:rPr>
                <w:rFonts w:hint="eastAsia" w:asciiTheme="minorEastAsia" w:hAnsiTheme="minorEastAsia" w:eastAsiaTheme="minorEastAsia" w:cstheme="minorEastAsia"/>
                <w:sz w:val="24"/>
                <w:szCs w:val="24"/>
              </w:rPr>
            </w:pPr>
          </w:p>
          <w:p w14:paraId="14DE5E4B">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焚烧车间</w:t>
            </w:r>
          </w:p>
        </w:tc>
        <w:tc>
          <w:tcPr>
            <w:tcW w:w="1842" w:type="dxa"/>
            <w:noWrap w:val="0"/>
            <w:vAlign w:val="top"/>
          </w:tcPr>
          <w:p w14:paraId="2F40CA30">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工艺用水</w:t>
            </w:r>
          </w:p>
        </w:tc>
        <w:tc>
          <w:tcPr>
            <w:tcW w:w="1137" w:type="dxa"/>
            <w:noWrap w:val="0"/>
            <w:vAlign w:val="top"/>
          </w:tcPr>
          <w:p w14:paraId="6E0E4AF5">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200</w:t>
            </w:r>
          </w:p>
        </w:tc>
        <w:tc>
          <w:tcPr>
            <w:tcW w:w="1794" w:type="dxa"/>
            <w:noWrap w:val="0"/>
            <w:vAlign w:val="top"/>
          </w:tcPr>
          <w:p w14:paraId="07E5D23B">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0.</w:t>
            </w:r>
            <w:r>
              <w:rPr>
                <w:rFonts w:hint="eastAsia" w:asciiTheme="minorEastAsia" w:hAnsiTheme="minorEastAsia" w:eastAsiaTheme="minorEastAsia" w:cstheme="minorEastAsia"/>
                <w:sz w:val="24"/>
                <w:szCs w:val="24"/>
                <w:lang w:val="en-US" w:eastAsia="zh-CN"/>
              </w:rPr>
              <w:t>4</w:t>
            </w:r>
          </w:p>
        </w:tc>
        <w:tc>
          <w:tcPr>
            <w:tcW w:w="1522" w:type="dxa"/>
            <w:noWrap w:val="0"/>
            <w:vAlign w:val="top"/>
          </w:tcPr>
          <w:p w14:paraId="068A2124">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0.25</w:t>
            </w:r>
          </w:p>
        </w:tc>
      </w:tr>
      <w:tr w14:paraId="08D02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003" w:type="dxa"/>
            <w:vMerge w:val="continue"/>
            <w:noWrap w:val="0"/>
            <w:vAlign w:val="top"/>
          </w:tcPr>
          <w:p w14:paraId="1DD2C64A">
            <w:pPr>
              <w:jc w:val="center"/>
              <w:rPr>
                <w:rFonts w:hint="eastAsia" w:asciiTheme="minorEastAsia" w:hAnsiTheme="minorEastAsia" w:eastAsiaTheme="minorEastAsia" w:cstheme="minorEastAsia"/>
                <w:sz w:val="24"/>
                <w:szCs w:val="24"/>
              </w:rPr>
            </w:pPr>
          </w:p>
        </w:tc>
        <w:tc>
          <w:tcPr>
            <w:tcW w:w="1842" w:type="dxa"/>
            <w:noWrap w:val="0"/>
            <w:vAlign w:val="top"/>
          </w:tcPr>
          <w:p w14:paraId="44C6BE4E">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汽轮机发电</w:t>
            </w:r>
          </w:p>
        </w:tc>
        <w:tc>
          <w:tcPr>
            <w:tcW w:w="1137" w:type="dxa"/>
            <w:noWrap w:val="0"/>
            <w:vAlign w:val="top"/>
          </w:tcPr>
          <w:p w14:paraId="36E06A2D">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800</w:t>
            </w:r>
          </w:p>
        </w:tc>
        <w:tc>
          <w:tcPr>
            <w:tcW w:w="1794" w:type="dxa"/>
            <w:noWrap w:val="0"/>
            <w:vAlign w:val="top"/>
          </w:tcPr>
          <w:p w14:paraId="1020FAAE">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0.</w:t>
            </w:r>
            <w:r>
              <w:rPr>
                <w:rFonts w:hint="eastAsia" w:asciiTheme="minorEastAsia" w:hAnsiTheme="minorEastAsia" w:eastAsiaTheme="minorEastAsia" w:cstheme="minorEastAsia"/>
                <w:sz w:val="24"/>
                <w:szCs w:val="24"/>
                <w:lang w:val="en-US" w:eastAsia="zh-CN"/>
              </w:rPr>
              <w:t>4</w:t>
            </w:r>
          </w:p>
        </w:tc>
        <w:tc>
          <w:tcPr>
            <w:tcW w:w="1522" w:type="dxa"/>
            <w:noWrap w:val="0"/>
            <w:vAlign w:val="top"/>
          </w:tcPr>
          <w:p w14:paraId="3D6C953E">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0.25</w:t>
            </w:r>
          </w:p>
        </w:tc>
      </w:tr>
      <w:tr w14:paraId="60A8E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003" w:type="dxa"/>
            <w:noWrap w:val="0"/>
            <w:vAlign w:val="top"/>
          </w:tcPr>
          <w:p w14:paraId="5A8606C7">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三效</w:t>
            </w:r>
            <w:r>
              <w:rPr>
                <w:rFonts w:hint="eastAsia" w:asciiTheme="minorEastAsia" w:hAnsiTheme="minorEastAsia" w:eastAsiaTheme="minorEastAsia" w:cstheme="minorEastAsia"/>
                <w:sz w:val="24"/>
                <w:szCs w:val="24"/>
              </w:rPr>
              <w:t>蒸发车间</w:t>
            </w:r>
          </w:p>
        </w:tc>
        <w:tc>
          <w:tcPr>
            <w:tcW w:w="1842" w:type="dxa"/>
            <w:noWrap w:val="0"/>
            <w:vAlign w:val="top"/>
          </w:tcPr>
          <w:p w14:paraId="556C9B39">
            <w:pPr>
              <w:jc w:val="center"/>
              <w:rPr>
                <w:rFonts w:hint="eastAsia" w:asciiTheme="minorEastAsia" w:hAnsiTheme="minorEastAsia" w:eastAsiaTheme="minorEastAsia" w:cstheme="minorEastAsia"/>
                <w:sz w:val="24"/>
                <w:szCs w:val="24"/>
              </w:rPr>
            </w:pPr>
          </w:p>
        </w:tc>
        <w:tc>
          <w:tcPr>
            <w:tcW w:w="1137" w:type="dxa"/>
            <w:noWrap w:val="0"/>
            <w:vAlign w:val="top"/>
          </w:tcPr>
          <w:p w14:paraId="3D3EA561">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800</w:t>
            </w:r>
          </w:p>
        </w:tc>
        <w:tc>
          <w:tcPr>
            <w:tcW w:w="1794" w:type="dxa"/>
            <w:noWrap w:val="0"/>
            <w:vAlign w:val="top"/>
          </w:tcPr>
          <w:p w14:paraId="6D7B65E0">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0.</w:t>
            </w:r>
            <w:r>
              <w:rPr>
                <w:rFonts w:hint="eastAsia" w:asciiTheme="minorEastAsia" w:hAnsiTheme="minorEastAsia" w:eastAsiaTheme="minorEastAsia" w:cstheme="minorEastAsia"/>
                <w:sz w:val="24"/>
                <w:szCs w:val="24"/>
                <w:lang w:val="en-US" w:eastAsia="zh-CN"/>
              </w:rPr>
              <w:t>4</w:t>
            </w:r>
          </w:p>
        </w:tc>
        <w:tc>
          <w:tcPr>
            <w:tcW w:w="1522" w:type="dxa"/>
            <w:noWrap w:val="0"/>
            <w:vAlign w:val="top"/>
          </w:tcPr>
          <w:p w14:paraId="223C0D66">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0.25</w:t>
            </w:r>
          </w:p>
        </w:tc>
      </w:tr>
      <w:tr w14:paraId="74717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003" w:type="dxa"/>
            <w:noWrap w:val="0"/>
            <w:vAlign w:val="top"/>
          </w:tcPr>
          <w:p w14:paraId="77524E61">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总计</w:t>
            </w:r>
          </w:p>
        </w:tc>
        <w:tc>
          <w:tcPr>
            <w:tcW w:w="1842" w:type="dxa"/>
            <w:noWrap w:val="0"/>
            <w:vAlign w:val="top"/>
          </w:tcPr>
          <w:p w14:paraId="766DE730">
            <w:pPr>
              <w:jc w:val="center"/>
              <w:rPr>
                <w:rFonts w:hint="eastAsia" w:asciiTheme="minorEastAsia" w:hAnsiTheme="minorEastAsia" w:eastAsiaTheme="minorEastAsia" w:cstheme="minorEastAsia"/>
                <w:sz w:val="24"/>
                <w:szCs w:val="24"/>
              </w:rPr>
            </w:pPr>
          </w:p>
        </w:tc>
        <w:tc>
          <w:tcPr>
            <w:tcW w:w="1137" w:type="dxa"/>
            <w:noWrap w:val="0"/>
            <w:vAlign w:val="top"/>
          </w:tcPr>
          <w:p w14:paraId="19197E69">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1800</w:t>
            </w:r>
          </w:p>
        </w:tc>
        <w:tc>
          <w:tcPr>
            <w:tcW w:w="1794" w:type="dxa"/>
            <w:tcBorders>
              <w:bottom w:val="single" w:color="auto" w:sz="4" w:space="0"/>
            </w:tcBorders>
            <w:noWrap w:val="0"/>
            <w:vAlign w:val="top"/>
          </w:tcPr>
          <w:p w14:paraId="17CB8E77">
            <w:pPr>
              <w:jc w:val="center"/>
              <w:rPr>
                <w:rFonts w:hint="eastAsia" w:asciiTheme="minorEastAsia" w:hAnsiTheme="minorEastAsia" w:eastAsiaTheme="minorEastAsia" w:cstheme="minorEastAsia"/>
                <w:sz w:val="24"/>
                <w:szCs w:val="24"/>
              </w:rPr>
            </w:pPr>
          </w:p>
        </w:tc>
        <w:tc>
          <w:tcPr>
            <w:tcW w:w="1522" w:type="dxa"/>
            <w:noWrap w:val="0"/>
            <w:vAlign w:val="top"/>
          </w:tcPr>
          <w:p w14:paraId="7933745E">
            <w:pPr>
              <w:jc w:val="center"/>
              <w:rPr>
                <w:rFonts w:hint="eastAsia" w:asciiTheme="minorEastAsia" w:hAnsiTheme="minorEastAsia" w:eastAsiaTheme="minorEastAsia" w:cstheme="minorEastAsia"/>
                <w:sz w:val="24"/>
                <w:szCs w:val="24"/>
              </w:rPr>
            </w:pPr>
          </w:p>
        </w:tc>
      </w:tr>
    </w:tbl>
    <w:p w14:paraId="71715B31">
      <w:pPr>
        <w:ind w:firstLine="2457" w:firstLineChars="1050"/>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表二  循环水系统水质分析</w:t>
      </w:r>
    </w:p>
    <w:tbl>
      <w:tblPr>
        <w:tblStyle w:val="18"/>
        <w:tblW w:w="0" w:type="auto"/>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7"/>
        <w:gridCol w:w="2097"/>
        <w:gridCol w:w="2097"/>
        <w:gridCol w:w="2098"/>
      </w:tblGrid>
      <w:tr w14:paraId="70E68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027" w:type="dxa"/>
            <w:vMerge w:val="restart"/>
          </w:tcPr>
          <w:p w14:paraId="4F464E3B">
            <w:pPr>
              <w:widowControl w:val="0"/>
              <w:spacing w:line="240" w:lineRule="auto"/>
              <w:jc w:val="center"/>
              <w:rPr>
                <w:rFonts w:hint="eastAsia" w:asciiTheme="minorEastAsia" w:hAnsiTheme="minorEastAsia" w:eastAsiaTheme="minorEastAsia" w:cstheme="minorEastAsia"/>
                <w:sz w:val="24"/>
                <w:szCs w:val="24"/>
                <w:vertAlign w:val="baseline"/>
                <w:lang w:val="en-US" w:eastAsia="zh-CN"/>
              </w:rPr>
            </w:pPr>
          </w:p>
          <w:p w14:paraId="346A243C">
            <w:pPr>
              <w:widowControl w:val="0"/>
              <w:spacing w:line="24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检测项目</w:t>
            </w:r>
          </w:p>
        </w:tc>
        <w:tc>
          <w:tcPr>
            <w:tcW w:w="2097" w:type="dxa"/>
            <w:vMerge w:val="restart"/>
          </w:tcPr>
          <w:p w14:paraId="752745EF">
            <w:pPr>
              <w:widowControl w:val="0"/>
              <w:spacing w:line="240" w:lineRule="auto"/>
              <w:jc w:val="center"/>
              <w:rPr>
                <w:rFonts w:hint="eastAsia" w:asciiTheme="minorEastAsia" w:hAnsiTheme="minorEastAsia" w:eastAsiaTheme="minorEastAsia" w:cstheme="minorEastAsia"/>
                <w:sz w:val="24"/>
                <w:szCs w:val="24"/>
                <w:vertAlign w:val="baseline"/>
                <w:lang w:val="en-US" w:eastAsia="zh-CN"/>
              </w:rPr>
            </w:pPr>
          </w:p>
          <w:p w14:paraId="02F0A4D5">
            <w:pPr>
              <w:widowControl w:val="0"/>
              <w:spacing w:line="24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单位</w:t>
            </w:r>
          </w:p>
        </w:tc>
        <w:tc>
          <w:tcPr>
            <w:tcW w:w="4195" w:type="dxa"/>
            <w:gridSpan w:val="2"/>
          </w:tcPr>
          <w:p w14:paraId="645CD074">
            <w:pPr>
              <w:widowControl w:val="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实测水质参数</w:t>
            </w:r>
          </w:p>
        </w:tc>
      </w:tr>
      <w:tr w14:paraId="0E859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027" w:type="dxa"/>
            <w:vMerge w:val="continue"/>
          </w:tcPr>
          <w:p w14:paraId="3EBBA412">
            <w:pPr>
              <w:widowControl w:val="0"/>
              <w:rPr>
                <w:rFonts w:hint="eastAsia" w:asciiTheme="minorEastAsia" w:hAnsiTheme="minorEastAsia" w:eastAsiaTheme="minorEastAsia" w:cstheme="minorEastAsia"/>
                <w:sz w:val="24"/>
                <w:szCs w:val="24"/>
                <w:vertAlign w:val="baseline"/>
              </w:rPr>
            </w:pPr>
          </w:p>
        </w:tc>
        <w:tc>
          <w:tcPr>
            <w:tcW w:w="2097" w:type="dxa"/>
            <w:vMerge w:val="continue"/>
          </w:tcPr>
          <w:p w14:paraId="2EF598D4">
            <w:pPr>
              <w:widowControl w:val="0"/>
              <w:rPr>
                <w:rFonts w:hint="eastAsia" w:asciiTheme="minorEastAsia" w:hAnsiTheme="minorEastAsia" w:eastAsiaTheme="minorEastAsia" w:cstheme="minorEastAsia"/>
                <w:sz w:val="24"/>
                <w:szCs w:val="24"/>
                <w:vertAlign w:val="baseline"/>
              </w:rPr>
            </w:pPr>
          </w:p>
        </w:tc>
        <w:tc>
          <w:tcPr>
            <w:tcW w:w="2097" w:type="dxa"/>
          </w:tcPr>
          <w:p w14:paraId="79FBA3A5">
            <w:pPr>
              <w:widowControl w:val="0"/>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补水（自来水）</w:t>
            </w:r>
          </w:p>
        </w:tc>
        <w:tc>
          <w:tcPr>
            <w:tcW w:w="2098" w:type="dxa"/>
          </w:tcPr>
          <w:p w14:paraId="03480C6B">
            <w:pPr>
              <w:widowControl w:val="0"/>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循环冷却水</w:t>
            </w:r>
          </w:p>
        </w:tc>
      </w:tr>
      <w:tr w14:paraId="7DB9A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027" w:type="dxa"/>
          </w:tcPr>
          <w:p w14:paraId="636F1C22">
            <w:pPr>
              <w:widowControl w:val="0"/>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pH</w:t>
            </w:r>
            <w:r>
              <w:rPr>
                <w:rFonts w:hint="eastAsia" w:asciiTheme="minorEastAsia" w:hAnsiTheme="minorEastAsia" w:cstheme="minorEastAsia"/>
                <w:sz w:val="24"/>
                <w:szCs w:val="24"/>
                <w:vertAlign w:val="baseline"/>
                <w:lang w:val="en-US" w:eastAsia="zh-CN"/>
              </w:rPr>
              <w:t>(</w:t>
            </w:r>
            <w:r>
              <w:rPr>
                <w:rFonts w:hint="eastAsia" w:asciiTheme="minorEastAsia" w:hAnsiTheme="minorEastAsia" w:eastAsiaTheme="minorEastAsia" w:cstheme="minorEastAsia"/>
                <w:sz w:val="24"/>
                <w:szCs w:val="24"/>
                <w:vertAlign w:val="baseline"/>
                <w:lang w:val="en-US" w:eastAsia="zh-CN"/>
              </w:rPr>
              <w:t>25℃</w:t>
            </w:r>
            <w:r>
              <w:rPr>
                <w:rFonts w:hint="eastAsia" w:asciiTheme="minorEastAsia" w:hAnsiTheme="minorEastAsia" w:cstheme="minorEastAsia"/>
                <w:sz w:val="24"/>
                <w:szCs w:val="24"/>
                <w:vertAlign w:val="baseline"/>
                <w:lang w:val="en-US" w:eastAsia="zh-CN"/>
              </w:rPr>
              <w:t>)</w:t>
            </w:r>
          </w:p>
        </w:tc>
        <w:tc>
          <w:tcPr>
            <w:tcW w:w="2097" w:type="dxa"/>
          </w:tcPr>
          <w:p w14:paraId="5A01476D">
            <w:pPr>
              <w:widowControl w:val="0"/>
              <w:rPr>
                <w:rFonts w:hint="eastAsia" w:asciiTheme="minorEastAsia" w:hAnsiTheme="minorEastAsia" w:eastAsiaTheme="minorEastAsia" w:cstheme="minorEastAsia"/>
                <w:sz w:val="24"/>
                <w:szCs w:val="24"/>
                <w:vertAlign w:val="baseline"/>
              </w:rPr>
            </w:pPr>
          </w:p>
        </w:tc>
        <w:tc>
          <w:tcPr>
            <w:tcW w:w="2097" w:type="dxa"/>
          </w:tcPr>
          <w:p w14:paraId="5512C91D">
            <w:pPr>
              <w:widowControl w:val="0"/>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8.07</w:t>
            </w:r>
          </w:p>
        </w:tc>
        <w:tc>
          <w:tcPr>
            <w:tcW w:w="2098" w:type="dxa"/>
          </w:tcPr>
          <w:p w14:paraId="4D6CE353">
            <w:pPr>
              <w:widowControl w:val="0"/>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8.80</w:t>
            </w:r>
          </w:p>
        </w:tc>
      </w:tr>
      <w:tr w14:paraId="79E77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027" w:type="dxa"/>
          </w:tcPr>
          <w:p w14:paraId="0C992083">
            <w:pPr>
              <w:keepNext w:val="0"/>
              <w:keepLines w:val="0"/>
              <w:widowControl/>
              <w:suppressLineNumbers w:val="0"/>
              <w:jc w:val="left"/>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napToGrid w:val="0"/>
                <w:color w:val="000000"/>
                <w:kern w:val="0"/>
                <w:sz w:val="24"/>
                <w:szCs w:val="24"/>
                <w:lang w:val="en-US" w:eastAsia="zh-CN" w:bidi="ar"/>
              </w:rPr>
              <w:t>电导率</w:t>
            </w:r>
          </w:p>
        </w:tc>
        <w:tc>
          <w:tcPr>
            <w:tcW w:w="2097" w:type="dxa"/>
          </w:tcPr>
          <w:p w14:paraId="260DBE36">
            <w:pPr>
              <w:keepNext w:val="0"/>
              <w:keepLines w:val="0"/>
              <w:widowControl/>
              <w:suppressLineNumbers w:val="0"/>
              <w:jc w:val="left"/>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napToGrid w:val="0"/>
                <w:color w:val="000000"/>
                <w:kern w:val="0"/>
                <w:sz w:val="24"/>
                <w:szCs w:val="24"/>
                <w:lang w:val="en-US" w:eastAsia="zh-CN" w:bidi="ar"/>
              </w:rPr>
              <w:t>μS/cm</w:t>
            </w:r>
          </w:p>
        </w:tc>
        <w:tc>
          <w:tcPr>
            <w:tcW w:w="2097" w:type="dxa"/>
          </w:tcPr>
          <w:p w14:paraId="1B08620D">
            <w:pPr>
              <w:widowControl w:val="0"/>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291</w:t>
            </w:r>
          </w:p>
        </w:tc>
        <w:tc>
          <w:tcPr>
            <w:tcW w:w="2098" w:type="dxa"/>
          </w:tcPr>
          <w:p w14:paraId="64D5A55E">
            <w:pPr>
              <w:widowControl w:val="0"/>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3280</w:t>
            </w:r>
          </w:p>
        </w:tc>
      </w:tr>
      <w:tr w14:paraId="1D365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027" w:type="dxa"/>
          </w:tcPr>
          <w:p w14:paraId="4E1AB705">
            <w:pPr>
              <w:widowControl w:val="0"/>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浊度</w:t>
            </w:r>
          </w:p>
        </w:tc>
        <w:tc>
          <w:tcPr>
            <w:tcW w:w="2097" w:type="dxa"/>
          </w:tcPr>
          <w:p w14:paraId="4B44DB8A">
            <w:pPr>
              <w:keepNext w:val="0"/>
              <w:keepLines w:val="0"/>
              <w:widowControl/>
              <w:suppressLineNumbers w:val="0"/>
              <w:jc w:val="left"/>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napToGrid w:val="0"/>
                <w:color w:val="000000"/>
                <w:kern w:val="0"/>
                <w:sz w:val="24"/>
                <w:szCs w:val="24"/>
                <w:lang w:val="en-US" w:eastAsia="zh-CN" w:bidi="ar"/>
              </w:rPr>
              <w:t>NTU</w:t>
            </w:r>
          </w:p>
        </w:tc>
        <w:tc>
          <w:tcPr>
            <w:tcW w:w="2097" w:type="dxa"/>
          </w:tcPr>
          <w:p w14:paraId="5E27E58B">
            <w:pPr>
              <w:widowControl w:val="0"/>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0.12</w:t>
            </w:r>
          </w:p>
        </w:tc>
        <w:tc>
          <w:tcPr>
            <w:tcW w:w="2098" w:type="dxa"/>
          </w:tcPr>
          <w:p w14:paraId="333613F6">
            <w:pPr>
              <w:widowControl w:val="0"/>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26.7</w:t>
            </w:r>
          </w:p>
        </w:tc>
      </w:tr>
      <w:tr w14:paraId="65A94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027" w:type="dxa"/>
          </w:tcPr>
          <w:p w14:paraId="411056A0">
            <w:pPr>
              <w:widowControl w:val="0"/>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钙硬度</w:t>
            </w:r>
          </w:p>
        </w:tc>
        <w:tc>
          <w:tcPr>
            <w:tcW w:w="2097" w:type="dxa"/>
          </w:tcPr>
          <w:p w14:paraId="368E3039">
            <w:pPr>
              <w:keepNext w:val="0"/>
              <w:keepLines w:val="0"/>
              <w:widowControl/>
              <w:suppressLineNumbers w:val="0"/>
              <w:jc w:val="left"/>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napToGrid w:val="0"/>
                <w:color w:val="000000"/>
                <w:kern w:val="0"/>
                <w:sz w:val="24"/>
                <w:szCs w:val="24"/>
                <w:lang w:val="en-US" w:eastAsia="zh-CN" w:bidi="ar"/>
              </w:rPr>
              <w:t>mg/L</w:t>
            </w:r>
          </w:p>
        </w:tc>
        <w:tc>
          <w:tcPr>
            <w:tcW w:w="2097" w:type="dxa"/>
          </w:tcPr>
          <w:p w14:paraId="71C9DD2D">
            <w:pPr>
              <w:widowControl w:val="0"/>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76.4</w:t>
            </w:r>
          </w:p>
        </w:tc>
        <w:tc>
          <w:tcPr>
            <w:tcW w:w="2098" w:type="dxa"/>
          </w:tcPr>
          <w:p w14:paraId="19D944EF">
            <w:pPr>
              <w:widowControl w:val="0"/>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520</w:t>
            </w:r>
          </w:p>
        </w:tc>
      </w:tr>
      <w:tr w14:paraId="28BDD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027" w:type="dxa"/>
          </w:tcPr>
          <w:p w14:paraId="07A1414F">
            <w:pPr>
              <w:widowControl w:val="0"/>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总碱度</w:t>
            </w:r>
          </w:p>
        </w:tc>
        <w:tc>
          <w:tcPr>
            <w:tcW w:w="2097" w:type="dxa"/>
          </w:tcPr>
          <w:p w14:paraId="0B5C3EDF">
            <w:pPr>
              <w:keepNext w:val="0"/>
              <w:keepLines w:val="0"/>
              <w:widowControl/>
              <w:suppressLineNumbers w:val="0"/>
              <w:jc w:val="left"/>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napToGrid w:val="0"/>
                <w:color w:val="000000"/>
                <w:kern w:val="0"/>
                <w:sz w:val="24"/>
                <w:szCs w:val="24"/>
                <w:lang w:val="en-US" w:eastAsia="zh-CN" w:bidi="ar"/>
              </w:rPr>
              <w:t>mg/L</w:t>
            </w:r>
          </w:p>
        </w:tc>
        <w:tc>
          <w:tcPr>
            <w:tcW w:w="2097" w:type="dxa"/>
          </w:tcPr>
          <w:p w14:paraId="652DAB9A">
            <w:pPr>
              <w:widowControl w:val="0"/>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60.59</w:t>
            </w:r>
          </w:p>
        </w:tc>
        <w:tc>
          <w:tcPr>
            <w:tcW w:w="2098" w:type="dxa"/>
          </w:tcPr>
          <w:p w14:paraId="3D489E9E">
            <w:pPr>
              <w:widowControl w:val="0"/>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394.37</w:t>
            </w:r>
          </w:p>
        </w:tc>
      </w:tr>
      <w:tr w14:paraId="7A15B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2027" w:type="dxa"/>
          </w:tcPr>
          <w:p w14:paraId="71082FCE">
            <w:pPr>
              <w:keepNext w:val="0"/>
              <w:keepLines w:val="0"/>
              <w:widowControl/>
              <w:suppressLineNumbers w:val="0"/>
              <w:jc w:val="left"/>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napToGrid w:val="0"/>
                <w:color w:val="000000"/>
                <w:kern w:val="0"/>
                <w:sz w:val="24"/>
                <w:szCs w:val="24"/>
                <w:lang w:val="en-US" w:eastAsia="zh-CN" w:bidi="ar"/>
              </w:rPr>
              <w:t>Cl</w:t>
            </w:r>
            <w:r>
              <w:rPr>
                <w:rFonts w:hint="eastAsia" w:asciiTheme="minorEastAsia" w:hAnsiTheme="minorEastAsia" w:cstheme="minorEastAsia"/>
                <w:snapToGrid w:val="0"/>
                <w:color w:val="000000"/>
                <w:kern w:val="0"/>
                <w:sz w:val="24"/>
                <w:szCs w:val="24"/>
                <w:lang w:val="en-US" w:eastAsia="zh-CN" w:bidi="ar"/>
              </w:rPr>
              <w:t>-</w:t>
            </w:r>
          </w:p>
        </w:tc>
        <w:tc>
          <w:tcPr>
            <w:tcW w:w="2097" w:type="dxa"/>
          </w:tcPr>
          <w:p w14:paraId="3C38AF6E">
            <w:pPr>
              <w:keepNext w:val="0"/>
              <w:keepLines w:val="0"/>
              <w:widowControl/>
              <w:suppressLineNumbers w:val="0"/>
              <w:jc w:val="left"/>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napToGrid w:val="0"/>
                <w:color w:val="000000"/>
                <w:kern w:val="0"/>
                <w:sz w:val="24"/>
                <w:szCs w:val="24"/>
                <w:lang w:val="en-US" w:eastAsia="zh-CN" w:bidi="ar"/>
              </w:rPr>
              <w:t>mg/L</w:t>
            </w:r>
          </w:p>
        </w:tc>
        <w:tc>
          <w:tcPr>
            <w:tcW w:w="2097" w:type="dxa"/>
          </w:tcPr>
          <w:p w14:paraId="1BC0253A">
            <w:pPr>
              <w:widowControl w:val="0"/>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32</w:t>
            </w:r>
          </w:p>
        </w:tc>
        <w:tc>
          <w:tcPr>
            <w:tcW w:w="2098" w:type="dxa"/>
          </w:tcPr>
          <w:p w14:paraId="7358D396">
            <w:pPr>
              <w:widowControl w:val="0"/>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667</w:t>
            </w:r>
          </w:p>
        </w:tc>
      </w:tr>
      <w:tr w14:paraId="5D432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2027" w:type="dxa"/>
          </w:tcPr>
          <w:p w14:paraId="202DEC02">
            <w:pPr>
              <w:keepNext w:val="0"/>
              <w:keepLines w:val="0"/>
              <w:widowControl/>
              <w:suppressLineNumbers w:val="0"/>
              <w:jc w:val="left"/>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napToGrid w:val="0"/>
                <w:color w:val="000000"/>
                <w:kern w:val="0"/>
                <w:sz w:val="24"/>
                <w:szCs w:val="24"/>
                <w:lang w:val="en-US" w:eastAsia="zh-CN" w:bidi="ar"/>
              </w:rPr>
              <w:t>总铁</w:t>
            </w:r>
          </w:p>
        </w:tc>
        <w:tc>
          <w:tcPr>
            <w:tcW w:w="2097" w:type="dxa"/>
          </w:tcPr>
          <w:p w14:paraId="68F7BF6D">
            <w:pPr>
              <w:keepNext w:val="0"/>
              <w:keepLines w:val="0"/>
              <w:widowControl/>
              <w:suppressLineNumbers w:val="0"/>
              <w:jc w:val="left"/>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napToGrid w:val="0"/>
                <w:color w:val="000000"/>
                <w:kern w:val="0"/>
                <w:sz w:val="24"/>
                <w:szCs w:val="24"/>
                <w:lang w:val="en-US" w:eastAsia="zh-CN" w:bidi="ar"/>
              </w:rPr>
              <w:t>mg/L</w:t>
            </w:r>
          </w:p>
        </w:tc>
        <w:tc>
          <w:tcPr>
            <w:tcW w:w="2097" w:type="dxa"/>
          </w:tcPr>
          <w:p w14:paraId="1FE902E5">
            <w:pPr>
              <w:keepNext w:val="0"/>
              <w:keepLines w:val="0"/>
              <w:widowControl/>
              <w:suppressLineNumbers w:val="0"/>
              <w:jc w:val="left"/>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napToGrid w:val="0"/>
                <w:color w:val="000000"/>
                <w:kern w:val="0"/>
                <w:sz w:val="24"/>
                <w:szCs w:val="24"/>
                <w:lang w:val="en-US" w:eastAsia="zh-CN" w:bidi="ar"/>
              </w:rPr>
              <w:t>&lt;</w:t>
            </w:r>
            <w:r>
              <w:rPr>
                <w:rFonts w:hint="eastAsia" w:asciiTheme="minorEastAsia" w:hAnsiTheme="minorEastAsia" w:eastAsiaTheme="minorEastAsia" w:cstheme="minorEastAsia"/>
                <w:sz w:val="24"/>
                <w:szCs w:val="24"/>
                <w:vertAlign w:val="baseline"/>
                <w:lang w:val="en-US" w:eastAsia="zh-CN"/>
              </w:rPr>
              <w:t>0.01</w:t>
            </w:r>
          </w:p>
        </w:tc>
        <w:tc>
          <w:tcPr>
            <w:tcW w:w="2098" w:type="dxa"/>
          </w:tcPr>
          <w:p w14:paraId="2223CA98">
            <w:pPr>
              <w:widowControl w:val="0"/>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1.49</w:t>
            </w:r>
          </w:p>
        </w:tc>
      </w:tr>
      <w:tr w14:paraId="0EEEE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2027" w:type="dxa"/>
          </w:tcPr>
          <w:p w14:paraId="42C39CF4">
            <w:pPr>
              <w:keepNext w:val="0"/>
              <w:keepLines w:val="0"/>
              <w:widowControl/>
              <w:suppressLineNumbers w:val="0"/>
              <w:jc w:val="left"/>
              <w:rPr>
                <w:rFonts w:hint="eastAsia" w:asciiTheme="minorEastAsia" w:hAnsiTheme="minorEastAsia" w:eastAsiaTheme="minorEastAsia" w:cstheme="minorEastAsia"/>
                <w:snapToGrid w:val="0"/>
                <w:color w:val="000000"/>
                <w:kern w:val="0"/>
                <w:sz w:val="24"/>
                <w:szCs w:val="24"/>
                <w:lang w:val="en-US" w:eastAsia="zh-CN" w:bidi="ar"/>
              </w:rPr>
            </w:pPr>
            <w:r>
              <w:rPr>
                <w:rFonts w:hint="eastAsia" w:asciiTheme="minorEastAsia" w:hAnsiTheme="minorEastAsia" w:eastAsiaTheme="minorEastAsia" w:cstheme="minorEastAsia"/>
                <w:snapToGrid w:val="0"/>
                <w:color w:val="000000"/>
                <w:kern w:val="0"/>
                <w:sz w:val="24"/>
                <w:szCs w:val="24"/>
                <w:lang w:val="en-US" w:eastAsia="zh-CN" w:bidi="ar"/>
              </w:rPr>
              <w:t>总铜</w:t>
            </w:r>
          </w:p>
        </w:tc>
        <w:tc>
          <w:tcPr>
            <w:tcW w:w="2097" w:type="dxa"/>
          </w:tcPr>
          <w:p w14:paraId="0723C197">
            <w:pPr>
              <w:keepNext w:val="0"/>
              <w:keepLines w:val="0"/>
              <w:widowControl/>
              <w:suppressLineNumbers w:val="0"/>
              <w:jc w:val="left"/>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napToGrid w:val="0"/>
                <w:color w:val="000000"/>
                <w:kern w:val="0"/>
                <w:sz w:val="24"/>
                <w:szCs w:val="24"/>
                <w:lang w:val="en-US" w:eastAsia="zh-CN" w:bidi="ar"/>
              </w:rPr>
              <w:t>mg/L</w:t>
            </w:r>
          </w:p>
        </w:tc>
        <w:tc>
          <w:tcPr>
            <w:tcW w:w="2097" w:type="dxa"/>
          </w:tcPr>
          <w:p w14:paraId="7BD35F0E">
            <w:pPr>
              <w:keepNext w:val="0"/>
              <w:keepLines w:val="0"/>
              <w:widowControl/>
              <w:suppressLineNumbers w:val="0"/>
              <w:jc w:val="left"/>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napToGrid w:val="0"/>
                <w:color w:val="000000"/>
                <w:kern w:val="0"/>
                <w:sz w:val="24"/>
                <w:szCs w:val="24"/>
                <w:lang w:val="en-US" w:eastAsia="zh-CN" w:bidi="ar"/>
              </w:rPr>
              <w:t>&lt;</w:t>
            </w:r>
            <w:r>
              <w:rPr>
                <w:rFonts w:hint="eastAsia" w:asciiTheme="minorEastAsia" w:hAnsiTheme="minorEastAsia" w:eastAsiaTheme="minorEastAsia" w:cstheme="minorEastAsia"/>
                <w:sz w:val="24"/>
                <w:szCs w:val="24"/>
                <w:vertAlign w:val="baseline"/>
                <w:lang w:val="en-US" w:eastAsia="zh-CN"/>
              </w:rPr>
              <w:t>0.01</w:t>
            </w:r>
          </w:p>
        </w:tc>
        <w:tc>
          <w:tcPr>
            <w:tcW w:w="2098" w:type="dxa"/>
          </w:tcPr>
          <w:p w14:paraId="6882F71D">
            <w:pPr>
              <w:widowControl w:val="0"/>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0.19</w:t>
            </w:r>
          </w:p>
        </w:tc>
      </w:tr>
    </w:tbl>
    <w:p w14:paraId="73ABE6B9">
      <w:pPr>
        <w:spacing w:line="360" w:lineRule="auto"/>
        <w:ind w:firstLine="482" w:firstLineChars="200"/>
        <w:rPr>
          <w:rFonts w:hint="eastAsia" w:ascii="宋体" w:hAnsi="宋体" w:eastAsia="宋体" w:cs="宋体"/>
          <w:b/>
          <w:sz w:val="24"/>
        </w:rPr>
      </w:pPr>
      <w:r>
        <w:rPr>
          <w:rFonts w:hint="eastAsia" w:ascii="宋体" w:hAnsi="宋体" w:eastAsia="宋体" w:cs="宋体"/>
          <w:b/>
          <w:sz w:val="24"/>
          <w:lang w:val="en-US" w:eastAsia="zh-CN"/>
        </w:rPr>
        <w:t>二</w:t>
      </w:r>
      <w:r>
        <w:rPr>
          <w:rFonts w:hint="eastAsia" w:ascii="宋体" w:hAnsi="宋体" w:eastAsia="宋体" w:cs="宋体"/>
          <w:b/>
          <w:sz w:val="24"/>
        </w:rPr>
        <w:t>、采购内容</w:t>
      </w:r>
    </w:p>
    <w:p w14:paraId="349E8125">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提供特定的化学药剂清洗，将换热器及管道、冷却塔填料内污垢和沉积物溶解、分散或剥离，使系统内表面恢复清洁，保证系统的正常运行。</w:t>
      </w:r>
    </w:p>
    <w:p w14:paraId="49997C8E">
      <w:pPr>
        <w:spacing w:line="360" w:lineRule="auto"/>
        <w:ind w:firstLine="482" w:firstLineChars="200"/>
        <w:rPr>
          <w:rFonts w:hint="eastAsia" w:ascii="宋体" w:hAnsi="宋体" w:eastAsia="宋体" w:cs="宋体"/>
          <w:b/>
          <w:sz w:val="24"/>
          <w:lang w:val="en-US" w:eastAsia="zh-CN"/>
        </w:rPr>
      </w:pPr>
      <w:r>
        <w:rPr>
          <w:rFonts w:hint="eastAsia" w:ascii="宋体" w:hAnsi="宋体" w:eastAsia="宋体" w:cs="宋体"/>
          <w:b/>
          <w:sz w:val="24"/>
          <w:lang w:val="en-US" w:eastAsia="zh-CN"/>
        </w:rPr>
        <w:t>三、技术要求</w:t>
      </w:r>
    </w:p>
    <w:p w14:paraId="5117ABC4">
      <w:pPr>
        <w:keepNext w:val="0"/>
        <w:keepLines w:val="0"/>
        <w:widowControl/>
        <w:suppressLineNumbers w:val="0"/>
        <w:spacing w:line="360" w:lineRule="auto"/>
        <w:ind w:firstLine="482" w:firstLineChars="200"/>
        <w:jc w:val="left"/>
        <w:rPr>
          <w:rFonts w:hint="eastAsia" w:ascii="宋体" w:hAnsi="宋体" w:eastAsia="宋体" w:cs="宋体"/>
          <w:b/>
          <w:bCs/>
          <w:snapToGrid w:val="0"/>
          <w:color w:val="000000"/>
          <w:kern w:val="0"/>
          <w:sz w:val="24"/>
          <w:szCs w:val="24"/>
          <w:lang w:val="en-US" w:eastAsia="zh-CN" w:bidi="ar"/>
        </w:rPr>
      </w:pPr>
      <w:bookmarkStart w:id="19" w:name="_Toc23438"/>
      <w:r>
        <w:rPr>
          <w:rFonts w:hint="eastAsia" w:ascii="宋体" w:hAnsi="宋体" w:eastAsia="宋体" w:cs="宋体"/>
          <w:b/>
          <w:bCs/>
          <w:snapToGrid w:val="0"/>
          <w:color w:val="000000"/>
          <w:kern w:val="0"/>
          <w:sz w:val="24"/>
          <w:szCs w:val="24"/>
          <w:lang w:val="en-US" w:eastAsia="zh-CN" w:bidi="ar"/>
        </w:rPr>
        <w:t>1. 化学清洗</w:t>
      </w:r>
      <w:bookmarkEnd w:id="19"/>
    </w:p>
    <w:p w14:paraId="312CE739">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 xml:space="preserve">在确保循环水系统在线运行正常的情况下，然后向系统投药，使大分子螯合物及高效活化剂进入循环水系统，利用循环水系统的动力进行循环，在高效活化剂的作用下，使螯合物与油污、垢及锈层发生大分子强振动，产生的γ能量，以破坏污垢晶格能，生成可溶性物质排出。清洗剂采用大分子螯合物和高效活化剂。 </w:t>
      </w:r>
    </w:p>
    <w:p w14:paraId="3AEE06CF">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 xml:space="preserve">（1）主清洗：清除锈垢、焊渣、油污、内壁腐蚀产物及微生物残留体等。 </w:t>
      </w:r>
    </w:p>
    <w:p w14:paraId="608C1485">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 xml:space="preserve">（2）活化、激发：将系统金属表面处于活性状态（包括杀菌），并使活性位处于激发态。 </w:t>
      </w:r>
    </w:p>
    <w:p w14:paraId="10E1F07A">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 xml:space="preserve">（3）清洗药剂 </w:t>
      </w:r>
    </w:p>
    <w:p w14:paraId="5BE96BD0">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 xml:space="preserve">化学清洗剂采用适合循环水系统配套管线及设备，适用于碳钢、不锈钢、铜及铜合金、铝及铝合金等多种材质。 </w:t>
      </w:r>
    </w:p>
    <w:p w14:paraId="3A9F351A">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 xml:space="preserve">（4）化学清洗方法及操作要点 </w:t>
      </w:r>
    </w:p>
    <w:p w14:paraId="22527D59">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化学清洗工序分两步：黏泥剥离、化学清洗 →水置换（漂洗）</w:t>
      </w:r>
    </w:p>
    <w:p w14:paraId="03F8F137">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 xml:space="preserve">化学清洗过程中要求水流速 1.5m/s 以上，支管流速 1.0m/s 以上。 </w:t>
      </w:r>
    </w:p>
    <w:p w14:paraId="34A31CAB">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 xml:space="preserve">（5）操作要求 </w:t>
      </w:r>
    </w:p>
    <w:p w14:paraId="5E13B7AC">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 xml:space="preserve">1）系统补水，水位控制器正常安全运转。 </w:t>
      </w:r>
    </w:p>
    <w:p w14:paraId="347A8634">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 xml:space="preserve">2）参加化学清洗的所有管道及设备通水，系统正常运转，高位及相对高位排气、低位及相对低位控制排污。 </w:t>
      </w:r>
    </w:p>
    <w:p w14:paraId="16063049">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 xml:space="preserve">3）检查系统各处有无漏水，及时处理漏点。 </w:t>
      </w:r>
    </w:p>
    <w:p w14:paraId="7A8724F8">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 xml:space="preserve">4）控制好水位，若有水位自动控制或水位报警系统应尽量投入使用，并保持吸水口水位处于安全水位。 </w:t>
      </w:r>
    </w:p>
    <w:p w14:paraId="59DEA911">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 xml:space="preserve">5）在合适的位置放置除垢测试装置。 </w:t>
      </w:r>
    </w:p>
    <w:p w14:paraId="6BA6EEB9">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 xml:space="preserve">6）检查并确认各末端设备的运行状态。 </w:t>
      </w:r>
    </w:p>
    <w:p w14:paraId="3A9F0219">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 xml:space="preserve">7）投加清洗缓蚀剂，循环 1～2小时，待缓蚀剂循环均匀后投加生物杀菌剂对系统内的生物粘泥进行分解剥离，同时投加化学清洗剂，开泵循环 12-24 小时，化学清洗阶段应重点检查末端，加强末端排污，清洗过程中对pH、浊度、总铁进行检测，当浊度、总铁不再上升时到达清洗终点。 </w:t>
      </w:r>
    </w:p>
    <w:p w14:paraId="1842165A">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 xml:space="preserve">8）取出除垢测试装置，观察除垢情况，并送实验室进行分析。 </w:t>
      </w:r>
    </w:p>
    <w:p w14:paraId="732B249F">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 xml:space="preserve">9）进行水置换，置换时的排污主要在系统低点、如循环水泵排污口处，当水浊度≤20 度，置换结束。 </w:t>
      </w:r>
    </w:p>
    <w:p w14:paraId="3A071FF1">
      <w:pPr>
        <w:keepNext w:val="0"/>
        <w:keepLines w:val="0"/>
        <w:widowControl/>
        <w:suppressLineNumbers w:val="0"/>
        <w:spacing w:line="360" w:lineRule="auto"/>
        <w:ind w:firstLine="482" w:firstLineChars="200"/>
        <w:jc w:val="left"/>
        <w:rPr>
          <w:rFonts w:hint="eastAsia" w:ascii="宋体" w:hAnsi="宋体" w:eastAsia="宋体" w:cs="宋体"/>
          <w:b/>
          <w:bCs/>
          <w:snapToGrid w:val="0"/>
          <w:color w:val="000000"/>
          <w:kern w:val="0"/>
          <w:sz w:val="24"/>
          <w:szCs w:val="24"/>
          <w:lang w:val="en-US" w:eastAsia="zh-CN" w:bidi="ar"/>
        </w:rPr>
      </w:pPr>
      <w:bookmarkStart w:id="20" w:name="_Toc4619"/>
      <w:r>
        <w:rPr>
          <w:rFonts w:hint="eastAsia" w:ascii="宋体" w:hAnsi="宋体" w:eastAsia="宋体" w:cs="宋体"/>
          <w:b/>
          <w:bCs/>
          <w:snapToGrid w:val="0"/>
          <w:color w:val="000000"/>
          <w:kern w:val="0"/>
          <w:sz w:val="24"/>
          <w:szCs w:val="24"/>
          <w:lang w:val="en-US" w:eastAsia="zh-CN" w:bidi="ar"/>
        </w:rPr>
        <w:t>2. 化学镀膜</w:t>
      </w:r>
      <w:bookmarkEnd w:id="20"/>
      <w:r>
        <w:rPr>
          <w:rFonts w:hint="eastAsia" w:ascii="宋体" w:hAnsi="宋体" w:eastAsia="宋体" w:cs="宋体"/>
          <w:b/>
          <w:bCs/>
          <w:snapToGrid w:val="0"/>
          <w:color w:val="000000"/>
          <w:kern w:val="0"/>
          <w:sz w:val="24"/>
          <w:szCs w:val="24"/>
          <w:lang w:val="en-US" w:eastAsia="zh-CN" w:bidi="ar"/>
        </w:rPr>
        <w:t xml:space="preserve"> </w:t>
      </w:r>
    </w:p>
    <w:p w14:paraId="3B1C1A8C">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 xml:space="preserve">采用专有的高分子镀膜剂及镀膜催化剂，对水处理系统化学清洗之后即进行镀膜处理，有效地保证了系统及设备的使用寿命和安全。操作要求如下： </w:t>
      </w:r>
    </w:p>
    <w:p w14:paraId="60093E99">
      <w:pPr>
        <w:keepNext w:val="0"/>
        <w:keepLines w:val="0"/>
        <w:widowControl/>
        <w:numPr>
          <w:ilvl w:val="0"/>
          <w:numId w:val="0"/>
        </w:numPr>
        <w:suppressLineNumbers w:val="0"/>
        <w:spacing w:line="360" w:lineRule="auto"/>
        <w:ind w:left="845" w:leftChars="0" w:hanging="425" w:firstLineChars="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 xml:space="preserve">1）控制系统水位，实际操作需控制泵能安全运转，不能影响正常使用。循环水浊度&lt;20 度，总铁&lt;1mg/L，管道通水系统运转，检查各处无漏水点。 </w:t>
      </w:r>
    </w:p>
    <w:p w14:paraId="6C3AA148">
      <w:pPr>
        <w:keepNext w:val="0"/>
        <w:keepLines w:val="0"/>
        <w:widowControl/>
        <w:numPr>
          <w:ilvl w:val="0"/>
          <w:numId w:val="0"/>
        </w:numPr>
        <w:suppressLineNumbers w:val="0"/>
        <w:spacing w:line="360" w:lineRule="auto"/>
        <w:ind w:left="845" w:leftChars="0" w:hanging="425" w:firstLineChars="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 xml:space="preserve">2）连通所有末端设备，系统管道通水运转。 </w:t>
      </w:r>
    </w:p>
    <w:p w14:paraId="7E379708">
      <w:pPr>
        <w:keepNext w:val="0"/>
        <w:keepLines w:val="0"/>
        <w:widowControl/>
        <w:numPr>
          <w:ilvl w:val="0"/>
          <w:numId w:val="0"/>
        </w:numPr>
        <w:suppressLineNumbers w:val="0"/>
        <w:spacing w:line="360" w:lineRule="auto"/>
        <w:ind w:left="845" w:leftChars="0" w:hanging="425" w:firstLineChars="0"/>
        <w:jc w:val="left"/>
        <w:rPr>
          <w:rFonts w:hint="eastAsia" w:ascii="宋体" w:hAnsi="宋体" w:eastAsia="宋体" w:cs="宋体"/>
          <w:snapToGrid w:val="0"/>
          <w:color w:val="auto"/>
          <w:kern w:val="0"/>
          <w:sz w:val="24"/>
          <w:szCs w:val="24"/>
          <w:lang w:val="en-US" w:eastAsia="zh-CN" w:bidi="ar"/>
        </w:rPr>
      </w:pPr>
      <w:r>
        <w:rPr>
          <w:rFonts w:hint="eastAsia" w:ascii="宋体" w:hAnsi="宋体" w:eastAsia="宋体" w:cs="宋体"/>
          <w:snapToGrid w:val="0"/>
          <w:color w:val="auto"/>
          <w:kern w:val="0"/>
          <w:sz w:val="24"/>
          <w:szCs w:val="24"/>
          <w:lang w:val="en-US" w:eastAsia="zh-CN" w:bidi="ar"/>
        </w:rPr>
        <w:t xml:space="preserve">3）投加镀膜剂化学镀膜剂连续运转 24-48 小时。 </w:t>
      </w:r>
    </w:p>
    <w:p w14:paraId="2AAF5D35">
      <w:pPr>
        <w:keepNext w:val="0"/>
        <w:keepLines w:val="0"/>
        <w:widowControl/>
        <w:numPr>
          <w:ilvl w:val="0"/>
          <w:numId w:val="0"/>
        </w:numPr>
        <w:suppressLineNumbers w:val="0"/>
        <w:spacing w:line="360" w:lineRule="auto"/>
        <w:ind w:left="845" w:leftChars="0" w:hanging="425" w:firstLineChars="0"/>
        <w:jc w:val="left"/>
        <w:rPr>
          <w:rFonts w:hint="eastAsia" w:ascii="宋体" w:hAnsi="宋体" w:eastAsia="宋体" w:cs="宋体"/>
          <w:snapToGrid w:val="0"/>
          <w:color w:val="auto"/>
          <w:kern w:val="0"/>
          <w:sz w:val="24"/>
          <w:szCs w:val="24"/>
          <w:lang w:val="en-US" w:eastAsia="zh-CN" w:bidi="ar"/>
        </w:rPr>
      </w:pPr>
      <w:r>
        <w:rPr>
          <w:rFonts w:hint="eastAsia" w:ascii="宋体" w:hAnsi="宋体" w:eastAsia="宋体" w:cs="宋体"/>
          <w:snapToGrid w:val="0"/>
          <w:color w:val="auto"/>
          <w:kern w:val="0"/>
          <w:sz w:val="24"/>
          <w:szCs w:val="24"/>
          <w:lang w:val="en-US" w:eastAsia="zh-CN" w:bidi="ar"/>
        </w:rPr>
        <w:t xml:space="preserve">4）取样进行分析。 </w:t>
      </w:r>
    </w:p>
    <w:p w14:paraId="1E8E77C6">
      <w:pPr>
        <w:keepNext w:val="0"/>
        <w:keepLines w:val="0"/>
        <w:widowControl/>
        <w:suppressLineNumbers w:val="0"/>
        <w:spacing w:line="360" w:lineRule="auto"/>
        <w:ind w:firstLine="482" w:firstLineChars="200"/>
        <w:jc w:val="left"/>
        <w:rPr>
          <w:rFonts w:hint="default" w:ascii="宋体" w:hAnsi="宋体" w:eastAsia="宋体" w:cs="宋体"/>
          <w:b/>
          <w:bCs/>
          <w:snapToGrid w:val="0"/>
          <w:color w:val="auto"/>
          <w:kern w:val="0"/>
          <w:sz w:val="24"/>
          <w:szCs w:val="24"/>
          <w:lang w:val="en-US" w:eastAsia="zh-CN" w:bidi="ar"/>
        </w:rPr>
      </w:pPr>
      <w:r>
        <w:rPr>
          <w:rFonts w:hint="eastAsia" w:ascii="宋体" w:hAnsi="宋体" w:eastAsia="宋体" w:cs="宋体"/>
          <w:b/>
          <w:bCs/>
          <w:snapToGrid w:val="0"/>
          <w:color w:val="auto"/>
          <w:kern w:val="0"/>
          <w:sz w:val="24"/>
          <w:szCs w:val="24"/>
          <w:lang w:val="en-US" w:eastAsia="zh-CN" w:bidi="ar"/>
        </w:rPr>
        <w:t>3.清洗过程安全质量控制</w:t>
      </w:r>
    </w:p>
    <w:p w14:paraId="7EEA8ECD">
      <w:pPr>
        <w:keepNext w:val="0"/>
        <w:keepLines w:val="0"/>
        <w:widowControl/>
        <w:suppressLineNumbers w:val="0"/>
        <w:spacing w:line="360" w:lineRule="auto"/>
        <w:ind w:firstLine="480" w:firstLineChars="200"/>
        <w:jc w:val="left"/>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（1）系统评估：供应商在清洗前应对循环水系统进行全面检查和评估，包括系统的材质、结构、运行参数、污垢类型和程度等，制定合适的清洗方案。</w:t>
      </w:r>
    </w:p>
    <w:p w14:paraId="763C91B4">
      <w:pPr>
        <w:keepNext w:val="0"/>
        <w:keepLines w:val="0"/>
        <w:widowControl/>
        <w:suppressLineNumbers w:val="0"/>
        <w:spacing w:line="360" w:lineRule="auto"/>
        <w:ind w:firstLine="480" w:firstLineChars="200"/>
        <w:jc w:val="left"/>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（2）水质检测：供应商清洗前对循环水系统的水质进行详细检测，分析水中的各种成分，如酸碱度、硬度、浊度、微生物含量等。根据水质检测结果，确定清洗药剂的种类和用量。</w:t>
      </w:r>
    </w:p>
    <w:p w14:paraId="4BB19460">
      <w:pPr>
        <w:keepNext w:val="0"/>
        <w:keepLines w:val="0"/>
        <w:widowControl/>
        <w:suppressLineNumbers w:val="0"/>
        <w:spacing w:line="360" w:lineRule="auto"/>
        <w:ind w:firstLine="480" w:firstLineChars="200"/>
        <w:jc w:val="left"/>
        <w:rPr>
          <w:rFonts w:hint="default"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（3）</w:t>
      </w:r>
      <w:r>
        <w:rPr>
          <w:rFonts w:hint="default" w:ascii="宋体" w:hAnsi="宋体" w:eastAsia="宋体" w:cs="宋体"/>
          <w:b w:val="0"/>
          <w:bCs w:val="0"/>
          <w:snapToGrid w:val="0"/>
          <w:color w:val="auto"/>
          <w:kern w:val="0"/>
          <w:sz w:val="24"/>
          <w:szCs w:val="24"/>
          <w:highlight w:val="none"/>
          <w:lang w:val="en-US" w:eastAsia="zh-CN" w:bidi="ar"/>
        </w:rPr>
        <w:t>制定</w:t>
      </w:r>
      <w:r>
        <w:rPr>
          <w:rFonts w:hint="eastAsia" w:ascii="宋体" w:hAnsi="宋体" w:eastAsia="宋体" w:cs="宋体"/>
          <w:b w:val="0"/>
          <w:bCs w:val="0"/>
          <w:snapToGrid w:val="0"/>
          <w:color w:val="auto"/>
          <w:kern w:val="0"/>
          <w:sz w:val="24"/>
          <w:szCs w:val="24"/>
          <w:highlight w:val="none"/>
          <w:lang w:val="en-US" w:eastAsia="zh-CN" w:bidi="ar"/>
        </w:rPr>
        <w:t>详细清洗</w:t>
      </w:r>
      <w:r>
        <w:rPr>
          <w:rFonts w:hint="default" w:ascii="宋体" w:hAnsi="宋体" w:eastAsia="宋体" w:cs="宋体"/>
          <w:b w:val="0"/>
          <w:bCs w:val="0"/>
          <w:snapToGrid w:val="0"/>
          <w:color w:val="auto"/>
          <w:kern w:val="0"/>
          <w:sz w:val="24"/>
          <w:szCs w:val="24"/>
          <w:highlight w:val="none"/>
          <w:lang w:val="en-US" w:eastAsia="zh-CN" w:bidi="ar"/>
        </w:rPr>
        <w:t>方案：</w:t>
      </w:r>
      <w:r>
        <w:rPr>
          <w:rFonts w:hint="eastAsia" w:ascii="宋体" w:hAnsi="宋体" w:eastAsia="宋体" w:cs="宋体"/>
          <w:b w:val="0"/>
          <w:bCs w:val="0"/>
          <w:snapToGrid w:val="0"/>
          <w:color w:val="auto"/>
          <w:kern w:val="0"/>
          <w:sz w:val="24"/>
          <w:szCs w:val="24"/>
          <w:highlight w:val="none"/>
          <w:lang w:val="en-US" w:eastAsia="zh-CN" w:bidi="ar"/>
        </w:rPr>
        <w:t>供应商</w:t>
      </w:r>
      <w:r>
        <w:rPr>
          <w:rFonts w:hint="default" w:ascii="宋体" w:hAnsi="宋体" w:eastAsia="宋体" w:cs="宋体"/>
          <w:b w:val="0"/>
          <w:bCs w:val="0"/>
          <w:snapToGrid w:val="0"/>
          <w:color w:val="auto"/>
          <w:kern w:val="0"/>
          <w:sz w:val="24"/>
          <w:szCs w:val="24"/>
          <w:highlight w:val="none"/>
          <w:lang w:val="en-US" w:eastAsia="zh-CN" w:bidi="ar"/>
        </w:rPr>
        <w:t>根据系统评估、水质检测和药剂选择的结果，制定详细的清洗方案，包括清洗工艺的具体流程、温度控制范围、清洗时间等。</w:t>
      </w:r>
    </w:p>
    <w:p w14:paraId="3C14EEDD">
      <w:pPr>
        <w:keepNext w:val="0"/>
        <w:keepLines w:val="0"/>
        <w:widowControl/>
        <w:suppressLineNumbers w:val="0"/>
        <w:spacing w:line="360" w:lineRule="auto"/>
        <w:ind w:firstLine="480" w:firstLineChars="200"/>
        <w:jc w:val="left"/>
        <w:rPr>
          <w:rFonts w:hint="default"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（4）供应商</w:t>
      </w:r>
      <w:r>
        <w:rPr>
          <w:rFonts w:hint="default" w:ascii="宋体" w:hAnsi="宋体" w:eastAsia="宋体" w:cs="宋体"/>
          <w:b w:val="0"/>
          <w:bCs w:val="0"/>
          <w:snapToGrid w:val="0"/>
          <w:color w:val="auto"/>
          <w:kern w:val="0"/>
          <w:sz w:val="24"/>
          <w:szCs w:val="24"/>
          <w:highlight w:val="none"/>
          <w:lang w:val="en-US" w:eastAsia="zh-CN" w:bidi="ar"/>
        </w:rPr>
        <w:t>对参与清洗工作的人员进行安全培训，使其熟悉清洗过程中的安全注意事项和操作规程。培训内容应包括药剂的使用方法、防护措施、应急处理等。</w:t>
      </w:r>
    </w:p>
    <w:p w14:paraId="1B7F9B79">
      <w:pPr>
        <w:keepNext w:val="0"/>
        <w:keepLines w:val="0"/>
        <w:widowControl/>
        <w:suppressLineNumbers w:val="0"/>
        <w:spacing w:line="360" w:lineRule="auto"/>
        <w:ind w:firstLine="480" w:firstLineChars="200"/>
        <w:jc w:val="left"/>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（5）供应商在每个清洗阶段结束后都取水样对水体内</w:t>
      </w:r>
      <w:r>
        <w:rPr>
          <w:rFonts w:hint="eastAsia" w:ascii="宋体" w:hAnsi="宋体" w:eastAsia="宋体" w:cs="宋体"/>
          <w:b w:val="0"/>
          <w:bCs w:val="0"/>
          <w:snapToGrid w:val="0"/>
          <w:color w:val="auto"/>
          <w:kern w:val="0"/>
          <w:sz w:val="24"/>
          <w:szCs w:val="24"/>
          <w:highlight w:val="none"/>
          <w:lang w:val="en-US" w:eastAsia="zh-Hans" w:bidi="ar"/>
        </w:rPr>
        <w:t>电导率、p</w:t>
      </w:r>
      <w:r>
        <w:rPr>
          <w:rFonts w:hint="default" w:ascii="宋体" w:hAnsi="宋体" w:eastAsia="宋体" w:cs="宋体"/>
          <w:b w:val="0"/>
          <w:bCs w:val="0"/>
          <w:snapToGrid w:val="0"/>
          <w:color w:val="auto"/>
          <w:kern w:val="0"/>
          <w:sz w:val="24"/>
          <w:szCs w:val="24"/>
          <w:highlight w:val="none"/>
          <w:lang w:val="en-US" w:eastAsia="zh-Hans" w:bidi="ar"/>
        </w:rPr>
        <w:t>H</w:t>
      </w:r>
      <w:r>
        <w:rPr>
          <w:rFonts w:hint="eastAsia" w:ascii="宋体" w:hAnsi="宋体" w:eastAsia="宋体" w:cs="宋体"/>
          <w:b w:val="0"/>
          <w:bCs w:val="0"/>
          <w:snapToGrid w:val="0"/>
          <w:color w:val="auto"/>
          <w:kern w:val="0"/>
          <w:sz w:val="24"/>
          <w:szCs w:val="24"/>
          <w:highlight w:val="none"/>
          <w:lang w:val="en-US" w:eastAsia="zh-CN" w:bidi="ar"/>
        </w:rPr>
        <w:t>等指标进行检测，时刻关注设备腐蚀情况，及时调整，避免风险。</w:t>
      </w:r>
    </w:p>
    <w:p w14:paraId="17103F36">
      <w:pPr>
        <w:keepNext w:val="0"/>
        <w:keepLines w:val="0"/>
        <w:widowControl/>
        <w:suppressLineNumbers w:val="0"/>
        <w:spacing w:line="360" w:lineRule="auto"/>
        <w:ind w:firstLine="480" w:firstLineChars="200"/>
        <w:jc w:val="left"/>
        <w:rPr>
          <w:rFonts w:hint="eastAsia"/>
          <w:b/>
          <w:bCs/>
          <w:color w:val="auto"/>
          <w:lang w:val="en-US" w:eastAsia="zh-CN"/>
        </w:rPr>
      </w:pPr>
      <w:r>
        <w:rPr>
          <w:rFonts w:hint="eastAsia" w:ascii="宋体" w:hAnsi="宋体" w:eastAsia="宋体" w:cs="宋体"/>
          <w:b w:val="0"/>
          <w:bCs w:val="0"/>
          <w:snapToGrid w:val="0"/>
          <w:color w:val="auto"/>
          <w:kern w:val="0"/>
          <w:sz w:val="24"/>
          <w:szCs w:val="24"/>
          <w:highlight w:val="none"/>
          <w:lang w:val="en-US" w:eastAsia="zh-CN" w:bidi="ar"/>
        </w:rPr>
        <w:t>（6）供应商清洗人员必须佩戴好个人防护用品，如防护眼镜、手套、防护服等。在使用有毒、有害药剂时，要采取相应的通风措施，确保工作环境安全。</w:t>
      </w:r>
    </w:p>
    <w:p w14:paraId="0B42E58F">
      <w:pPr>
        <w:pStyle w:val="6"/>
        <w:numPr>
          <w:ilvl w:val="0"/>
          <w:numId w:val="0"/>
        </w:numPr>
        <w:ind w:firstLine="482" w:firstLineChars="200"/>
        <w:rPr>
          <w:rFonts w:hint="eastAsia"/>
          <w:b/>
          <w:bCs/>
          <w:color w:val="auto"/>
          <w:lang w:val="en-US" w:eastAsia="zh-CN"/>
        </w:rPr>
      </w:pPr>
      <w:r>
        <w:rPr>
          <w:rFonts w:hint="eastAsia"/>
          <w:b/>
          <w:bCs/>
          <w:color w:val="auto"/>
          <w:lang w:val="en-US" w:eastAsia="zh-CN"/>
        </w:rPr>
        <w:t>4.药剂要求</w:t>
      </w:r>
    </w:p>
    <w:p w14:paraId="189FAC46">
      <w:pPr>
        <w:keepNext w:val="0"/>
        <w:keepLines w:val="0"/>
        <w:widowControl/>
        <w:suppressLineNumbers w:val="0"/>
        <w:spacing w:line="360" w:lineRule="auto"/>
        <w:ind w:firstLine="480" w:firstLineChars="200"/>
        <w:jc w:val="left"/>
        <w:rPr>
          <w:rFonts w:hint="default" w:ascii="宋体" w:hAnsi="宋体" w:eastAsia="宋体" w:cs="宋体"/>
          <w:b w:val="0"/>
          <w:bCs w:val="0"/>
          <w:snapToGrid w:val="0"/>
          <w:color w:val="000000"/>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（1）</w:t>
      </w:r>
      <w:r>
        <w:rPr>
          <w:rFonts w:hint="default" w:ascii="宋体" w:hAnsi="宋体" w:eastAsia="宋体" w:cs="宋体"/>
          <w:b w:val="0"/>
          <w:bCs w:val="0"/>
          <w:snapToGrid w:val="0"/>
          <w:color w:val="auto"/>
          <w:kern w:val="0"/>
          <w:sz w:val="24"/>
          <w:szCs w:val="24"/>
          <w:highlight w:val="none"/>
          <w:lang w:val="en-US" w:eastAsia="zh-CN" w:bidi="ar"/>
        </w:rPr>
        <w:t>药剂选择：</w:t>
      </w:r>
      <w:r>
        <w:rPr>
          <w:rFonts w:hint="eastAsia" w:ascii="宋体" w:hAnsi="宋体" w:eastAsia="宋体" w:cs="宋体"/>
          <w:b w:val="0"/>
          <w:bCs w:val="0"/>
          <w:snapToGrid w:val="0"/>
          <w:color w:val="auto"/>
          <w:kern w:val="0"/>
          <w:sz w:val="24"/>
          <w:szCs w:val="24"/>
          <w:highlight w:val="none"/>
          <w:lang w:val="en-US" w:eastAsia="zh-CN" w:bidi="ar"/>
        </w:rPr>
        <w:t>供应商</w:t>
      </w:r>
      <w:r>
        <w:rPr>
          <w:rFonts w:hint="default" w:ascii="宋体" w:hAnsi="宋体" w:eastAsia="宋体" w:cs="宋体"/>
          <w:b w:val="0"/>
          <w:bCs w:val="0"/>
          <w:snapToGrid w:val="0"/>
          <w:color w:val="auto"/>
          <w:kern w:val="0"/>
          <w:sz w:val="24"/>
          <w:szCs w:val="24"/>
          <w:highlight w:val="none"/>
          <w:lang w:val="en-US" w:eastAsia="zh-CN" w:bidi="ar"/>
        </w:rPr>
        <w:t>依据</w:t>
      </w:r>
      <w:r>
        <w:rPr>
          <w:rFonts w:hint="eastAsia" w:ascii="宋体" w:hAnsi="宋体" w:eastAsia="宋体" w:cs="宋体"/>
          <w:b w:val="0"/>
          <w:bCs w:val="0"/>
          <w:snapToGrid w:val="0"/>
          <w:color w:val="auto"/>
          <w:kern w:val="0"/>
          <w:sz w:val="24"/>
          <w:szCs w:val="24"/>
          <w:highlight w:val="none"/>
          <w:lang w:val="en-US" w:eastAsia="zh-CN" w:bidi="ar"/>
        </w:rPr>
        <w:t>循环水</w:t>
      </w:r>
      <w:r>
        <w:rPr>
          <w:rFonts w:hint="default" w:ascii="宋体" w:hAnsi="宋体" w:eastAsia="宋体" w:cs="宋体"/>
          <w:b w:val="0"/>
          <w:bCs w:val="0"/>
          <w:snapToGrid w:val="0"/>
          <w:color w:val="auto"/>
          <w:kern w:val="0"/>
          <w:sz w:val="24"/>
          <w:szCs w:val="24"/>
          <w:highlight w:val="none"/>
          <w:lang w:val="en-US" w:eastAsia="zh-CN" w:bidi="ar"/>
        </w:rPr>
        <w:t>系统材质特性来选择</w:t>
      </w:r>
      <w:r>
        <w:rPr>
          <w:rFonts w:hint="eastAsia" w:ascii="宋体" w:hAnsi="宋体" w:eastAsia="宋体" w:cs="宋体"/>
          <w:b w:val="0"/>
          <w:bCs w:val="0"/>
          <w:snapToGrid w:val="0"/>
          <w:color w:val="auto"/>
          <w:kern w:val="0"/>
          <w:sz w:val="24"/>
          <w:szCs w:val="24"/>
          <w:highlight w:val="none"/>
          <w:lang w:val="en-US" w:eastAsia="zh-CN" w:bidi="ar"/>
        </w:rPr>
        <w:t>使用</w:t>
      </w:r>
      <w:r>
        <w:rPr>
          <w:rFonts w:hint="eastAsia" w:ascii="宋体" w:hAnsi="宋体" w:eastAsia="宋体" w:cs="宋体"/>
          <w:snapToGrid w:val="0"/>
          <w:color w:val="auto"/>
          <w:kern w:val="0"/>
          <w:sz w:val="24"/>
          <w:szCs w:val="24"/>
          <w:highlight w:val="none"/>
          <w:lang w:val="en-US" w:eastAsia="zh-CN" w:bidi="ar"/>
        </w:rPr>
        <w:t>大分子螯合物清洗剂、生物杀菌剂、高分子化学镀膜剂、清洗缓蚀剂</w:t>
      </w:r>
      <w:r>
        <w:rPr>
          <w:rFonts w:hint="default" w:ascii="宋体" w:hAnsi="宋体" w:eastAsia="宋体" w:cs="宋体"/>
          <w:b w:val="0"/>
          <w:bCs w:val="0"/>
          <w:snapToGrid w:val="0"/>
          <w:color w:val="auto"/>
          <w:kern w:val="0"/>
          <w:sz w:val="24"/>
          <w:szCs w:val="24"/>
          <w:highlight w:val="none"/>
          <w:lang w:val="en-US" w:eastAsia="zh-CN" w:bidi="ar"/>
        </w:rPr>
        <w:t>，确保药剂与系统材质相兼容，避免对系统造成腐蚀或损坏。</w:t>
      </w:r>
      <w:r>
        <w:rPr>
          <w:rFonts w:hint="eastAsia" w:ascii="宋体" w:hAnsi="宋体" w:eastAsia="宋体" w:cs="宋体"/>
          <w:b w:val="0"/>
          <w:bCs w:val="0"/>
          <w:snapToGrid w:val="0"/>
          <w:color w:val="auto"/>
          <w:kern w:val="0"/>
          <w:sz w:val="24"/>
          <w:szCs w:val="24"/>
          <w:highlight w:val="none"/>
          <w:lang w:val="en-US" w:eastAsia="zh-CN" w:bidi="ar"/>
        </w:rPr>
        <w:t>药剂在使用过程中不应</w:t>
      </w:r>
      <w:r>
        <w:rPr>
          <w:rFonts w:hint="eastAsia" w:ascii="宋体" w:hAnsi="宋体" w:eastAsia="宋体" w:cs="宋体"/>
          <w:b w:val="0"/>
          <w:bCs w:val="0"/>
          <w:snapToGrid w:val="0"/>
          <w:color w:val="000000"/>
          <w:kern w:val="0"/>
          <w:sz w:val="24"/>
          <w:szCs w:val="24"/>
          <w:highlight w:val="none"/>
          <w:lang w:val="en-US" w:eastAsia="zh-CN" w:bidi="ar"/>
        </w:rPr>
        <w:t>向环境中释放有害物质，如重金属、持久性有机污染物等，避免对土壤、水体和大气造成二次污染。清洗后的废水排放要符合环保标准，药剂应具有良好的生物降解性，能够在自然环境中较快地分解，降低对生态环境的影响。</w:t>
      </w:r>
    </w:p>
    <w:p w14:paraId="452A7422">
      <w:pPr>
        <w:keepNext w:val="0"/>
        <w:keepLines w:val="0"/>
        <w:widowControl/>
        <w:suppressLineNumbers w:val="0"/>
        <w:spacing w:line="360" w:lineRule="auto"/>
        <w:ind w:firstLine="480" w:firstLineChars="200"/>
        <w:jc w:val="left"/>
        <w:rPr>
          <w:rFonts w:hint="eastAsia" w:ascii="宋体" w:hAnsi="宋体" w:eastAsia="宋体" w:cs="宋体"/>
          <w:b w:val="0"/>
          <w:bCs w:val="0"/>
          <w:snapToGrid w:val="0"/>
          <w:color w:val="000000"/>
          <w:kern w:val="0"/>
          <w:sz w:val="24"/>
          <w:szCs w:val="24"/>
          <w:highlight w:val="none"/>
          <w:lang w:val="en-US" w:eastAsia="zh-CN" w:bidi="ar"/>
        </w:rPr>
      </w:pPr>
      <w:r>
        <w:rPr>
          <w:rFonts w:hint="eastAsia" w:ascii="宋体" w:hAnsi="宋体" w:eastAsia="宋体" w:cs="宋体"/>
          <w:b w:val="0"/>
          <w:bCs w:val="0"/>
          <w:snapToGrid w:val="0"/>
          <w:color w:val="000000"/>
          <w:kern w:val="0"/>
          <w:sz w:val="24"/>
          <w:szCs w:val="24"/>
          <w:highlight w:val="none"/>
          <w:lang w:val="en-US" w:eastAsia="zh-CN" w:bidi="ar"/>
        </w:rPr>
        <w:t>（2）在清洗过程中，药剂与设备及系统内的其他物质发生反应时，不应产生有害气体、沉淀或其他副产物，以免影响设备的正常运行或对设备造成损坏。</w:t>
      </w:r>
    </w:p>
    <w:p w14:paraId="447C9CA2">
      <w:pPr>
        <w:keepNext w:val="0"/>
        <w:keepLines w:val="0"/>
        <w:widowControl/>
        <w:suppressLineNumbers w:val="0"/>
        <w:spacing w:line="360" w:lineRule="auto"/>
        <w:ind w:firstLine="480" w:firstLineChars="200"/>
        <w:jc w:val="left"/>
        <w:rPr>
          <w:rFonts w:hint="default" w:ascii="宋体" w:hAnsi="宋体" w:eastAsia="宋体" w:cs="宋体"/>
          <w:b w:val="0"/>
          <w:bCs w:val="0"/>
          <w:snapToGrid w:val="0"/>
          <w:color w:val="000000"/>
          <w:kern w:val="0"/>
          <w:sz w:val="24"/>
          <w:szCs w:val="24"/>
          <w:highlight w:val="none"/>
          <w:lang w:val="en-US" w:eastAsia="zh-CN" w:bidi="ar"/>
        </w:rPr>
      </w:pPr>
      <w:r>
        <w:rPr>
          <w:rFonts w:hint="eastAsia" w:ascii="宋体" w:hAnsi="宋体" w:eastAsia="宋体" w:cs="宋体"/>
          <w:b w:val="0"/>
          <w:bCs w:val="0"/>
          <w:snapToGrid w:val="0"/>
          <w:color w:val="000000"/>
          <w:kern w:val="0"/>
          <w:sz w:val="24"/>
          <w:szCs w:val="24"/>
          <w:highlight w:val="none"/>
          <w:lang w:val="en-US" w:eastAsia="zh-CN" w:bidi="ar"/>
        </w:rPr>
        <w:t>（3）在清洗过程中，药剂的反应速度和程度应易于控制，避免反应过于剧烈而导致系统压力异常、温度过高等安全问题。</w:t>
      </w:r>
    </w:p>
    <w:p w14:paraId="4DBA8E75">
      <w:pPr>
        <w:pStyle w:val="7"/>
        <w:rPr>
          <w:rFonts w:hint="default"/>
          <w:lang w:val="en-US" w:eastAsia="zh-CN"/>
        </w:rPr>
      </w:pPr>
    </w:p>
    <w:p w14:paraId="379E2412">
      <w:pPr>
        <w:pStyle w:val="6"/>
        <w:numPr>
          <w:ilvl w:val="0"/>
          <w:numId w:val="0"/>
        </w:numPr>
        <w:ind w:firstLine="482" w:firstLineChars="200"/>
        <w:rPr>
          <w:rFonts w:hint="eastAsia"/>
          <w:u w:val="single"/>
          <w:lang w:val="en-US" w:eastAsia="zh-CN"/>
        </w:rPr>
      </w:pPr>
      <w:r>
        <w:rPr>
          <w:rFonts w:hint="eastAsia"/>
          <w:b/>
          <w:bCs/>
          <w:lang w:val="en-US" w:eastAsia="zh-CN"/>
        </w:rPr>
        <w:t>四、</w:t>
      </w:r>
      <w:r>
        <w:rPr>
          <w:rFonts w:hint="eastAsia"/>
          <w:b/>
          <w:bCs/>
          <w:lang w:val="en-US"/>
        </w:rPr>
        <w:t>合同期限</w:t>
      </w:r>
      <w:r>
        <w:rPr>
          <w:rFonts w:hint="eastAsia"/>
          <w:lang w:val="en-US"/>
        </w:rPr>
        <w:t>：</w:t>
      </w:r>
      <w:r>
        <w:rPr>
          <w:rFonts w:hint="eastAsia"/>
          <w:u w:val="single"/>
          <w:lang w:val="en-US" w:eastAsia="zh-CN"/>
        </w:rPr>
        <w:t xml:space="preserve"> 自合同签订后6个月内完成清洗并通过验收。</w:t>
      </w:r>
    </w:p>
    <w:p w14:paraId="061A648B">
      <w:pPr>
        <w:pStyle w:val="6"/>
        <w:numPr>
          <w:ilvl w:val="0"/>
          <w:numId w:val="0"/>
        </w:numPr>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五</w:t>
      </w:r>
      <w:r>
        <w:rPr>
          <w:rFonts w:hint="eastAsia"/>
          <w:b/>
          <w:bCs/>
          <w:lang w:val="en-US"/>
        </w:rPr>
        <w:t>、验收方式</w:t>
      </w:r>
    </w:p>
    <w:p w14:paraId="0E7832D9">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 xml:space="preserve">1.化学清洗：除垢率大于 75%，漂洗完毕水质要求清澈，浊度小于 20NTU，总铁&lt;1mg/L。清洗过程中需在系统内取适量水垢（200g）置于5微米精度的过滤袋内，悬挂于系统合适的位置，在清洗完成后，称量剩余水垢，计算除垢率。清洗过程中监测挂片（20#碳钢）腐蚀速率不得大于3g/(㎡·h）。不锈钢、铜材试片的腐蚀速率&lt;0.5 g/(㎡·h）。  </w:t>
      </w:r>
    </w:p>
    <w:p w14:paraId="7C922AA4">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2.化学镀膜：镀膜后的挂片使用硫酸铜溶液滴定，显色时间&gt;10 秒。</w:t>
      </w:r>
    </w:p>
    <w:p w14:paraId="4AEA2237">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highlight w:val="yellow"/>
          <w:lang w:val="en-US" w:eastAsia="zh-CN" w:bidi="ar"/>
        </w:rPr>
      </w:pPr>
      <w:r>
        <w:rPr>
          <w:rFonts w:hint="eastAsia" w:ascii="宋体" w:hAnsi="宋体" w:eastAsia="宋体" w:cs="宋体"/>
          <w:snapToGrid w:val="0"/>
          <w:color w:val="000000"/>
          <w:kern w:val="0"/>
          <w:sz w:val="24"/>
          <w:szCs w:val="24"/>
          <w:highlight w:val="none"/>
          <w:lang w:val="en-US" w:eastAsia="zh-CN" w:bidi="ar"/>
        </w:rPr>
        <w:t>3.冷却塔填料上锈蚀、微生物粘泥等附着物需彻底清除，填料表面应显露本色，无残留物或明显污渍。</w:t>
      </w:r>
    </w:p>
    <w:p w14:paraId="4CAC386A">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4.清洗后系统内金属部件无损坏或变形。</w:t>
      </w:r>
    </w:p>
    <w:p w14:paraId="58827A83">
      <w:pPr>
        <w:keepNext w:val="0"/>
        <w:keepLines w:val="0"/>
        <w:widowControl/>
        <w:suppressLineNumbers w:val="0"/>
        <w:spacing w:line="360" w:lineRule="auto"/>
        <w:ind w:firstLine="480" w:firstLineChars="200"/>
        <w:jc w:val="left"/>
        <w:rPr>
          <w:rFonts w:hint="eastAsia" w:ascii="宋体" w:hAnsi="宋体" w:eastAsia="宋体" w:cs="宋体"/>
          <w:b w:val="0"/>
          <w:bCs w:val="0"/>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5.</w:t>
      </w:r>
      <w:r>
        <w:rPr>
          <w:rFonts w:hint="eastAsia" w:ascii="宋体" w:hAnsi="宋体" w:eastAsia="宋体" w:cs="宋体"/>
          <w:b w:val="0"/>
          <w:bCs w:val="0"/>
          <w:snapToGrid w:val="0"/>
          <w:color w:val="000000"/>
          <w:kern w:val="0"/>
          <w:sz w:val="24"/>
          <w:szCs w:val="24"/>
          <w:highlight w:val="none"/>
          <w:lang w:val="en-US" w:eastAsia="zh-CN" w:bidi="ar"/>
        </w:rPr>
        <w:t>供应商应在清洗工作完成后，向采购人提供详细的清洗报告，包括清洗前后的系统状况、污垢分析、清洗效果评估等内容。清洗完成，双方共同进行验收；如验收不合格，供应商应按照采购人要求限期整改，直至达到验收标准，整改费用由供应商承担。</w:t>
      </w:r>
    </w:p>
    <w:p w14:paraId="21B7CB5A">
      <w:pPr>
        <w:pStyle w:val="6"/>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六</w:t>
      </w:r>
      <w:r>
        <w:rPr>
          <w:rFonts w:hint="eastAsia"/>
          <w:b/>
          <w:bCs/>
          <w:lang w:val="en-US"/>
        </w:rPr>
        <w:t>、服务和质量要求</w:t>
      </w:r>
    </w:p>
    <w:p w14:paraId="48CB0443">
      <w:pPr>
        <w:pStyle w:val="6"/>
        <w:ind w:firstLine="480" w:firstLineChars="200"/>
        <w:rPr>
          <w:rFonts w:hint="eastAsia" w:eastAsiaTheme="minorEastAsia"/>
          <w:lang w:val="en-US" w:eastAsia="zh-CN"/>
        </w:rPr>
      </w:pPr>
      <w:bookmarkStart w:id="21" w:name="OLE_LINK15"/>
      <w:r>
        <w:rPr>
          <w:rFonts w:hint="eastAsia"/>
          <w:lang w:val="en-US"/>
        </w:rPr>
        <w:t>1.供应商在接到采购人通知后，对现场进行查看并制定</w:t>
      </w:r>
      <w:r>
        <w:rPr>
          <w:rFonts w:hint="eastAsia"/>
          <w:lang w:val="en-US" w:eastAsia="zh-CN"/>
        </w:rPr>
        <w:t>清洗作业</w:t>
      </w:r>
      <w:r>
        <w:rPr>
          <w:rFonts w:hint="eastAsia"/>
          <w:lang w:val="en-US"/>
        </w:rPr>
        <w:t>方案，采购人审核通过后，供应商按计划完成改造</w:t>
      </w:r>
      <w:r>
        <w:rPr>
          <w:rFonts w:hint="eastAsia"/>
          <w:lang w:val="en-US" w:eastAsia="zh-CN"/>
        </w:rPr>
        <w:t>。（接到采购人通知后</w:t>
      </w:r>
      <w:r>
        <w:rPr>
          <w:rFonts w:hint="eastAsia"/>
          <w:lang w:val="en-US"/>
        </w:rPr>
        <w:t>20日内完成清洗服务</w:t>
      </w:r>
      <w:r>
        <w:rPr>
          <w:rFonts w:hint="eastAsia"/>
          <w:lang w:val="en-US" w:eastAsia="zh-CN"/>
        </w:rPr>
        <w:t>）</w:t>
      </w:r>
    </w:p>
    <w:p w14:paraId="756773EC">
      <w:pPr>
        <w:pStyle w:val="6"/>
        <w:ind w:firstLine="480" w:firstLineChars="200"/>
        <w:rPr>
          <w:lang w:val="en-US"/>
        </w:rPr>
      </w:pPr>
      <w:r>
        <w:rPr>
          <w:rFonts w:hint="eastAsia"/>
          <w:lang w:val="en-US" w:eastAsia="zh-CN"/>
        </w:rPr>
        <w:t>2</w:t>
      </w:r>
      <w:r>
        <w:rPr>
          <w:rFonts w:hint="eastAsia"/>
          <w:lang w:val="en-US"/>
        </w:rPr>
        <w:t>.本次</w:t>
      </w:r>
      <w:r>
        <w:rPr>
          <w:rFonts w:hint="eastAsia"/>
          <w:lang w:val="en-US" w:eastAsia="zh-CN"/>
        </w:rPr>
        <w:t>清洗</w:t>
      </w:r>
      <w:r>
        <w:rPr>
          <w:rFonts w:hint="eastAsia"/>
          <w:lang w:val="en-US"/>
        </w:rPr>
        <w:t>涉及的</w:t>
      </w:r>
      <w:r>
        <w:rPr>
          <w:rFonts w:hint="eastAsia"/>
          <w:lang w:val="en-US" w:eastAsia="zh-CN"/>
        </w:rPr>
        <w:t>药剂、</w:t>
      </w:r>
      <w:r>
        <w:rPr>
          <w:rFonts w:hint="eastAsia"/>
          <w:lang w:val="en-US"/>
        </w:rPr>
        <w:t>辅助材料</w:t>
      </w:r>
      <w:r>
        <w:rPr>
          <w:rFonts w:hint="eastAsia"/>
          <w:lang w:val="en-US" w:eastAsia="zh-CN"/>
        </w:rPr>
        <w:t>等</w:t>
      </w:r>
      <w:r>
        <w:rPr>
          <w:rFonts w:hint="eastAsia"/>
          <w:lang w:val="en-US"/>
        </w:rPr>
        <w:t>含在本次采购范围内，采购人不额外支付费用。</w:t>
      </w:r>
    </w:p>
    <w:p w14:paraId="697FB4CD">
      <w:pPr>
        <w:pStyle w:val="6"/>
        <w:ind w:firstLine="480" w:firstLineChars="200"/>
        <w:rPr>
          <w:lang w:val="en-US"/>
        </w:rPr>
      </w:pPr>
      <w:r>
        <w:rPr>
          <w:rFonts w:hint="eastAsia"/>
          <w:lang w:val="en-US" w:eastAsia="zh-CN"/>
        </w:rPr>
        <w:t>3</w:t>
      </w:r>
      <w:r>
        <w:rPr>
          <w:rFonts w:hint="eastAsia"/>
          <w:lang w:val="en-US"/>
        </w:rPr>
        <w:t>.</w:t>
      </w:r>
      <w:r>
        <w:rPr>
          <w:rFonts w:hint="eastAsia"/>
          <w:lang w:val="en-US" w:eastAsia="zh-CN"/>
        </w:rPr>
        <w:t>清洗</w:t>
      </w:r>
      <w:r>
        <w:rPr>
          <w:rFonts w:hint="eastAsia"/>
          <w:lang w:val="en-US"/>
        </w:rPr>
        <w:t>过程中，供应商保证其提供的服务是技术水平先进、成熟、质量优良、安全可靠、经济运行和易于维护的，质量标准为国家标准及相关行业标准（不同标准之间如有冲突，以较严格者为准）。同时</w:t>
      </w:r>
      <w:r>
        <w:rPr>
          <w:rFonts w:hint="eastAsia"/>
          <w:lang w:val="en-US" w:eastAsia="zh-CN"/>
        </w:rPr>
        <w:t>接受</w:t>
      </w:r>
      <w:r>
        <w:rPr>
          <w:rFonts w:hint="eastAsia"/>
          <w:lang w:val="en-US"/>
        </w:rPr>
        <w:t>采购人监督，服从不合格项目整改原则，实现闭环。</w:t>
      </w:r>
    </w:p>
    <w:bookmarkEnd w:id="21"/>
    <w:p w14:paraId="3FBC90B4">
      <w:pPr>
        <w:pStyle w:val="6"/>
        <w:ind w:firstLine="480" w:firstLineChars="200"/>
        <w:rPr>
          <w:lang w:val="en-US"/>
        </w:rPr>
      </w:pPr>
      <w:r>
        <w:rPr>
          <w:rFonts w:hint="eastAsia"/>
          <w:lang w:val="en-US" w:eastAsia="zh-CN"/>
        </w:rPr>
        <w:t>4</w:t>
      </w:r>
      <w:r>
        <w:rPr>
          <w:rFonts w:hint="eastAsia"/>
          <w:lang w:val="en-US"/>
        </w:rPr>
        <w:t>.供应商应满足采购人的现场管理制度要求，遵守国家、行业、地方法律法规，不得违章作业，出现任何人员安全事故由供应商自行承担。</w:t>
      </w:r>
    </w:p>
    <w:p w14:paraId="093F12DE">
      <w:pPr>
        <w:pStyle w:val="6"/>
        <w:ind w:firstLine="480" w:firstLineChars="200"/>
        <w:rPr>
          <w:lang w:val="en-US"/>
        </w:rPr>
      </w:pPr>
      <w:r>
        <w:rPr>
          <w:rFonts w:hint="eastAsia"/>
          <w:lang w:val="en-US" w:eastAsia="zh-CN"/>
        </w:rPr>
        <w:t>5</w:t>
      </w:r>
      <w:r>
        <w:rPr>
          <w:rFonts w:hint="eastAsia"/>
          <w:lang w:val="en-US"/>
        </w:rPr>
        <w:t>.供应商在服务期间自备专用工具和服务人员的所有劳防用品。</w:t>
      </w:r>
    </w:p>
    <w:p w14:paraId="4994CA31">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6.清洗效果：供应商应确保清洗后的循环水系统达到合同约定的清洗效果，包括但不限于清除系统内的污垢、杂质、微生物等，确保系统正常运行，恢复其良好的工作性能。系统运行参数应恢复正常，如流量、压力、温度等符合设计要求。</w:t>
      </w:r>
    </w:p>
    <w:p w14:paraId="12DD45D6">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7.水质指标要求：清洗后，循环水系统的水质应符合国家相关标准及合同约定的具体水质指标，如浊度、总铁含量、微生物指标等应达到规定范围。</w:t>
      </w:r>
    </w:p>
    <w:p w14:paraId="46965D9D">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8.质量保证：清洗过程中如因供应商原因导致设备故障或损坏，供应商应承担相应的修复费用及因故障给采购人造成的直接经济损失。</w:t>
      </w:r>
    </w:p>
    <w:p w14:paraId="28F278F7">
      <w:pPr>
        <w:keepNext w:val="0"/>
        <w:keepLines w:val="0"/>
        <w:widowControl/>
        <w:suppressLineNumbers w:val="0"/>
        <w:spacing w:line="360" w:lineRule="auto"/>
        <w:ind w:firstLine="480" w:firstLineChars="200"/>
        <w:jc w:val="left"/>
      </w:pPr>
      <w:r>
        <w:rPr>
          <w:rFonts w:hint="eastAsia" w:ascii="宋体" w:hAnsi="宋体" w:eastAsia="宋体" w:cs="宋体"/>
          <w:snapToGrid w:val="0"/>
          <w:color w:val="000000"/>
          <w:kern w:val="0"/>
          <w:sz w:val="24"/>
          <w:szCs w:val="24"/>
          <w:lang w:val="en-US" w:eastAsia="zh-CN" w:bidi="ar"/>
        </w:rPr>
        <w:t>9.技术培训与支持：供应商应为采购人相关人员提供循环水系统运行、维护等方面提供必要的技术支持，解答采购人在运行过程中遇到的技术问题。</w:t>
      </w:r>
    </w:p>
    <w:p w14:paraId="661E1059">
      <w:pPr>
        <w:pStyle w:val="6"/>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14:paraId="7011954A">
      <w:pPr>
        <w:pStyle w:val="7"/>
        <w:ind w:firstLine="480" w:firstLineChars="200"/>
        <w:rPr>
          <w:lang w:val="en-US"/>
        </w:rPr>
      </w:pPr>
      <w:r>
        <w:rPr>
          <w:rFonts w:hint="eastAsia"/>
          <w:lang w:val="en-US"/>
        </w:rPr>
        <w:t>以本询价采购文件中的合同条款为准。</w:t>
      </w:r>
    </w:p>
    <w:p w14:paraId="12825A05">
      <w:pPr>
        <w:pStyle w:val="6"/>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八</w:t>
      </w:r>
      <w:r>
        <w:rPr>
          <w:rFonts w:hint="eastAsia"/>
          <w:b/>
          <w:bCs/>
          <w:lang w:val="en-US"/>
        </w:rPr>
        <w:t>、售后要求</w:t>
      </w:r>
    </w:p>
    <w:p w14:paraId="2F8AC07B">
      <w:pPr>
        <w:pStyle w:val="6"/>
        <w:ind w:firstLine="480" w:firstLineChars="200"/>
        <w:rPr>
          <w:lang w:val="en-US"/>
        </w:rPr>
      </w:pPr>
      <w:r>
        <w:rPr>
          <w:rFonts w:hint="eastAsia"/>
          <w:lang w:val="en-US"/>
        </w:rPr>
        <w:t>1.供应商必须满足采购人售后服务要求。在验收合格后，供应商依然承担质量责任，如使用过程发生问题，供应商须在接到采购人通知后24小时内做出书面答复并提供解决方案。若需要派遣技术人员，则应在接到采购人通知后48小时内派人员到达现场进行免费指导解决问题。</w:t>
      </w:r>
    </w:p>
    <w:p w14:paraId="4E36B69C">
      <w:pPr>
        <w:pStyle w:val="6"/>
        <w:ind w:firstLine="480" w:firstLineChars="200"/>
      </w:pPr>
      <w:r>
        <w:rPr>
          <w:rFonts w:hint="eastAsia"/>
          <w:lang w:val="en-US"/>
        </w:rPr>
        <w:t>2.采购人不再对任何售后服务进行付费。供应商的派遣人员产生的一切费用由供应商承担。</w:t>
      </w:r>
    </w:p>
    <w:p w14:paraId="0A81BA02">
      <w:pPr>
        <w:pStyle w:val="6"/>
        <w:ind w:firstLine="482" w:firstLineChars="200"/>
        <w:rPr>
          <w:b/>
          <w:bCs/>
          <w:lang w:val="en-US"/>
        </w:rPr>
      </w:pPr>
      <w:r>
        <w:rPr>
          <w:rFonts w:hint="eastAsia"/>
          <w:b/>
          <w:bCs/>
          <w:lang w:val="en-US"/>
        </w:rPr>
        <w:t>注：采购文件中打▲内容为实质性要求，不允许有负偏离，否则按无效报价处理。供应商在响应文件中应根据以上要求在商务、技术偏离表中响应，供应商未提出偏离的，视为全部实质性响应。</w:t>
      </w:r>
    </w:p>
    <w:p w14:paraId="458426F6">
      <w:r>
        <w:rPr>
          <w:rFonts w:hint="eastAsia" w:cs="仿宋" w:asciiTheme="minorEastAsia" w:hAnsiTheme="minorEastAsia"/>
          <w:b/>
          <w:sz w:val="36"/>
          <w:szCs w:val="36"/>
        </w:rPr>
        <w:br w:type="page"/>
      </w:r>
    </w:p>
    <w:p w14:paraId="403F2936"/>
    <w:p w14:paraId="64BA5384">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22" w:name="_Toc184314413"/>
      <w:bookmarkEnd w:id="22"/>
      <w:bookmarkStart w:id="23" w:name="_Toc184308101"/>
      <w:bookmarkEnd w:id="23"/>
      <w:bookmarkStart w:id="24" w:name="_Toc184308047"/>
      <w:bookmarkEnd w:id="24"/>
      <w:bookmarkStart w:id="25" w:name="_Toc184313299"/>
      <w:bookmarkEnd w:id="25"/>
      <w:bookmarkStart w:id="26" w:name="_Toc184313297"/>
      <w:bookmarkEnd w:id="26"/>
      <w:bookmarkStart w:id="27" w:name="_Toc184308061"/>
      <w:bookmarkEnd w:id="27"/>
      <w:bookmarkStart w:id="28" w:name="_Toc184308060"/>
      <w:bookmarkEnd w:id="28"/>
      <w:bookmarkStart w:id="29" w:name="_Toc184312068"/>
      <w:bookmarkEnd w:id="29"/>
      <w:bookmarkStart w:id="30" w:name="_Toc184314441"/>
      <w:bookmarkEnd w:id="30"/>
      <w:bookmarkStart w:id="31" w:name="_Toc184313256"/>
      <w:bookmarkEnd w:id="31"/>
      <w:bookmarkStart w:id="32" w:name="_Toc184313307"/>
      <w:bookmarkEnd w:id="32"/>
      <w:bookmarkStart w:id="33" w:name="_Toc184312069"/>
      <w:bookmarkEnd w:id="33"/>
      <w:bookmarkStart w:id="34" w:name="_Toc184308054"/>
      <w:bookmarkEnd w:id="34"/>
      <w:bookmarkStart w:id="35" w:name="_Toc184308102"/>
      <w:bookmarkEnd w:id="35"/>
      <w:bookmarkStart w:id="36" w:name="_Toc184308041"/>
      <w:bookmarkEnd w:id="36"/>
      <w:bookmarkStart w:id="37" w:name="_Toc184308045"/>
      <w:bookmarkEnd w:id="37"/>
      <w:bookmarkStart w:id="38" w:name="_Toc184313274"/>
      <w:bookmarkEnd w:id="38"/>
      <w:bookmarkStart w:id="39" w:name="_Toc184308077"/>
      <w:bookmarkEnd w:id="39"/>
      <w:bookmarkStart w:id="40" w:name="_Toc184314423"/>
      <w:bookmarkEnd w:id="40"/>
      <w:bookmarkStart w:id="41" w:name="_Toc184314428"/>
      <w:bookmarkEnd w:id="41"/>
      <w:bookmarkStart w:id="42" w:name="_Toc184313239"/>
      <w:bookmarkEnd w:id="42"/>
      <w:bookmarkStart w:id="43" w:name="_Toc184310278"/>
      <w:bookmarkEnd w:id="43"/>
      <w:bookmarkStart w:id="44" w:name="_Toc184308070"/>
      <w:bookmarkEnd w:id="44"/>
      <w:bookmarkStart w:id="45" w:name="_Toc184308039"/>
      <w:bookmarkEnd w:id="45"/>
      <w:bookmarkStart w:id="46" w:name="_Toc184313295"/>
      <w:bookmarkEnd w:id="46"/>
      <w:bookmarkStart w:id="47" w:name="_Toc184310273"/>
      <w:bookmarkEnd w:id="47"/>
      <w:bookmarkStart w:id="48" w:name="_Toc184308037"/>
      <w:bookmarkEnd w:id="48"/>
      <w:bookmarkStart w:id="49" w:name="_Toc184313278"/>
      <w:bookmarkEnd w:id="49"/>
      <w:bookmarkStart w:id="50" w:name="_Toc184310310"/>
      <w:bookmarkEnd w:id="50"/>
      <w:bookmarkStart w:id="51" w:name="_Toc184310294"/>
      <w:bookmarkEnd w:id="51"/>
      <w:bookmarkStart w:id="52" w:name="_Toc184314470"/>
      <w:bookmarkEnd w:id="52"/>
      <w:bookmarkStart w:id="53" w:name="_Toc184313288"/>
      <w:bookmarkEnd w:id="53"/>
      <w:bookmarkStart w:id="54" w:name="_Toc184312133"/>
      <w:bookmarkEnd w:id="54"/>
      <w:bookmarkStart w:id="55" w:name="_Toc184313246"/>
      <w:bookmarkEnd w:id="55"/>
      <w:bookmarkStart w:id="56" w:name="_Toc184313285"/>
      <w:bookmarkEnd w:id="56"/>
      <w:bookmarkStart w:id="57" w:name="_Toc184314478"/>
      <w:bookmarkEnd w:id="57"/>
      <w:bookmarkStart w:id="58" w:name="_Toc184314424"/>
      <w:bookmarkEnd w:id="58"/>
      <w:bookmarkStart w:id="59" w:name="_Toc184314459"/>
      <w:bookmarkEnd w:id="59"/>
      <w:bookmarkStart w:id="60" w:name="_Toc184314420"/>
      <w:bookmarkEnd w:id="60"/>
      <w:bookmarkStart w:id="61" w:name="_Toc184312079"/>
      <w:bookmarkEnd w:id="61"/>
      <w:bookmarkStart w:id="62" w:name="_Toc184310335"/>
      <w:bookmarkEnd w:id="62"/>
      <w:bookmarkStart w:id="63" w:name="_Toc184313267"/>
      <w:bookmarkEnd w:id="63"/>
      <w:bookmarkStart w:id="64" w:name="_Toc184310276"/>
      <w:bookmarkEnd w:id="64"/>
      <w:bookmarkStart w:id="65" w:name="_Toc184314452"/>
      <w:bookmarkEnd w:id="65"/>
      <w:bookmarkStart w:id="66" w:name="_Toc184314464"/>
      <w:bookmarkEnd w:id="66"/>
      <w:bookmarkStart w:id="67" w:name="_Toc184312100"/>
      <w:bookmarkEnd w:id="67"/>
      <w:bookmarkStart w:id="68" w:name="_Toc184313281"/>
      <w:bookmarkEnd w:id="68"/>
      <w:bookmarkStart w:id="69" w:name="_Toc184314451"/>
      <w:bookmarkEnd w:id="69"/>
      <w:bookmarkStart w:id="70" w:name="_Toc184314471"/>
      <w:bookmarkEnd w:id="70"/>
      <w:bookmarkStart w:id="71" w:name="_Toc184313309"/>
      <w:bookmarkEnd w:id="71"/>
      <w:bookmarkStart w:id="72" w:name="_Toc184308065"/>
      <w:bookmarkEnd w:id="72"/>
      <w:bookmarkStart w:id="73" w:name="_Toc184312083"/>
      <w:bookmarkEnd w:id="73"/>
      <w:bookmarkStart w:id="74" w:name="_Toc184310315"/>
      <w:bookmarkEnd w:id="74"/>
      <w:bookmarkStart w:id="75" w:name="_Toc184312067"/>
      <w:bookmarkEnd w:id="75"/>
      <w:bookmarkStart w:id="76" w:name="_Toc184312070"/>
      <w:bookmarkEnd w:id="76"/>
      <w:bookmarkStart w:id="77" w:name="_Toc184314431"/>
      <w:bookmarkEnd w:id="77"/>
      <w:bookmarkStart w:id="78" w:name="_Toc184312114"/>
      <w:bookmarkEnd w:id="78"/>
      <w:bookmarkStart w:id="79" w:name="_Toc184312115"/>
      <w:bookmarkEnd w:id="79"/>
      <w:bookmarkStart w:id="80" w:name="_Toc184310299"/>
      <w:bookmarkEnd w:id="80"/>
      <w:bookmarkStart w:id="81" w:name="_Toc184312076"/>
      <w:bookmarkEnd w:id="81"/>
      <w:bookmarkStart w:id="82" w:name="_Toc184313265"/>
      <w:bookmarkEnd w:id="82"/>
      <w:bookmarkStart w:id="83" w:name="_Toc184312113"/>
      <w:bookmarkEnd w:id="83"/>
      <w:bookmarkStart w:id="84" w:name="_Toc184312106"/>
      <w:bookmarkEnd w:id="84"/>
      <w:bookmarkStart w:id="85" w:name="_Toc184310341"/>
      <w:bookmarkEnd w:id="85"/>
      <w:bookmarkStart w:id="86" w:name="_Toc184308107"/>
      <w:bookmarkEnd w:id="86"/>
      <w:bookmarkStart w:id="87" w:name="_Toc184313261"/>
      <w:bookmarkEnd w:id="87"/>
      <w:bookmarkStart w:id="88" w:name="_Toc184313238"/>
      <w:bookmarkEnd w:id="88"/>
      <w:bookmarkStart w:id="89" w:name="_Toc184310325"/>
      <w:bookmarkEnd w:id="89"/>
      <w:bookmarkStart w:id="90" w:name="_Toc184308076"/>
      <w:bookmarkEnd w:id="90"/>
      <w:bookmarkStart w:id="91" w:name="_Toc184313289"/>
      <w:bookmarkEnd w:id="91"/>
      <w:bookmarkStart w:id="92" w:name="_Toc184308084"/>
      <w:bookmarkEnd w:id="92"/>
      <w:bookmarkStart w:id="93" w:name="_Toc184313269"/>
      <w:bookmarkEnd w:id="93"/>
      <w:bookmarkStart w:id="94" w:name="_Toc184312120"/>
      <w:bookmarkEnd w:id="94"/>
      <w:bookmarkStart w:id="95" w:name="_Toc184314419"/>
      <w:bookmarkEnd w:id="95"/>
      <w:bookmarkStart w:id="96" w:name="_Toc184308098"/>
      <w:bookmarkEnd w:id="96"/>
      <w:bookmarkStart w:id="97" w:name="_Toc184312094"/>
      <w:bookmarkEnd w:id="97"/>
      <w:bookmarkStart w:id="98" w:name="_Toc184308053"/>
      <w:bookmarkEnd w:id="98"/>
      <w:bookmarkStart w:id="99" w:name="_Toc184308049"/>
      <w:bookmarkEnd w:id="99"/>
      <w:bookmarkStart w:id="100" w:name="_Toc184308066"/>
      <w:bookmarkEnd w:id="100"/>
      <w:bookmarkStart w:id="101" w:name="_Toc184312088"/>
      <w:bookmarkEnd w:id="101"/>
      <w:bookmarkStart w:id="102" w:name="_Toc184310324"/>
      <w:bookmarkEnd w:id="102"/>
      <w:bookmarkStart w:id="103" w:name="_Toc184313305"/>
      <w:bookmarkEnd w:id="103"/>
      <w:bookmarkStart w:id="104" w:name="_Toc184312097"/>
      <w:bookmarkEnd w:id="104"/>
      <w:bookmarkStart w:id="105" w:name="_Toc184310318"/>
      <w:bookmarkEnd w:id="105"/>
      <w:bookmarkStart w:id="106" w:name="_Toc184312107"/>
      <w:bookmarkEnd w:id="106"/>
      <w:bookmarkStart w:id="107" w:name="_Toc184313283"/>
      <w:bookmarkEnd w:id="107"/>
      <w:bookmarkStart w:id="108" w:name="_Toc184308058"/>
      <w:bookmarkEnd w:id="108"/>
      <w:bookmarkStart w:id="109" w:name="_Toc184313268"/>
      <w:bookmarkEnd w:id="109"/>
      <w:bookmarkStart w:id="110" w:name="_Toc184308072"/>
      <w:bookmarkEnd w:id="110"/>
      <w:bookmarkStart w:id="111" w:name="_Toc184314415"/>
      <w:bookmarkEnd w:id="111"/>
      <w:bookmarkStart w:id="112" w:name="_Toc184310334"/>
      <w:bookmarkEnd w:id="112"/>
      <w:bookmarkStart w:id="113" w:name="_Toc184313300"/>
      <w:bookmarkEnd w:id="113"/>
      <w:bookmarkStart w:id="114" w:name="_Toc184310323"/>
      <w:bookmarkEnd w:id="114"/>
      <w:bookmarkStart w:id="115" w:name="_Toc184313275"/>
      <w:bookmarkEnd w:id="115"/>
      <w:bookmarkStart w:id="116" w:name="_Toc184312136"/>
      <w:bookmarkEnd w:id="116"/>
      <w:bookmarkStart w:id="117" w:name="_Toc184312117"/>
      <w:bookmarkEnd w:id="117"/>
      <w:bookmarkStart w:id="118" w:name="_Toc184308091"/>
      <w:bookmarkEnd w:id="118"/>
      <w:bookmarkStart w:id="119" w:name="_Toc184314462"/>
      <w:bookmarkEnd w:id="119"/>
      <w:bookmarkStart w:id="120" w:name="_Toc184313257"/>
      <w:bookmarkEnd w:id="120"/>
      <w:bookmarkStart w:id="121" w:name="_Toc184308036"/>
      <w:bookmarkEnd w:id="121"/>
      <w:bookmarkStart w:id="122" w:name="_Toc184308104"/>
      <w:bookmarkEnd w:id="122"/>
      <w:bookmarkStart w:id="123" w:name="_Toc184313247"/>
      <w:bookmarkEnd w:id="123"/>
      <w:bookmarkStart w:id="124" w:name="_Toc184314448"/>
      <w:bookmarkEnd w:id="124"/>
      <w:bookmarkStart w:id="125" w:name="_Toc184310311"/>
      <w:bookmarkEnd w:id="125"/>
      <w:bookmarkStart w:id="126" w:name="_Toc184310308"/>
      <w:bookmarkEnd w:id="126"/>
      <w:bookmarkStart w:id="127" w:name="_Toc184312137"/>
      <w:bookmarkEnd w:id="127"/>
      <w:bookmarkStart w:id="128" w:name="_Toc184308085"/>
      <w:bookmarkEnd w:id="128"/>
      <w:bookmarkStart w:id="129" w:name="_Toc184310328"/>
      <w:bookmarkEnd w:id="129"/>
      <w:bookmarkStart w:id="130" w:name="_Toc184310339"/>
      <w:bookmarkEnd w:id="130"/>
      <w:bookmarkStart w:id="131" w:name="_Toc184310338"/>
      <w:bookmarkEnd w:id="131"/>
      <w:bookmarkStart w:id="132" w:name="_Toc184314446"/>
      <w:bookmarkEnd w:id="132"/>
      <w:bookmarkStart w:id="133" w:name="_Toc184312138"/>
      <w:bookmarkEnd w:id="133"/>
      <w:bookmarkStart w:id="134" w:name="_Toc184308048"/>
      <w:bookmarkEnd w:id="134"/>
      <w:bookmarkStart w:id="135" w:name="_Toc184308081"/>
      <w:bookmarkEnd w:id="135"/>
      <w:bookmarkStart w:id="136" w:name="_Toc184310285"/>
      <w:bookmarkEnd w:id="136"/>
      <w:bookmarkStart w:id="137" w:name="_Toc184308042"/>
      <w:bookmarkEnd w:id="137"/>
      <w:bookmarkStart w:id="138" w:name="_Toc184314432"/>
      <w:bookmarkEnd w:id="138"/>
      <w:bookmarkStart w:id="139" w:name="_Toc184310306"/>
      <w:bookmarkEnd w:id="139"/>
      <w:bookmarkStart w:id="140" w:name="_Toc184308062"/>
      <w:bookmarkEnd w:id="140"/>
      <w:bookmarkStart w:id="141" w:name="_Toc184314445"/>
      <w:bookmarkEnd w:id="141"/>
      <w:bookmarkStart w:id="142" w:name="_Toc184308097"/>
      <w:bookmarkEnd w:id="142"/>
      <w:bookmarkStart w:id="143" w:name="_Toc184313244"/>
      <w:bookmarkEnd w:id="143"/>
      <w:bookmarkStart w:id="144" w:name="_Toc184312104"/>
      <w:bookmarkEnd w:id="144"/>
      <w:bookmarkStart w:id="145" w:name="_Toc184310284"/>
      <w:bookmarkEnd w:id="145"/>
      <w:bookmarkStart w:id="146" w:name="_Toc184313252"/>
      <w:bookmarkEnd w:id="146"/>
      <w:bookmarkStart w:id="147" w:name="_Toc184312125"/>
      <w:bookmarkEnd w:id="147"/>
      <w:bookmarkStart w:id="148" w:name="_Toc184308067"/>
      <w:bookmarkEnd w:id="148"/>
      <w:bookmarkStart w:id="149" w:name="_Toc184310331"/>
      <w:bookmarkEnd w:id="149"/>
      <w:bookmarkStart w:id="150" w:name="_Toc184313273"/>
      <w:bookmarkEnd w:id="150"/>
      <w:bookmarkStart w:id="151" w:name="_Toc184313296"/>
      <w:bookmarkEnd w:id="151"/>
      <w:bookmarkStart w:id="152" w:name="_Toc184312086"/>
      <w:bookmarkEnd w:id="152"/>
      <w:bookmarkStart w:id="153" w:name="_Toc184312108"/>
      <w:bookmarkEnd w:id="153"/>
      <w:bookmarkStart w:id="154" w:name="_Toc184313259"/>
      <w:bookmarkEnd w:id="154"/>
      <w:bookmarkStart w:id="155" w:name="_Toc184313254"/>
      <w:bookmarkEnd w:id="155"/>
      <w:bookmarkStart w:id="156" w:name="_Toc184310286"/>
      <w:bookmarkEnd w:id="156"/>
      <w:bookmarkStart w:id="157" w:name="_Toc184313262"/>
      <w:bookmarkEnd w:id="157"/>
      <w:bookmarkStart w:id="158" w:name="_Toc184314480"/>
      <w:bookmarkEnd w:id="158"/>
      <w:bookmarkStart w:id="159" w:name="_Toc184308087"/>
      <w:bookmarkEnd w:id="159"/>
      <w:bookmarkStart w:id="160" w:name="_Toc184313242"/>
      <w:bookmarkEnd w:id="160"/>
      <w:bookmarkStart w:id="161" w:name="_Toc184314455"/>
      <w:bookmarkEnd w:id="161"/>
      <w:bookmarkStart w:id="162" w:name="_Toc184313245"/>
      <w:bookmarkEnd w:id="162"/>
      <w:bookmarkStart w:id="163" w:name="_Toc184312111"/>
      <w:bookmarkEnd w:id="163"/>
      <w:bookmarkStart w:id="164" w:name="_Toc184310302"/>
      <w:bookmarkEnd w:id="164"/>
      <w:bookmarkStart w:id="165" w:name="_Toc184314416"/>
      <w:bookmarkEnd w:id="165"/>
      <w:bookmarkStart w:id="166" w:name="_Toc184312081"/>
      <w:bookmarkEnd w:id="166"/>
      <w:bookmarkStart w:id="167" w:name="_Toc184312139"/>
      <w:bookmarkEnd w:id="167"/>
      <w:bookmarkStart w:id="168" w:name="_Toc184314421"/>
      <w:bookmarkEnd w:id="168"/>
      <w:bookmarkStart w:id="169" w:name="_Toc184313241"/>
      <w:bookmarkEnd w:id="169"/>
      <w:bookmarkStart w:id="170" w:name="_Toc184314438"/>
      <w:bookmarkEnd w:id="170"/>
      <w:bookmarkStart w:id="171" w:name="_Toc184313249"/>
      <w:bookmarkEnd w:id="171"/>
      <w:bookmarkStart w:id="172" w:name="_Toc184308088"/>
      <w:bookmarkEnd w:id="172"/>
      <w:bookmarkStart w:id="173" w:name="_Toc184308100"/>
      <w:bookmarkEnd w:id="173"/>
      <w:bookmarkStart w:id="174" w:name="_Toc184314437"/>
      <w:bookmarkEnd w:id="174"/>
      <w:bookmarkStart w:id="175" w:name="_Toc184308071"/>
      <w:bookmarkEnd w:id="175"/>
      <w:bookmarkStart w:id="176" w:name="_Toc184310309"/>
      <w:bookmarkEnd w:id="176"/>
      <w:bookmarkStart w:id="177" w:name="_Toc184310288"/>
      <w:bookmarkEnd w:id="177"/>
      <w:bookmarkStart w:id="178" w:name="_Toc184314461"/>
      <w:bookmarkEnd w:id="178"/>
      <w:bookmarkStart w:id="179" w:name="_Toc184314460"/>
      <w:bookmarkEnd w:id="179"/>
      <w:bookmarkStart w:id="180" w:name="_Toc184313251"/>
      <w:bookmarkEnd w:id="180"/>
      <w:bookmarkStart w:id="181" w:name="_Toc184308103"/>
      <w:bookmarkEnd w:id="181"/>
      <w:bookmarkStart w:id="182" w:name="_Toc184313291"/>
      <w:bookmarkEnd w:id="182"/>
      <w:bookmarkStart w:id="183" w:name="_Toc184314443"/>
      <w:bookmarkEnd w:id="183"/>
      <w:bookmarkStart w:id="184" w:name="_Toc184314472"/>
      <w:bookmarkEnd w:id="184"/>
      <w:bookmarkStart w:id="185" w:name="_Toc184310329"/>
      <w:bookmarkEnd w:id="185"/>
      <w:bookmarkStart w:id="186" w:name="_Toc184314481"/>
      <w:bookmarkEnd w:id="186"/>
      <w:bookmarkStart w:id="187" w:name="_Toc184314427"/>
      <w:bookmarkEnd w:id="187"/>
      <w:bookmarkStart w:id="188" w:name="_Toc184308068"/>
      <w:bookmarkEnd w:id="188"/>
      <w:bookmarkStart w:id="189" w:name="_Toc184313286"/>
      <w:bookmarkEnd w:id="189"/>
      <w:bookmarkStart w:id="190" w:name="_Toc184310281"/>
      <w:bookmarkEnd w:id="190"/>
      <w:bookmarkStart w:id="191" w:name="_Toc184312077"/>
      <w:bookmarkEnd w:id="191"/>
      <w:bookmarkStart w:id="192" w:name="_Toc184312095"/>
      <w:bookmarkEnd w:id="192"/>
      <w:bookmarkStart w:id="193" w:name="_Toc184312085"/>
      <w:bookmarkEnd w:id="193"/>
      <w:bookmarkStart w:id="194" w:name="_Toc184312082"/>
      <w:bookmarkEnd w:id="194"/>
      <w:bookmarkStart w:id="195" w:name="_Toc184310277"/>
      <w:bookmarkEnd w:id="195"/>
      <w:bookmarkStart w:id="196" w:name="_Toc184313304"/>
      <w:bookmarkEnd w:id="196"/>
      <w:bookmarkStart w:id="197" w:name="_Toc184313294"/>
      <w:bookmarkEnd w:id="197"/>
      <w:bookmarkStart w:id="198" w:name="_Toc184310304"/>
      <w:bookmarkEnd w:id="198"/>
      <w:bookmarkStart w:id="199" w:name="_Toc184308093"/>
      <w:bookmarkEnd w:id="199"/>
      <w:bookmarkStart w:id="200" w:name="_Toc184308059"/>
      <w:bookmarkEnd w:id="200"/>
      <w:bookmarkStart w:id="201" w:name="_Toc184312105"/>
      <w:bookmarkEnd w:id="201"/>
      <w:bookmarkStart w:id="202" w:name="_Toc184314447"/>
      <w:bookmarkEnd w:id="202"/>
      <w:bookmarkStart w:id="203" w:name="_Toc184310319"/>
      <w:bookmarkEnd w:id="203"/>
      <w:bookmarkStart w:id="204" w:name="_Toc184310337"/>
      <w:bookmarkEnd w:id="204"/>
      <w:bookmarkStart w:id="205" w:name="_Toc184313255"/>
      <w:bookmarkEnd w:id="205"/>
      <w:bookmarkStart w:id="206" w:name="_Toc184312126"/>
      <w:bookmarkEnd w:id="206"/>
      <w:bookmarkStart w:id="207" w:name="_Toc184313240"/>
      <w:bookmarkEnd w:id="207"/>
      <w:bookmarkStart w:id="208" w:name="_Toc184308078"/>
      <w:bookmarkEnd w:id="208"/>
      <w:bookmarkStart w:id="209" w:name="_Toc184308050"/>
      <w:bookmarkEnd w:id="209"/>
      <w:bookmarkStart w:id="210" w:name="_Toc184313292"/>
      <w:bookmarkEnd w:id="210"/>
      <w:bookmarkStart w:id="211" w:name="_Toc184314435"/>
      <w:bookmarkEnd w:id="211"/>
      <w:bookmarkStart w:id="212" w:name="_Toc184310332"/>
      <w:bookmarkEnd w:id="212"/>
      <w:bookmarkStart w:id="213" w:name="_Toc184310275"/>
      <w:bookmarkEnd w:id="213"/>
      <w:bookmarkStart w:id="214" w:name="_Toc184310280"/>
      <w:bookmarkEnd w:id="214"/>
      <w:bookmarkStart w:id="215" w:name="_Toc184310305"/>
      <w:bookmarkEnd w:id="215"/>
      <w:bookmarkStart w:id="216" w:name="_Toc184310316"/>
      <w:bookmarkEnd w:id="216"/>
      <w:bookmarkStart w:id="217" w:name="_Toc184308082"/>
      <w:bookmarkEnd w:id="217"/>
      <w:bookmarkStart w:id="218" w:name="_Toc184312080"/>
      <w:bookmarkEnd w:id="218"/>
      <w:bookmarkStart w:id="219" w:name="_Toc184312078"/>
      <w:bookmarkEnd w:id="219"/>
      <w:bookmarkStart w:id="220" w:name="_Toc184308051"/>
      <w:bookmarkEnd w:id="220"/>
      <w:bookmarkStart w:id="221" w:name="_Toc184308069"/>
      <w:bookmarkEnd w:id="221"/>
      <w:bookmarkStart w:id="222" w:name="_Toc184313250"/>
      <w:bookmarkEnd w:id="222"/>
      <w:bookmarkStart w:id="223" w:name="_Toc184312127"/>
      <w:bookmarkEnd w:id="223"/>
      <w:bookmarkStart w:id="224" w:name="_Toc184314422"/>
      <w:bookmarkEnd w:id="224"/>
      <w:bookmarkStart w:id="225" w:name="_Toc184310301"/>
      <w:bookmarkEnd w:id="225"/>
      <w:bookmarkStart w:id="226" w:name="_Toc184308043"/>
      <w:bookmarkEnd w:id="226"/>
      <w:bookmarkStart w:id="227" w:name="_Toc184312090"/>
      <w:bookmarkEnd w:id="227"/>
      <w:bookmarkStart w:id="228" w:name="_Toc184314468"/>
      <w:bookmarkEnd w:id="228"/>
      <w:bookmarkStart w:id="229" w:name="_Toc184310292"/>
      <w:bookmarkEnd w:id="229"/>
      <w:bookmarkStart w:id="230" w:name="_Toc184314476"/>
      <w:bookmarkEnd w:id="230"/>
      <w:bookmarkStart w:id="231" w:name="_Toc184312084"/>
      <w:bookmarkEnd w:id="231"/>
      <w:bookmarkStart w:id="232" w:name="_Toc184312099"/>
      <w:bookmarkEnd w:id="232"/>
      <w:bookmarkStart w:id="233" w:name="_Toc184313271"/>
      <w:bookmarkEnd w:id="233"/>
      <w:bookmarkStart w:id="234" w:name="_Toc184312101"/>
      <w:bookmarkEnd w:id="234"/>
      <w:bookmarkStart w:id="235" w:name="_Toc184312087"/>
      <w:bookmarkEnd w:id="235"/>
      <w:bookmarkStart w:id="236" w:name="_Toc184313243"/>
      <w:bookmarkEnd w:id="236"/>
      <w:bookmarkStart w:id="237" w:name="_Toc184310298"/>
      <w:bookmarkEnd w:id="237"/>
      <w:bookmarkStart w:id="238" w:name="_Toc184308095"/>
      <w:bookmarkEnd w:id="238"/>
      <w:bookmarkStart w:id="239" w:name="_Toc184314456"/>
      <w:bookmarkEnd w:id="239"/>
      <w:bookmarkStart w:id="240" w:name="_Toc184313260"/>
      <w:bookmarkEnd w:id="240"/>
      <w:bookmarkStart w:id="241" w:name="_Toc184313272"/>
      <w:bookmarkEnd w:id="241"/>
      <w:bookmarkStart w:id="242" w:name="_Toc184314475"/>
      <w:bookmarkEnd w:id="242"/>
      <w:bookmarkStart w:id="243" w:name="_Toc184313253"/>
      <w:bookmarkEnd w:id="243"/>
      <w:bookmarkStart w:id="244" w:name="_Toc184310287"/>
      <w:bookmarkEnd w:id="244"/>
      <w:bookmarkStart w:id="245" w:name="_Toc184313279"/>
      <w:bookmarkEnd w:id="245"/>
      <w:bookmarkStart w:id="246" w:name="_Toc184313287"/>
      <w:bookmarkEnd w:id="246"/>
      <w:bookmarkStart w:id="247" w:name="_Toc184313284"/>
      <w:bookmarkEnd w:id="247"/>
      <w:bookmarkStart w:id="248" w:name="_Toc184312129"/>
      <w:bookmarkEnd w:id="248"/>
      <w:bookmarkStart w:id="249" w:name="_Toc184308075"/>
      <w:bookmarkEnd w:id="249"/>
      <w:bookmarkStart w:id="250" w:name="_Toc184308040"/>
      <w:bookmarkEnd w:id="250"/>
      <w:bookmarkStart w:id="251" w:name="_Toc184310317"/>
      <w:bookmarkEnd w:id="251"/>
      <w:bookmarkStart w:id="252" w:name="_Toc184313276"/>
      <w:bookmarkEnd w:id="252"/>
      <w:bookmarkStart w:id="253" w:name="_Toc184314453"/>
      <w:bookmarkEnd w:id="253"/>
      <w:bookmarkStart w:id="254" w:name="_Toc184312096"/>
      <w:bookmarkEnd w:id="254"/>
      <w:bookmarkStart w:id="255" w:name="_Toc184314467"/>
      <w:bookmarkEnd w:id="255"/>
      <w:bookmarkStart w:id="256" w:name="_Toc184312116"/>
      <w:bookmarkEnd w:id="256"/>
      <w:bookmarkStart w:id="257" w:name="_Toc184314418"/>
      <w:bookmarkEnd w:id="257"/>
      <w:bookmarkStart w:id="258" w:name="_Toc184314442"/>
      <w:bookmarkEnd w:id="258"/>
      <w:bookmarkStart w:id="259" w:name="_Toc184313258"/>
      <w:bookmarkEnd w:id="259"/>
      <w:bookmarkStart w:id="260" w:name="_Toc184313310"/>
      <w:bookmarkEnd w:id="260"/>
      <w:bookmarkStart w:id="261" w:name="_Toc184313277"/>
      <w:bookmarkEnd w:id="261"/>
      <w:bookmarkStart w:id="262" w:name="_Toc184314474"/>
      <w:bookmarkEnd w:id="262"/>
      <w:bookmarkStart w:id="263" w:name="_Toc184314434"/>
      <w:bookmarkEnd w:id="263"/>
      <w:bookmarkStart w:id="264" w:name="_Toc184308099"/>
      <w:bookmarkEnd w:id="264"/>
      <w:bookmarkStart w:id="265" w:name="_Toc184314425"/>
      <w:bookmarkEnd w:id="265"/>
      <w:bookmarkStart w:id="266" w:name="_Toc184310283"/>
      <w:bookmarkEnd w:id="266"/>
      <w:bookmarkStart w:id="267" w:name="_Toc184310322"/>
      <w:bookmarkEnd w:id="267"/>
      <w:bookmarkStart w:id="268" w:name="_Toc184310291"/>
      <w:bookmarkEnd w:id="268"/>
      <w:bookmarkStart w:id="269" w:name="_Toc184308044"/>
      <w:bookmarkEnd w:id="269"/>
      <w:bookmarkStart w:id="270" w:name="_Toc184313301"/>
      <w:bookmarkEnd w:id="270"/>
      <w:bookmarkStart w:id="271" w:name="_Toc184313248"/>
      <w:bookmarkEnd w:id="271"/>
      <w:bookmarkStart w:id="272" w:name="_Toc184314410"/>
      <w:bookmarkEnd w:id="272"/>
      <w:bookmarkStart w:id="273" w:name="_Toc184313302"/>
      <w:bookmarkEnd w:id="273"/>
      <w:bookmarkStart w:id="274" w:name="_Toc184312109"/>
      <w:bookmarkEnd w:id="274"/>
      <w:bookmarkStart w:id="275" w:name="_Toc184308064"/>
      <w:bookmarkEnd w:id="275"/>
      <w:bookmarkStart w:id="276" w:name="_Toc184308083"/>
      <w:bookmarkEnd w:id="276"/>
      <w:bookmarkStart w:id="277" w:name="_Toc184310344"/>
      <w:bookmarkEnd w:id="277"/>
      <w:bookmarkStart w:id="278" w:name="_Toc184314454"/>
      <w:bookmarkEnd w:id="278"/>
      <w:bookmarkStart w:id="279" w:name="_Toc184314417"/>
      <w:bookmarkEnd w:id="279"/>
      <w:bookmarkStart w:id="280" w:name="_Toc184310295"/>
      <w:bookmarkEnd w:id="280"/>
      <w:bookmarkStart w:id="281" w:name="_Toc184308056"/>
      <w:bookmarkEnd w:id="281"/>
      <w:bookmarkStart w:id="282" w:name="_Toc184308046"/>
      <w:bookmarkEnd w:id="282"/>
      <w:bookmarkStart w:id="283" w:name="_Toc184314444"/>
      <w:bookmarkEnd w:id="283"/>
      <w:bookmarkStart w:id="284" w:name="_Toc184310290"/>
      <w:bookmarkEnd w:id="284"/>
      <w:bookmarkStart w:id="285" w:name="_Toc184310326"/>
      <w:bookmarkEnd w:id="285"/>
      <w:bookmarkStart w:id="286" w:name="_Toc184312093"/>
      <w:bookmarkEnd w:id="286"/>
      <w:bookmarkStart w:id="287" w:name="_Toc184313270"/>
      <w:bookmarkEnd w:id="287"/>
      <w:bookmarkStart w:id="288" w:name="_Toc184314426"/>
      <w:bookmarkEnd w:id="288"/>
      <w:bookmarkStart w:id="289" w:name="_Toc184314463"/>
      <w:bookmarkEnd w:id="289"/>
      <w:bookmarkStart w:id="290" w:name="_Toc184312110"/>
      <w:bookmarkEnd w:id="290"/>
      <w:bookmarkStart w:id="291" w:name="_Toc184314477"/>
      <w:bookmarkEnd w:id="291"/>
      <w:bookmarkStart w:id="292" w:name="_Toc184310327"/>
      <w:bookmarkEnd w:id="292"/>
      <w:bookmarkStart w:id="293" w:name="_Toc184310340"/>
      <w:bookmarkEnd w:id="293"/>
      <w:bookmarkStart w:id="294" w:name="_Toc184310307"/>
      <w:bookmarkEnd w:id="294"/>
      <w:bookmarkStart w:id="295" w:name="_Toc184308080"/>
      <w:bookmarkEnd w:id="295"/>
      <w:bookmarkStart w:id="296" w:name="_Toc184312130"/>
      <w:bookmarkEnd w:id="296"/>
      <w:bookmarkStart w:id="297" w:name="_Toc184314465"/>
      <w:bookmarkEnd w:id="297"/>
      <w:bookmarkStart w:id="298" w:name="_Toc184308079"/>
      <w:bookmarkEnd w:id="298"/>
      <w:bookmarkStart w:id="299" w:name="_Toc184314412"/>
      <w:bookmarkEnd w:id="299"/>
      <w:bookmarkStart w:id="300" w:name="_Toc184308108"/>
      <w:bookmarkEnd w:id="300"/>
      <w:bookmarkStart w:id="301" w:name="_Toc184313282"/>
      <w:bookmarkEnd w:id="301"/>
      <w:bookmarkStart w:id="302" w:name="_Toc184313306"/>
      <w:bookmarkEnd w:id="302"/>
      <w:bookmarkStart w:id="303" w:name="_Toc184314414"/>
      <w:bookmarkEnd w:id="303"/>
      <w:bookmarkStart w:id="304" w:name="_Toc184310333"/>
      <w:bookmarkEnd w:id="304"/>
      <w:bookmarkStart w:id="305" w:name="_Toc184314450"/>
      <w:bookmarkEnd w:id="305"/>
      <w:bookmarkStart w:id="306" w:name="_Toc184310314"/>
      <w:bookmarkEnd w:id="306"/>
      <w:bookmarkStart w:id="307" w:name="_Toc184308086"/>
      <w:bookmarkEnd w:id="307"/>
      <w:bookmarkStart w:id="308" w:name="_Toc184313290"/>
      <w:bookmarkEnd w:id="308"/>
      <w:bookmarkStart w:id="309" w:name="_Toc184313263"/>
      <w:bookmarkEnd w:id="309"/>
      <w:bookmarkStart w:id="310" w:name="_Toc184314430"/>
      <w:bookmarkEnd w:id="310"/>
      <w:bookmarkStart w:id="311" w:name="_Toc184313264"/>
      <w:bookmarkEnd w:id="311"/>
      <w:bookmarkStart w:id="312" w:name="_Toc184314449"/>
      <w:bookmarkEnd w:id="312"/>
      <w:bookmarkStart w:id="313" w:name="_Toc184312131"/>
      <w:bookmarkEnd w:id="313"/>
      <w:bookmarkStart w:id="314" w:name="_Toc184310336"/>
      <w:bookmarkEnd w:id="314"/>
      <w:bookmarkStart w:id="315" w:name="_Toc184314473"/>
      <w:bookmarkEnd w:id="315"/>
      <w:bookmarkStart w:id="316" w:name="_Toc184310274"/>
      <w:bookmarkEnd w:id="316"/>
      <w:bookmarkStart w:id="317" w:name="_Toc184313280"/>
      <w:bookmarkEnd w:id="317"/>
      <w:bookmarkStart w:id="318" w:name="_Toc184310303"/>
      <w:bookmarkEnd w:id="318"/>
      <w:bookmarkStart w:id="319" w:name="_Toc184312118"/>
      <w:bookmarkEnd w:id="319"/>
      <w:bookmarkStart w:id="320" w:name="_Toc184310312"/>
      <w:bookmarkEnd w:id="320"/>
      <w:bookmarkStart w:id="321" w:name="_Toc184313308"/>
      <w:bookmarkEnd w:id="321"/>
      <w:bookmarkStart w:id="322" w:name="_Toc184312091"/>
      <w:bookmarkEnd w:id="322"/>
      <w:bookmarkStart w:id="323" w:name="_Toc184310320"/>
      <w:bookmarkEnd w:id="323"/>
      <w:bookmarkStart w:id="324" w:name="_Toc184308089"/>
      <w:bookmarkEnd w:id="324"/>
      <w:bookmarkStart w:id="325" w:name="_Toc184312072"/>
      <w:bookmarkEnd w:id="325"/>
      <w:bookmarkStart w:id="326" w:name="_Toc184314411"/>
      <w:bookmarkEnd w:id="326"/>
      <w:bookmarkStart w:id="327" w:name="_Toc184313298"/>
      <w:bookmarkEnd w:id="327"/>
      <w:bookmarkStart w:id="328" w:name="_Toc184314482"/>
      <w:bookmarkEnd w:id="328"/>
      <w:bookmarkStart w:id="329" w:name="_Toc184312135"/>
      <w:bookmarkEnd w:id="329"/>
      <w:bookmarkStart w:id="330" w:name="_Toc184314457"/>
      <w:bookmarkEnd w:id="330"/>
      <w:bookmarkStart w:id="331" w:name="_Toc184308038"/>
      <w:bookmarkEnd w:id="331"/>
      <w:bookmarkStart w:id="332" w:name="_Toc184310279"/>
      <w:bookmarkEnd w:id="332"/>
      <w:bookmarkStart w:id="333" w:name="_Toc184310289"/>
      <w:bookmarkEnd w:id="333"/>
      <w:bookmarkStart w:id="334" w:name="_Toc184308096"/>
      <w:bookmarkEnd w:id="334"/>
      <w:bookmarkStart w:id="335" w:name="_Toc184310342"/>
      <w:bookmarkEnd w:id="335"/>
      <w:bookmarkStart w:id="336" w:name="_Toc184314429"/>
      <w:bookmarkEnd w:id="336"/>
      <w:bookmarkStart w:id="337" w:name="_Toc184314440"/>
      <w:bookmarkEnd w:id="337"/>
      <w:bookmarkStart w:id="338" w:name="_Toc184310343"/>
      <w:bookmarkEnd w:id="338"/>
      <w:bookmarkStart w:id="339" w:name="_Toc184314469"/>
      <w:bookmarkEnd w:id="339"/>
      <w:bookmarkStart w:id="340" w:name="_Toc184308094"/>
      <w:bookmarkEnd w:id="340"/>
      <w:bookmarkStart w:id="341" w:name="_Toc184308063"/>
      <w:bookmarkEnd w:id="341"/>
      <w:bookmarkStart w:id="342" w:name="_Toc184312074"/>
      <w:bookmarkEnd w:id="342"/>
      <w:bookmarkStart w:id="343" w:name="_Toc184312112"/>
      <w:bookmarkEnd w:id="343"/>
      <w:bookmarkStart w:id="344" w:name="_Toc184312119"/>
      <w:bookmarkEnd w:id="344"/>
      <w:bookmarkStart w:id="345" w:name="_Toc184314466"/>
      <w:bookmarkEnd w:id="345"/>
      <w:bookmarkStart w:id="346" w:name="_Toc184310296"/>
      <w:bookmarkEnd w:id="346"/>
      <w:bookmarkStart w:id="347" w:name="_Toc184308055"/>
      <w:bookmarkEnd w:id="347"/>
      <w:bookmarkStart w:id="348" w:name="_Toc184312075"/>
      <w:bookmarkEnd w:id="348"/>
      <w:bookmarkStart w:id="349" w:name="_Toc184312102"/>
      <w:bookmarkEnd w:id="349"/>
      <w:bookmarkStart w:id="350" w:name="_Toc184314433"/>
      <w:bookmarkEnd w:id="350"/>
      <w:bookmarkStart w:id="351" w:name="_Toc184312134"/>
      <w:bookmarkEnd w:id="351"/>
      <w:bookmarkStart w:id="352" w:name="_Toc184308105"/>
      <w:bookmarkEnd w:id="352"/>
      <w:bookmarkStart w:id="353" w:name="_Toc184308057"/>
      <w:bookmarkEnd w:id="353"/>
      <w:bookmarkStart w:id="354" w:name="_Toc184314436"/>
      <w:bookmarkEnd w:id="354"/>
      <w:bookmarkStart w:id="355" w:name="_Toc184313266"/>
      <w:bookmarkEnd w:id="355"/>
      <w:bookmarkStart w:id="356" w:name="_Toc184310321"/>
      <w:bookmarkEnd w:id="356"/>
      <w:bookmarkStart w:id="357" w:name="_Toc184308073"/>
      <w:bookmarkEnd w:id="357"/>
      <w:bookmarkStart w:id="358" w:name="_Toc184313293"/>
      <w:bookmarkEnd w:id="358"/>
      <w:bookmarkStart w:id="359" w:name="_Toc184312123"/>
      <w:bookmarkEnd w:id="359"/>
      <w:bookmarkStart w:id="360" w:name="_Toc184308074"/>
      <w:bookmarkEnd w:id="360"/>
      <w:bookmarkStart w:id="361" w:name="_Toc184312071"/>
      <w:bookmarkEnd w:id="361"/>
      <w:bookmarkStart w:id="362" w:name="_Toc184314458"/>
      <w:bookmarkEnd w:id="362"/>
      <w:bookmarkStart w:id="363" w:name="_Toc184310300"/>
      <w:bookmarkEnd w:id="363"/>
      <w:bookmarkStart w:id="364" w:name="_Toc184310313"/>
      <w:bookmarkEnd w:id="364"/>
      <w:bookmarkStart w:id="365" w:name="_Toc184310282"/>
      <w:bookmarkEnd w:id="365"/>
      <w:bookmarkStart w:id="366" w:name="_Toc184312073"/>
      <w:bookmarkEnd w:id="366"/>
      <w:bookmarkStart w:id="367" w:name="_Toc184308106"/>
      <w:bookmarkEnd w:id="367"/>
      <w:bookmarkStart w:id="368" w:name="_Toc184312124"/>
      <w:bookmarkEnd w:id="368"/>
      <w:bookmarkStart w:id="369" w:name="_Toc184310293"/>
      <w:bookmarkEnd w:id="369"/>
      <w:bookmarkStart w:id="370" w:name="_Toc184312089"/>
      <w:bookmarkEnd w:id="370"/>
      <w:bookmarkStart w:id="371" w:name="_Toc184310330"/>
      <w:bookmarkEnd w:id="371"/>
      <w:bookmarkStart w:id="372" w:name="_Toc184312121"/>
      <w:bookmarkEnd w:id="372"/>
      <w:bookmarkStart w:id="373" w:name="_Toc184312103"/>
      <w:bookmarkEnd w:id="373"/>
      <w:bookmarkStart w:id="374" w:name="_Toc184308052"/>
      <w:bookmarkEnd w:id="374"/>
      <w:bookmarkStart w:id="375" w:name="_Toc184308090"/>
      <w:bookmarkEnd w:id="375"/>
      <w:bookmarkStart w:id="376" w:name="_Toc184312098"/>
      <w:bookmarkEnd w:id="376"/>
      <w:bookmarkStart w:id="377" w:name="_Toc184310297"/>
      <w:bookmarkEnd w:id="377"/>
      <w:bookmarkStart w:id="378" w:name="_Toc184314479"/>
      <w:bookmarkEnd w:id="378"/>
      <w:bookmarkStart w:id="379" w:name="_Toc184312128"/>
      <w:bookmarkEnd w:id="379"/>
      <w:bookmarkStart w:id="380" w:name="_Toc184308092"/>
      <w:bookmarkEnd w:id="380"/>
      <w:bookmarkStart w:id="381" w:name="_Toc184312092"/>
      <w:bookmarkEnd w:id="381"/>
      <w:bookmarkStart w:id="382" w:name="_Toc184314439"/>
      <w:bookmarkEnd w:id="382"/>
      <w:bookmarkStart w:id="383" w:name="_Toc184312132"/>
      <w:bookmarkEnd w:id="383"/>
      <w:bookmarkStart w:id="384" w:name="_Toc184310272"/>
      <w:bookmarkEnd w:id="384"/>
      <w:bookmarkStart w:id="385" w:name="_Toc184313303"/>
      <w:bookmarkEnd w:id="385"/>
      <w:bookmarkStart w:id="386" w:name="_Toc184312122"/>
      <w:bookmarkEnd w:id="386"/>
      <w:r>
        <w:rPr>
          <w:rFonts w:hint="eastAsia" w:cs="仿宋" w:asciiTheme="minorEastAsia" w:hAnsiTheme="minorEastAsia"/>
          <w:b/>
          <w:sz w:val="36"/>
          <w:szCs w:val="36"/>
        </w:rPr>
        <w:t>评审方法</w:t>
      </w:r>
    </w:p>
    <w:p w14:paraId="4F03757B">
      <w:pPr>
        <w:adjustRightInd w:val="0"/>
        <w:snapToGrid w:val="0"/>
        <w:spacing w:line="460" w:lineRule="exact"/>
        <w:ind w:firstLine="480" w:firstLineChars="200"/>
        <w:rPr>
          <w:rFonts w:cs="仿宋" w:asciiTheme="minorEastAsia" w:hAnsiTheme="minorEastAsia"/>
          <w:sz w:val="24"/>
        </w:rPr>
      </w:pPr>
    </w:p>
    <w:p w14:paraId="26B21970">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1AA89D84">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2A22EE8B">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621F7A50">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1CD13A95">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12CCE356">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2FB6EE81">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76A5E8D3">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409D202E">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46335CC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5D7AFA70">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79B5D3A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1F6DA6AE">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06DF254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1824982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3DCA853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8.评审结束后，询价评审小组成员应将全部资料整理上交采购人，严禁将询价过程中的任何资料带出询价现场向供应商或其他单位提供。</w:t>
      </w:r>
    </w:p>
    <w:p w14:paraId="13011FE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47B2C17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62C1FF50">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5C2BB85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12.在整个询价过程中，供应商企图影响采购结果的任何活动，可能导致其询价响应失败。如有违法行为，将依法追究其法律责任。</w:t>
      </w:r>
    </w:p>
    <w:p w14:paraId="7C4DC3AB">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7736801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59C42A5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125FA165">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38C72C36">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3A3BBAB2">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0D6BDB14">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4）通报参加本项目采购的供应商名单及资格预审情况（如有），宣读最终提交采购响应文件的供应商名单。</w:t>
      </w:r>
    </w:p>
    <w:p w14:paraId="72B905C0">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0E80A97E">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411150E2">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14:paraId="7115D66D">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6140F2E6">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0AF7CA69">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741746F7">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D.响应文件中承诺的响应有效期少于询价采购文件中载明的响应有效期的；响应文件出现不是唯一的、有选择性响应报价的</w:t>
      </w:r>
      <w:r>
        <w:rPr>
          <w:rFonts w:hint="eastAsia" w:ascii="宋体" w:hAnsi="宋体" w:cs="宋体"/>
          <w:kern w:val="0"/>
          <w:sz w:val="24"/>
          <w:lang w:eastAsia="zh-CN"/>
        </w:rPr>
        <w:t>；</w:t>
      </w:r>
    </w:p>
    <w:p w14:paraId="0C117B97">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14:paraId="76266C5D">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45C151BE">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5C0DFF6D">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65DFC0B2">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58ADCB81">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J.响应文件不满足询价采购文件的其他实质性要求的（不含税率相关要求）；</w:t>
      </w:r>
    </w:p>
    <w:p w14:paraId="648DE67B">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K.法律法规、规章（适用本市的）及省级以上规范性文件（适用本市的）规定的其他无效情形。</w:t>
      </w:r>
    </w:p>
    <w:p w14:paraId="25B0E6B5">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L在采购人规定的截止时间以后送达的响应文件；</w:t>
      </w:r>
    </w:p>
    <w:p w14:paraId="1C88BA5E">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M未按要求缴纳询价保证金的</w:t>
      </w:r>
      <w:r>
        <w:rPr>
          <w:rFonts w:hint="eastAsia" w:cs="仿宋" w:asciiTheme="minorEastAsia" w:hAnsiTheme="minorEastAsia"/>
          <w:b/>
          <w:bCs/>
          <w:sz w:val="24"/>
        </w:rPr>
        <w:t>（若有）；</w:t>
      </w:r>
    </w:p>
    <w:p w14:paraId="237F9ADC">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N未按要求提供样品的</w:t>
      </w:r>
      <w:r>
        <w:rPr>
          <w:rFonts w:hint="eastAsia" w:cs="仿宋" w:asciiTheme="minorEastAsia" w:hAnsiTheme="minorEastAsia"/>
          <w:b/>
          <w:bCs/>
          <w:sz w:val="24"/>
        </w:rPr>
        <w:t>（若有）；</w:t>
      </w:r>
    </w:p>
    <w:p w14:paraId="6B5902E1">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O.报价清单中出现漏项或单价为0的。</w:t>
      </w:r>
    </w:p>
    <w:p w14:paraId="3DB6A455">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5AE86EB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1B63C43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6CE5556D">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经办人编写评审过程情况详细说明，记录包括采购项目基本情况（如采购人名称、项目名称、项目编号、采购内容、采购限价、采购方式、发布公告时间、公告发布网站、采购响应截止时间、响应单位情况等）、评审小组组成、评审方法和标准；评审情况、评审结果和成交候选人排序、询价评审小组的授标建议等详细内容。</w:t>
      </w:r>
    </w:p>
    <w:p w14:paraId="68D4F2E0">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17E8DC03">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w:t>
      </w:r>
      <w:r>
        <w:rPr>
          <w:rFonts w:hint="eastAsia" w:cs="仿宋" w:asciiTheme="minorEastAsia" w:hAnsiTheme="minorEastAsia"/>
          <w:sz w:val="24"/>
          <w:u w:val="single"/>
        </w:rPr>
        <w:t>实质性响应要求</w:t>
      </w:r>
      <w:r>
        <w:rPr>
          <w:rFonts w:hint="eastAsia" w:cs="仿宋" w:asciiTheme="minorEastAsia" w:hAnsiTheme="minorEastAsia"/>
          <w:sz w:val="24"/>
        </w:rPr>
        <w:t>的供应商中，按照报价由低到高的顺序推荐成交候选人。</w:t>
      </w:r>
    </w:p>
    <w:p w14:paraId="2A95E32D">
      <w:pPr>
        <w:pStyle w:val="6"/>
        <w:ind w:firstLine="480" w:firstLineChars="200"/>
      </w:pPr>
      <w:r>
        <w:rPr>
          <w:lang w:val="en-US"/>
        </w:rPr>
        <w:t>1.1</w:t>
      </w:r>
      <w:r>
        <w:rPr>
          <w:rFonts w:hint="eastAsia"/>
        </w:rPr>
        <w:t>若出现税率不一致的情况，以除税总金额相对比。</w:t>
      </w:r>
    </w:p>
    <w:p w14:paraId="4BE810DA">
      <w:pPr>
        <w:pStyle w:val="6"/>
        <w:ind w:firstLine="480" w:firstLineChars="200"/>
        <w:rPr>
          <w:lang w:val="en-US"/>
        </w:rPr>
      </w:pPr>
      <w:r>
        <w:rPr>
          <w:rFonts w:hint="eastAsia"/>
          <w:lang w:val="en-US"/>
        </w:rPr>
        <w:t>1.2若供应商的税率没有按照询价文件要求填报时，不视为不满足询价文件实质响应，若该供应商</w:t>
      </w:r>
      <w:r>
        <w:rPr>
          <w:rFonts w:hint="eastAsia"/>
        </w:rPr>
        <w:t>除税总金额</w:t>
      </w:r>
      <w:r>
        <w:rPr>
          <w:rFonts w:hint="eastAsia"/>
          <w:lang w:val="en-US"/>
        </w:rPr>
        <w:t>最低时，应按照询价文件</w:t>
      </w:r>
      <w:r>
        <w:rPr>
          <w:rFonts w:hint="eastAsia"/>
          <w:lang w:val="en-US" w:eastAsia="zh-CN"/>
        </w:rPr>
        <w:t>或者</w:t>
      </w:r>
      <w:r>
        <w:rPr>
          <w:rFonts w:hint="eastAsia"/>
          <w:lang w:val="en-US"/>
        </w:rPr>
        <w:t>税法的要求纠正税率，同意纠正的，视为满足要求；不同意纠正的，视为不满足要求</w:t>
      </w:r>
      <w:r>
        <w:rPr>
          <w:rFonts w:hint="eastAsia"/>
          <w:lang w:val="en-US" w:eastAsia="zh-CN"/>
        </w:rPr>
        <w:t>，认</w:t>
      </w:r>
      <w:r>
        <w:rPr>
          <w:rFonts w:hint="eastAsia"/>
          <w:lang w:val="en-US"/>
        </w:rPr>
        <w:t>定为无效报价，次低价按此规则执行。其他未成交单位不纠正税率。</w:t>
      </w:r>
    </w:p>
    <w:p w14:paraId="697163AB">
      <w:pPr>
        <w:pStyle w:val="6"/>
        <w:ind w:firstLine="480" w:firstLineChars="200"/>
      </w:pPr>
      <w:r>
        <w:rPr>
          <w:lang w:val="en-US"/>
        </w:rPr>
        <w:t>1.</w:t>
      </w:r>
      <w:r>
        <w:rPr>
          <w:rFonts w:hint="eastAsia"/>
          <w:lang w:val="en-US"/>
        </w:rPr>
        <w:t>3若</w:t>
      </w:r>
      <w:r>
        <w:rPr>
          <w:rFonts w:hint="eastAsia"/>
        </w:rPr>
        <w:t>出现相同</w:t>
      </w:r>
      <w:r>
        <w:rPr>
          <w:rFonts w:hint="eastAsia"/>
          <w:lang w:val="en-US"/>
        </w:rPr>
        <w:t>除税</w:t>
      </w:r>
      <w:r>
        <w:rPr>
          <w:rFonts w:hint="eastAsia"/>
        </w:rPr>
        <w:t>总金额最低报价情况时，</w:t>
      </w:r>
      <w:r>
        <w:rPr>
          <w:rFonts w:hint="eastAsia"/>
          <w:b/>
          <w:bCs/>
        </w:rPr>
        <w:t>则由评审小组按少数服从多数的原则通过投票表决决定。</w:t>
      </w:r>
    </w:p>
    <w:p w14:paraId="0DD66622">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147B25B6">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41711BDC">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3A79EE14">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4EFA2915">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571DF8E9">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19EAB7CD">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22B99CB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14:paraId="6E24F4B2">
      <w:pPr>
        <w:widowControl/>
        <w:snapToGrid w:val="0"/>
        <w:spacing w:line="460" w:lineRule="exact"/>
        <w:ind w:firstLine="480" w:firstLineChars="200"/>
      </w:pPr>
      <w:r>
        <w:rPr>
          <w:rFonts w:hint="eastAsia" w:cs="仿宋" w:asciiTheme="minorEastAsia" w:hAnsiTheme="minorEastAsia"/>
          <w:sz w:val="24"/>
        </w:rPr>
        <w:t>4.1若第二次询价后，报价未超过采购限价的供应商或者经评审有效的供应商只有2家时，经评审小组审查认为采购文件没有倾向性或歧视性条款，采购方式由询价直接转为竞争性谈判，询价采购文件即为谈判文件，询价评审小组成员即为询价谈判小组成员，询价保证金转为谈判保证金（若有）。</w:t>
      </w:r>
    </w:p>
    <w:p w14:paraId="6B578C8F">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4.2若第二次询价后，报价未超过采购限价的供应商或者经评审有效的供应商少于2家时，本次采购终止。</w:t>
      </w:r>
    </w:p>
    <w:p w14:paraId="3874DA9D">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14:paraId="11641C7E">
      <w:p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第五部分 拟签订的合同文本</w:t>
      </w:r>
    </w:p>
    <w:p w14:paraId="355A60C8">
      <w:pPr>
        <w:pStyle w:val="8"/>
        <w:rPr>
          <w:rFonts w:cs="仿宋" w:asciiTheme="minorEastAsia" w:hAnsiTheme="minorEastAsia"/>
        </w:rPr>
      </w:pPr>
    </w:p>
    <w:p w14:paraId="6A7D97CC">
      <w:pPr>
        <w:jc w:val="center"/>
        <w:rPr>
          <w:b/>
          <w:bCs/>
          <w:color w:val="0000FF"/>
          <w:sz w:val="48"/>
          <w:szCs w:val="48"/>
        </w:rPr>
      </w:pPr>
    </w:p>
    <w:p w14:paraId="27F829FE">
      <w:pPr>
        <w:jc w:val="center"/>
        <w:rPr>
          <w:b/>
          <w:bCs/>
          <w:color w:val="0000FF"/>
          <w:sz w:val="48"/>
          <w:szCs w:val="48"/>
        </w:rPr>
      </w:pPr>
    </w:p>
    <w:p w14:paraId="0B9D2B90">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LJGS-2025-          </w:t>
      </w:r>
    </w:p>
    <w:p w14:paraId="1AA058DF">
      <w:pPr>
        <w:spacing w:line="480" w:lineRule="auto"/>
        <w:jc w:val="center"/>
        <w:rPr>
          <w:rFonts w:ascii="宋体" w:hAnsi="宋体" w:cs="宋体"/>
          <w:b/>
          <w:sz w:val="28"/>
          <w:szCs w:val="28"/>
        </w:rPr>
      </w:pPr>
    </w:p>
    <w:p w14:paraId="6966A50B">
      <w:pPr>
        <w:spacing w:line="480" w:lineRule="auto"/>
        <w:jc w:val="center"/>
        <w:rPr>
          <w:rFonts w:ascii="宋体" w:hAnsi="宋体" w:cs="宋体"/>
          <w:b/>
          <w:sz w:val="24"/>
        </w:rPr>
      </w:pPr>
    </w:p>
    <w:p w14:paraId="353F0A4C">
      <w:pPr>
        <w:spacing w:line="480" w:lineRule="auto"/>
        <w:jc w:val="center"/>
        <w:rPr>
          <w:rFonts w:ascii="宋体" w:hAnsi="宋体" w:cs="宋体"/>
          <w:b/>
          <w:sz w:val="24"/>
        </w:rPr>
      </w:pPr>
    </w:p>
    <w:p w14:paraId="7B479E7E">
      <w:pPr>
        <w:spacing w:line="480" w:lineRule="auto"/>
        <w:jc w:val="center"/>
        <w:rPr>
          <w:rFonts w:ascii="宋体" w:hAnsi="宋体" w:cs="宋体"/>
          <w:b/>
          <w:sz w:val="36"/>
          <w:szCs w:val="36"/>
        </w:rPr>
      </w:pPr>
      <w:r>
        <w:rPr>
          <w:rFonts w:hint="eastAsia" w:ascii="宋体" w:hAnsi="宋体" w:cs="宋体"/>
          <w:b/>
          <w:sz w:val="36"/>
          <w:szCs w:val="36"/>
        </w:rPr>
        <w:t>服务类采购合同</w:t>
      </w:r>
    </w:p>
    <w:p w14:paraId="3BB90253">
      <w:pPr>
        <w:spacing w:before="120" w:line="22" w:lineRule="atLeast"/>
        <w:rPr>
          <w:rFonts w:ascii="宋体" w:hAnsi="宋体" w:cs="宋体"/>
          <w:sz w:val="24"/>
        </w:rPr>
      </w:pPr>
    </w:p>
    <w:p w14:paraId="5D650F86">
      <w:pPr>
        <w:pStyle w:val="3"/>
        <w:tabs>
          <w:tab w:val="left" w:pos="432"/>
        </w:tabs>
      </w:pPr>
    </w:p>
    <w:p w14:paraId="40FAD181">
      <w:pPr>
        <w:spacing w:before="120" w:line="22" w:lineRule="atLeast"/>
        <w:ind w:left="96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lang w:eastAsia="zh-CN"/>
        </w:rPr>
        <w:t>2025年三固运行中心循环水系统在线化学清洗服务采购项目</w:t>
      </w:r>
    </w:p>
    <w:p w14:paraId="07D26E57">
      <w:pPr>
        <w:rPr>
          <w:rFonts w:ascii="宋体" w:hAnsi="宋体" w:cs="宋体"/>
          <w:sz w:val="24"/>
        </w:rPr>
      </w:pPr>
    </w:p>
    <w:p w14:paraId="6DABF7E3">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14:paraId="5425BC1E">
      <w:pPr>
        <w:spacing w:before="120" w:line="22" w:lineRule="atLeast"/>
        <w:rPr>
          <w:rFonts w:ascii="宋体" w:hAnsi="宋体" w:cs="宋体"/>
          <w:sz w:val="24"/>
        </w:rPr>
      </w:pPr>
    </w:p>
    <w:p w14:paraId="2ACB6872">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***有限公司  </w:t>
      </w:r>
    </w:p>
    <w:p w14:paraId="1291EAF0">
      <w:pPr>
        <w:spacing w:before="120" w:line="22" w:lineRule="atLeast"/>
        <w:rPr>
          <w:rFonts w:ascii="宋体" w:hAnsi="宋体" w:cs="宋体"/>
          <w:sz w:val="24"/>
        </w:rPr>
      </w:pPr>
    </w:p>
    <w:p w14:paraId="3827D3D3">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14:paraId="49E702B6">
      <w:pPr>
        <w:spacing w:before="120" w:line="22" w:lineRule="atLeast"/>
        <w:rPr>
          <w:rFonts w:ascii="宋体" w:hAnsi="宋体" w:cs="宋体"/>
          <w:sz w:val="24"/>
        </w:rPr>
      </w:pPr>
    </w:p>
    <w:p w14:paraId="66AFE35E">
      <w:pPr>
        <w:spacing w:before="120" w:line="22" w:lineRule="atLeast"/>
        <w:ind w:firstLine="960" w:firstLineChars="400"/>
        <w:rPr>
          <w:rFonts w:ascii="宋体" w:hAnsi="宋体" w:cs="宋体"/>
          <w:kern w:val="0"/>
          <w:sz w:val="24"/>
        </w:rPr>
        <w:sectPr>
          <w:headerReference r:id="rId16" w:type="default"/>
          <w:pgSz w:w="11907" w:h="16840"/>
          <w:pgMar w:top="1474" w:right="1814" w:bottom="1474" w:left="1814" w:header="851" w:footer="851" w:gutter="0"/>
          <w:cols w:space="720" w:num="1"/>
        </w:sectPr>
      </w:pPr>
      <w:r>
        <w:rPr>
          <w:rFonts w:hint="eastAsia" w:ascii="宋体" w:hAnsi="宋体" w:cs="宋体"/>
          <w:sz w:val="24"/>
        </w:rPr>
        <w:t>签订日期：年月日</w:t>
      </w:r>
    </w:p>
    <w:p w14:paraId="4C3A3ADB">
      <w:pPr>
        <w:pStyle w:val="7"/>
        <w:ind w:firstLine="214"/>
        <w:jc w:val="center"/>
        <w:rPr>
          <w:b/>
          <w:bCs/>
        </w:rPr>
      </w:pPr>
      <w:r>
        <w:rPr>
          <w:rFonts w:hint="eastAsia"/>
          <w:b/>
          <w:bCs/>
        </w:rPr>
        <w:t>目录</w:t>
      </w:r>
    </w:p>
    <w:p w14:paraId="218CD2E4">
      <w:pPr>
        <w:pStyle w:val="9"/>
        <w:spacing w:line="360" w:lineRule="auto"/>
        <w:ind w:firstLine="240" w:firstLineChars="100"/>
      </w:pPr>
      <w:r>
        <w:rPr>
          <w:rFonts w:hint="eastAsia"/>
        </w:rPr>
        <w:t>第一章 合同书  …………………………………………………………（页码）</w:t>
      </w:r>
    </w:p>
    <w:p w14:paraId="64D7EF74">
      <w:pPr>
        <w:pStyle w:val="9"/>
        <w:spacing w:line="360" w:lineRule="auto"/>
        <w:ind w:firstLine="240" w:firstLineChars="100"/>
      </w:pPr>
      <w:r>
        <w:rPr>
          <w:rFonts w:hint="eastAsia"/>
        </w:rPr>
        <w:t>第二章 合同一般条款……………………………………………………（页码）</w:t>
      </w:r>
    </w:p>
    <w:p w14:paraId="3163895E">
      <w:pPr>
        <w:pStyle w:val="9"/>
        <w:spacing w:line="360" w:lineRule="auto"/>
        <w:ind w:firstLine="240" w:firstLineChars="100"/>
      </w:pPr>
      <w:r>
        <w:rPr>
          <w:rFonts w:hint="eastAsia"/>
        </w:rPr>
        <w:t>第三章 安全协议…………………………………………………………（页码）</w:t>
      </w:r>
    </w:p>
    <w:p w14:paraId="7D9BFF58">
      <w:pPr>
        <w:pStyle w:val="9"/>
        <w:spacing w:line="360" w:lineRule="auto"/>
        <w:ind w:firstLine="240" w:firstLineChars="100"/>
      </w:pPr>
      <w:r>
        <w:rPr>
          <w:rFonts w:hint="eastAsia"/>
        </w:rPr>
        <w:t>第四章 廉洁协议…………………………………………………………（页码）</w:t>
      </w:r>
    </w:p>
    <w:p w14:paraId="4CA54943">
      <w:pPr>
        <w:spacing w:line="360" w:lineRule="auto"/>
        <w:ind w:firstLine="480" w:firstLineChars="200"/>
        <w:rPr>
          <w:rFonts w:ascii="宋体" w:hAnsi="宋体"/>
          <w:sz w:val="24"/>
          <w:u w:val="single"/>
          <w:lang w:val="zh-CN"/>
        </w:rPr>
      </w:pPr>
    </w:p>
    <w:p w14:paraId="5847FBF9">
      <w:pPr>
        <w:spacing w:line="360" w:lineRule="auto"/>
        <w:ind w:firstLine="480" w:firstLineChars="200"/>
        <w:rPr>
          <w:rFonts w:ascii="宋体" w:hAnsi="宋体"/>
          <w:sz w:val="24"/>
          <w:u w:val="single"/>
          <w:lang w:val="zh-CN"/>
        </w:rPr>
      </w:pPr>
    </w:p>
    <w:p w14:paraId="52F4B8AF">
      <w:pPr>
        <w:spacing w:line="360" w:lineRule="auto"/>
        <w:ind w:firstLine="480" w:firstLineChars="200"/>
        <w:rPr>
          <w:rFonts w:ascii="宋体" w:hAnsi="宋体"/>
          <w:sz w:val="24"/>
          <w:u w:val="single"/>
          <w:lang w:val="zh-CN"/>
        </w:rPr>
      </w:pPr>
    </w:p>
    <w:p w14:paraId="0D2457FF">
      <w:pPr>
        <w:spacing w:line="360" w:lineRule="auto"/>
        <w:ind w:firstLine="480" w:firstLineChars="200"/>
        <w:rPr>
          <w:rFonts w:ascii="宋体" w:hAnsi="宋体"/>
          <w:sz w:val="24"/>
          <w:u w:val="single"/>
          <w:lang w:val="zh-CN"/>
        </w:rPr>
      </w:pPr>
    </w:p>
    <w:p w14:paraId="520E04D9">
      <w:pPr>
        <w:spacing w:line="360" w:lineRule="auto"/>
        <w:ind w:firstLine="480" w:firstLineChars="200"/>
        <w:rPr>
          <w:rFonts w:ascii="宋体" w:hAnsi="宋体"/>
          <w:sz w:val="24"/>
          <w:u w:val="single"/>
          <w:lang w:val="zh-CN"/>
        </w:rPr>
      </w:pPr>
    </w:p>
    <w:p w14:paraId="34B0B2B6">
      <w:pPr>
        <w:spacing w:line="360" w:lineRule="auto"/>
        <w:ind w:firstLine="480" w:firstLineChars="200"/>
        <w:rPr>
          <w:rFonts w:ascii="宋体" w:hAnsi="宋体"/>
          <w:sz w:val="24"/>
          <w:u w:val="single"/>
          <w:lang w:val="zh-CN"/>
        </w:rPr>
      </w:pPr>
    </w:p>
    <w:p w14:paraId="793F2210">
      <w:pPr>
        <w:spacing w:line="360" w:lineRule="auto"/>
        <w:ind w:firstLine="480" w:firstLineChars="200"/>
        <w:rPr>
          <w:rFonts w:ascii="宋体" w:hAnsi="宋体"/>
          <w:sz w:val="24"/>
          <w:u w:val="single"/>
          <w:lang w:val="zh-CN"/>
        </w:rPr>
      </w:pPr>
    </w:p>
    <w:p w14:paraId="09E9B6CA">
      <w:pPr>
        <w:spacing w:line="360" w:lineRule="auto"/>
        <w:ind w:firstLine="480" w:firstLineChars="200"/>
        <w:rPr>
          <w:rFonts w:ascii="宋体" w:hAnsi="宋体"/>
          <w:sz w:val="24"/>
          <w:u w:val="single"/>
          <w:lang w:val="zh-CN"/>
        </w:rPr>
      </w:pPr>
    </w:p>
    <w:p w14:paraId="1395BC1B">
      <w:pPr>
        <w:spacing w:line="360" w:lineRule="auto"/>
        <w:ind w:firstLine="480" w:firstLineChars="200"/>
        <w:rPr>
          <w:rFonts w:ascii="宋体" w:hAnsi="宋体"/>
          <w:sz w:val="24"/>
          <w:u w:val="single"/>
          <w:lang w:val="zh-CN"/>
        </w:rPr>
      </w:pPr>
    </w:p>
    <w:p w14:paraId="572EE4DE">
      <w:pPr>
        <w:spacing w:line="360" w:lineRule="auto"/>
        <w:ind w:firstLine="480" w:firstLineChars="200"/>
        <w:rPr>
          <w:rFonts w:ascii="宋体" w:hAnsi="宋体"/>
          <w:sz w:val="24"/>
          <w:u w:val="single"/>
          <w:lang w:val="zh-CN"/>
        </w:rPr>
      </w:pPr>
    </w:p>
    <w:p w14:paraId="6D23E40E">
      <w:pPr>
        <w:spacing w:line="360" w:lineRule="auto"/>
        <w:ind w:firstLine="480" w:firstLineChars="200"/>
        <w:rPr>
          <w:rFonts w:ascii="宋体" w:hAnsi="宋体"/>
          <w:sz w:val="24"/>
          <w:u w:val="single"/>
          <w:lang w:val="zh-CN"/>
        </w:rPr>
      </w:pPr>
    </w:p>
    <w:p w14:paraId="33FF31CE">
      <w:pPr>
        <w:spacing w:line="360" w:lineRule="auto"/>
        <w:ind w:firstLine="480" w:firstLineChars="200"/>
        <w:rPr>
          <w:rFonts w:ascii="宋体" w:hAnsi="宋体"/>
          <w:sz w:val="24"/>
          <w:u w:val="single"/>
          <w:lang w:val="zh-CN"/>
        </w:rPr>
      </w:pPr>
    </w:p>
    <w:p w14:paraId="4B16A55F">
      <w:pPr>
        <w:spacing w:line="360" w:lineRule="auto"/>
        <w:ind w:firstLine="480" w:firstLineChars="200"/>
        <w:rPr>
          <w:rFonts w:ascii="宋体" w:hAnsi="宋体"/>
          <w:sz w:val="24"/>
          <w:u w:val="single"/>
          <w:lang w:val="zh-CN"/>
        </w:rPr>
      </w:pPr>
    </w:p>
    <w:p w14:paraId="42566C7B">
      <w:pPr>
        <w:spacing w:line="360" w:lineRule="auto"/>
        <w:ind w:firstLine="480" w:firstLineChars="200"/>
        <w:rPr>
          <w:rFonts w:ascii="宋体" w:hAnsi="宋体"/>
          <w:sz w:val="24"/>
          <w:u w:val="single"/>
          <w:lang w:val="zh-CN"/>
        </w:rPr>
      </w:pPr>
    </w:p>
    <w:p w14:paraId="182813A0">
      <w:pPr>
        <w:spacing w:line="360" w:lineRule="auto"/>
        <w:ind w:firstLine="480" w:firstLineChars="200"/>
        <w:rPr>
          <w:rFonts w:ascii="宋体" w:hAnsi="宋体"/>
          <w:sz w:val="24"/>
          <w:u w:val="single"/>
          <w:lang w:val="zh-CN"/>
        </w:rPr>
      </w:pPr>
    </w:p>
    <w:p w14:paraId="7DD546ED">
      <w:pPr>
        <w:spacing w:line="360" w:lineRule="auto"/>
        <w:ind w:firstLine="480" w:firstLineChars="200"/>
        <w:rPr>
          <w:rFonts w:ascii="宋体" w:hAnsi="宋体"/>
          <w:sz w:val="24"/>
          <w:u w:val="single"/>
          <w:lang w:val="zh-CN"/>
        </w:rPr>
      </w:pPr>
    </w:p>
    <w:p w14:paraId="277D54E8">
      <w:pPr>
        <w:spacing w:line="360" w:lineRule="auto"/>
        <w:ind w:firstLine="480" w:firstLineChars="200"/>
        <w:rPr>
          <w:rFonts w:ascii="宋体" w:hAnsi="宋体"/>
          <w:sz w:val="24"/>
          <w:u w:val="single"/>
          <w:lang w:val="zh-CN"/>
        </w:rPr>
      </w:pPr>
    </w:p>
    <w:p w14:paraId="68FF1107">
      <w:pPr>
        <w:spacing w:line="360" w:lineRule="auto"/>
        <w:ind w:firstLine="480" w:firstLineChars="200"/>
        <w:rPr>
          <w:rFonts w:ascii="宋体" w:hAnsi="宋体"/>
          <w:sz w:val="24"/>
          <w:u w:val="single"/>
          <w:lang w:val="zh-CN"/>
        </w:rPr>
      </w:pPr>
    </w:p>
    <w:p w14:paraId="2A3BBAF6">
      <w:pPr>
        <w:spacing w:line="360" w:lineRule="auto"/>
        <w:ind w:firstLine="480" w:firstLineChars="200"/>
        <w:rPr>
          <w:rFonts w:ascii="宋体" w:hAnsi="宋体"/>
          <w:sz w:val="24"/>
          <w:u w:val="single"/>
          <w:lang w:val="zh-CN"/>
        </w:rPr>
      </w:pPr>
    </w:p>
    <w:p w14:paraId="68132469">
      <w:pPr>
        <w:spacing w:line="360" w:lineRule="auto"/>
        <w:ind w:firstLine="480" w:firstLineChars="200"/>
        <w:rPr>
          <w:rFonts w:ascii="宋体" w:hAnsi="宋体"/>
          <w:sz w:val="24"/>
          <w:u w:val="single"/>
          <w:lang w:val="zh-CN"/>
        </w:rPr>
      </w:pPr>
    </w:p>
    <w:p w14:paraId="06A461AB">
      <w:pPr>
        <w:spacing w:line="360" w:lineRule="auto"/>
        <w:ind w:firstLine="480" w:firstLineChars="200"/>
        <w:rPr>
          <w:rFonts w:ascii="宋体" w:hAnsi="宋体"/>
          <w:sz w:val="24"/>
          <w:u w:val="single"/>
          <w:lang w:val="zh-CN"/>
        </w:rPr>
      </w:pPr>
    </w:p>
    <w:p w14:paraId="4CC27ED7">
      <w:pPr>
        <w:spacing w:line="360" w:lineRule="auto"/>
        <w:ind w:firstLine="480" w:firstLineChars="200"/>
        <w:rPr>
          <w:rFonts w:ascii="宋体" w:hAnsi="宋体"/>
          <w:sz w:val="24"/>
          <w:u w:val="single"/>
          <w:lang w:val="zh-CN"/>
        </w:rPr>
      </w:pPr>
    </w:p>
    <w:p w14:paraId="7202C074">
      <w:pPr>
        <w:pStyle w:val="6"/>
      </w:pPr>
    </w:p>
    <w:p w14:paraId="2D8B523E">
      <w:pPr>
        <w:spacing w:line="360" w:lineRule="auto"/>
        <w:ind w:firstLine="480" w:firstLineChars="200"/>
        <w:rPr>
          <w:rFonts w:ascii="宋体" w:hAnsi="宋体"/>
          <w:sz w:val="24"/>
          <w:u w:val="single"/>
          <w:lang w:val="zh-CN"/>
        </w:rPr>
      </w:pPr>
    </w:p>
    <w:p w14:paraId="7C72527F">
      <w:pPr>
        <w:spacing w:line="360" w:lineRule="auto"/>
        <w:ind w:firstLine="480" w:firstLineChars="200"/>
        <w:rPr>
          <w:rFonts w:ascii="宋体" w:hAnsi="宋体"/>
          <w:sz w:val="24"/>
          <w:u w:val="single"/>
          <w:lang w:val="zh-CN"/>
        </w:rPr>
      </w:pPr>
    </w:p>
    <w:p w14:paraId="703B9750">
      <w:pPr>
        <w:pStyle w:val="25"/>
        <w:ind w:left="0" w:leftChars="0" w:firstLine="0" w:firstLineChars="0"/>
        <w:jc w:val="center"/>
        <w:rPr>
          <w:rFonts w:ascii="宋体" w:hAnsi="宋体"/>
          <w:u w:val="single"/>
          <w:lang w:val="zh-CN"/>
        </w:rPr>
      </w:pPr>
      <w:r>
        <w:rPr>
          <w:rFonts w:hint="eastAsia" w:ascii="宋体" w:hAnsi="宋体" w:cs="宋体"/>
          <w:b/>
          <w:szCs w:val="24"/>
        </w:rPr>
        <w:t>第一章 合同书</w:t>
      </w:r>
    </w:p>
    <w:p w14:paraId="5BEEDE22">
      <w:pPr>
        <w:spacing w:line="360" w:lineRule="auto"/>
        <w:ind w:firstLine="480" w:firstLineChars="200"/>
        <w:rPr>
          <w:rFonts w:ascii="宋体" w:hAnsi="宋体"/>
          <w:sz w:val="24"/>
        </w:rPr>
      </w:pPr>
      <w:r>
        <w:rPr>
          <w:rFonts w:hint="eastAsia" w:ascii="宋体" w:hAnsi="宋体"/>
          <w:sz w:val="24"/>
          <w:lang w:val="zh-CN"/>
        </w:rPr>
        <w:t>年月日</w:t>
      </w:r>
      <w:r>
        <w:rPr>
          <w:rFonts w:hint="eastAsia" w:ascii="宋体" w:hAnsi="宋体"/>
          <w:sz w:val="24"/>
        </w:rPr>
        <w:t>，</w:t>
      </w:r>
      <w:r>
        <w:rPr>
          <w:rFonts w:hint="eastAsia" w:ascii="宋体" w:hAnsi="宋体"/>
          <w:sz w:val="24"/>
          <w:u w:val="single"/>
        </w:rPr>
        <w:t>杭州临江环境能源有限公司</w:t>
      </w:r>
      <w:r>
        <w:rPr>
          <w:rFonts w:hint="eastAsia" w:ascii="宋体" w:hAnsi="宋体"/>
          <w:sz w:val="24"/>
        </w:rPr>
        <w:t>以</w:t>
      </w:r>
      <w:r>
        <w:rPr>
          <w:rFonts w:hint="eastAsia" w:ascii="宋体" w:hAnsi="宋体"/>
          <w:sz w:val="24"/>
          <w:u w:val="single"/>
        </w:rPr>
        <w:t xml:space="preserve">  询价  </w:t>
      </w:r>
      <w:r>
        <w:rPr>
          <w:rFonts w:hint="eastAsia" w:ascii="宋体" w:hAnsi="宋体"/>
          <w:sz w:val="24"/>
        </w:rPr>
        <w:t>形式对</w:t>
      </w:r>
      <w:r>
        <w:rPr>
          <w:rFonts w:hint="eastAsia" w:ascii="宋体" w:hAnsi="宋体" w:cs="宋体"/>
          <w:sz w:val="24"/>
          <w:u w:val="single"/>
          <w:lang w:eastAsia="zh-CN"/>
        </w:rPr>
        <w:t>2025年三固运行中心循环水系统在线化学清洗服务采购项目</w:t>
      </w:r>
      <w:r>
        <w:rPr>
          <w:rFonts w:hint="eastAsia" w:ascii="宋体" w:hAnsi="宋体"/>
          <w:sz w:val="24"/>
        </w:rPr>
        <w:t>进行了采购。经</w:t>
      </w:r>
      <w:r>
        <w:rPr>
          <w:rFonts w:hint="eastAsia" w:ascii="宋体" w:hAnsi="宋体"/>
          <w:sz w:val="24"/>
          <w:u w:val="single"/>
        </w:rPr>
        <w:t xml:space="preserve"> 评审小组 </w:t>
      </w:r>
      <w:r>
        <w:rPr>
          <w:rFonts w:hint="eastAsia" w:ascii="宋体" w:hAnsi="宋体"/>
          <w:sz w:val="24"/>
        </w:rPr>
        <w:t>评定，</w:t>
      </w:r>
      <w:r>
        <w:rPr>
          <w:rFonts w:hint="eastAsia" w:ascii="宋体" w:hAnsi="宋体"/>
          <w:sz w:val="24"/>
          <w:u w:val="single"/>
        </w:rPr>
        <w:t xml:space="preserve"> ***有限公司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发出之日起30天内，按照采购文件确定的事项签订本合同。</w:t>
      </w:r>
    </w:p>
    <w:p w14:paraId="1F6F82E6">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hint="eastAsia" w:ascii="宋体" w:hAnsi="宋体"/>
          <w:sz w:val="24"/>
        </w:rPr>
        <w:t>杭州临江环境能源有限公司</w:t>
      </w:r>
      <w:r>
        <w:rPr>
          <w:rFonts w:hint="eastAsia" w:ascii="宋体" w:hAnsi="宋体"/>
          <w:sz w:val="24"/>
          <w:lang w:eastAsia="zh-CN"/>
        </w:rPr>
        <w:t>（</w:t>
      </w:r>
      <w:r>
        <w:rPr>
          <w:rFonts w:ascii="宋体" w:hAnsi="宋体"/>
          <w:sz w:val="24"/>
          <w:lang w:val="zh-CN"/>
        </w:rPr>
        <w:t>以下简称：甲方</w:t>
      </w:r>
      <w:r>
        <w:rPr>
          <w:rFonts w:hint="eastAsia" w:ascii="宋体" w:hAnsi="宋体"/>
          <w:sz w:val="24"/>
          <w:lang w:val="zh-CN"/>
        </w:rPr>
        <w:t>）</w:t>
      </w:r>
      <w:r>
        <w:rPr>
          <w:rFonts w:ascii="宋体" w:hAnsi="宋体"/>
          <w:sz w:val="24"/>
          <w:lang w:val="zh-CN"/>
        </w:rPr>
        <w:t>和</w:t>
      </w:r>
      <w:r>
        <w:rPr>
          <w:rFonts w:hint="eastAsia" w:ascii="宋体" w:hAnsi="宋体"/>
          <w:sz w:val="24"/>
          <w:u w:val="single"/>
        </w:rPr>
        <w:t xml:space="preserve">***有限公司 </w:t>
      </w:r>
      <w:r>
        <w:rPr>
          <w:rFonts w:hint="eastAsia" w:ascii="宋体" w:hAnsi="宋体"/>
          <w:sz w:val="24"/>
          <w:u w:val="single"/>
          <w:lang w:eastAsia="zh-CN"/>
        </w:rPr>
        <w:t>（</w:t>
      </w:r>
      <w:r>
        <w:rPr>
          <w:rFonts w:ascii="宋体" w:hAnsi="宋体"/>
          <w:sz w:val="24"/>
          <w:lang w:val="zh-CN"/>
        </w:rPr>
        <w:t>以下简称：乙方</w:t>
      </w:r>
      <w:r>
        <w:rPr>
          <w:rFonts w:hint="eastAsia" w:ascii="宋体" w:hAnsi="宋体"/>
          <w:sz w:val="24"/>
          <w:lang w:val="zh-CN"/>
        </w:rPr>
        <w:t>）</w:t>
      </w:r>
      <w:r>
        <w:rPr>
          <w:rFonts w:ascii="宋体" w:hAnsi="宋体"/>
          <w:sz w:val="24"/>
          <w:lang w:val="zh-CN"/>
        </w:rPr>
        <w:t>协商一致，约定以下合同</w:t>
      </w:r>
      <w:r>
        <w:rPr>
          <w:rFonts w:hint="eastAsia" w:ascii="宋体" w:hAnsi="宋体"/>
          <w:sz w:val="24"/>
        </w:rPr>
        <w:t>条款，以兹共同遵守、全面履行。</w:t>
      </w:r>
    </w:p>
    <w:p w14:paraId="6B851C14">
      <w:pPr>
        <w:spacing w:line="360" w:lineRule="auto"/>
        <w:ind w:firstLine="482" w:firstLineChars="200"/>
        <w:outlineLvl w:val="0"/>
        <w:rPr>
          <w:rFonts w:ascii="宋体" w:hAnsi="宋体"/>
          <w:sz w:val="24"/>
        </w:rPr>
      </w:pPr>
      <w:bookmarkStart w:id="387" w:name="_Toc22967"/>
      <w:bookmarkStart w:id="388" w:name="_Toc15367"/>
      <w:bookmarkStart w:id="389" w:name="_Toc19273"/>
      <w:bookmarkStart w:id="390" w:name="_Toc28855"/>
      <w:bookmarkStart w:id="391" w:name="_Toc20421"/>
      <w:r>
        <w:rPr>
          <w:rFonts w:hint="eastAsia" w:ascii="宋体" w:hAnsi="宋体"/>
          <w:b/>
          <w:sz w:val="24"/>
        </w:rPr>
        <w:t>一、合同组成部分</w:t>
      </w:r>
      <w:bookmarkEnd w:id="387"/>
      <w:bookmarkEnd w:id="388"/>
      <w:bookmarkEnd w:id="389"/>
      <w:bookmarkEnd w:id="390"/>
      <w:bookmarkEnd w:id="391"/>
    </w:p>
    <w:p w14:paraId="4E4B16F6">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下列文件为本合同的组成部分，并构成一个整体，需综合解释、相互补充。如果下列文件内容出现不一致的情形，那么在保证按照采购文件确定的事项的前提下，组成本合同的多份文件的优先适用顺序如下：</w:t>
      </w:r>
    </w:p>
    <w:p w14:paraId="67617E4F">
      <w:pPr>
        <w:spacing w:line="360" w:lineRule="auto"/>
        <w:ind w:firstLine="480" w:firstLineChars="200"/>
        <w:rPr>
          <w:rFonts w:ascii="宋体" w:hAnsi="宋体"/>
          <w:sz w:val="24"/>
        </w:rPr>
      </w:pPr>
      <w:r>
        <w:rPr>
          <w:rFonts w:hint="eastAsia" w:ascii="宋体" w:hAnsi="宋体"/>
          <w:sz w:val="24"/>
        </w:rPr>
        <w:t>1.本合同及其补充合同、变更协议；</w:t>
      </w:r>
    </w:p>
    <w:p w14:paraId="2107E7D0">
      <w:pPr>
        <w:spacing w:line="360" w:lineRule="auto"/>
        <w:ind w:firstLine="480" w:firstLineChars="200"/>
        <w:rPr>
          <w:rFonts w:ascii="宋体" w:hAnsi="宋体"/>
          <w:sz w:val="24"/>
        </w:rPr>
      </w:pPr>
      <w:r>
        <w:rPr>
          <w:rFonts w:hint="eastAsia" w:ascii="宋体" w:hAnsi="宋体"/>
          <w:sz w:val="24"/>
        </w:rPr>
        <w:t>2.中标或者成交通知书；</w:t>
      </w:r>
    </w:p>
    <w:p w14:paraId="0E4B1F6F">
      <w:pPr>
        <w:spacing w:line="360" w:lineRule="auto"/>
        <w:ind w:firstLine="480" w:firstLineChars="200"/>
        <w:rPr>
          <w:rFonts w:ascii="宋体" w:hAnsi="宋体"/>
          <w:sz w:val="24"/>
        </w:rPr>
      </w:pPr>
      <w:r>
        <w:rPr>
          <w:rFonts w:hint="eastAsia" w:ascii="宋体" w:hAnsi="宋体"/>
          <w:sz w:val="24"/>
        </w:rPr>
        <w:t>3.投标或者响应文件（含澄清或者说明文件）；</w:t>
      </w:r>
    </w:p>
    <w:p w14:paraId="283EFC13">
      <w:pPr>
        <w:spacing w:line="360" w:lineRule="auto"/>
        <w:ind w:firstLine="480" w:firstLineChars="200"/>
        <w:rPr>
          <w:rFonts w:ascii="宋体" w:hAnsi="宋体"/>
          <w:sz w:val="24"/>
        </w:rPr>
      </w:pPr>
      <w:r>
        <w:rPr>
          <w:rFonts w:hint="eastAsia" w:ascii="宋体" w:hAnsi="宋体"/>
          <w:sz w:val="24"/>
        </w:rPr>
        <w:t>4.采购文件（含澄清或者修改文件）；</w:t>
      </w:r>
    </w:p>
    <w:p w14:paraId="30C55A26">
      <w:pPr>
        <w:spacing w:line="360" w:lineRule="auto"/>
        <w:ind w:firstLine="480" w:firstLineChars="200"/>
        <w:rPr>
          <w:rFonts w:ascii="宋体" w:hAnsi="宋体"/>
          <w:sz w:val="24"/>
        </w:rPr>
      </w:pPr>
      <w:r>
        <w:rPr>
          <w:rFonts w:hint="eastAsia" w:ascii="宋体" w:hAnsi="宋体"/>
          <w:sz w:val="24"/>
        </w:rPr>
        <w:t>5.其他相关采购文件。</w:t>
      </w:r>
    </w:p>
    <w:p w14:paraId="2E51F255">
      <w:pPr>
        <w:spacing w:line="360" w:lineRule="auto"/>
        <w:ind w:firstLine="482" w:firstLineChars="200"/>
        <w:outlineLvl w:val="0"/>
        <w:rPr>
          <w:rFonts w:ascii="宋体" w:hAnsi="宋体"/>
          <w:b/>
          <w:sz w:val="24"/>
        </w:rPr>
      </w:pPr>
      <w:bookmarkStart w:id="392" w:name="_Toc6311"/>
      <w:bookmarkStart w:id="393" w:name="_Toc6773"/>
      <w:bookmarkStart w:id="394" w:name="_Toc22185"/>
      <w:bookmarkStart w:id="395" w:name="_Toc2918"/>
      <w:bookmarkStart w:id="396" w:name="_Toc18585"/>
      <w:r>
        <w:rPr>
          <w:rFonts w:hint="eastAsia" w:ascii="宋体" w:hAnsi="宋体"/>
          <w:b/>
          <w:sz w:val="24"/>
        </w:rPr>
        <w:t>二、合同标的</w:t>
      </w:r>
      <w:bookmarkEnd w:id="392"/>
      <w:bookmarkEnd w:id="393"/>
      <w:bookmarkEnd w:id="394"/>
      <w:bookmarkEnd w:id="395"/>
      <w:bookmarkEnd w:id="396"/>
      <w:r>
        <w:rPr>
          <w:rFonts w:hint="eastAsia" w:ascii="宋体" w:hAnsi="宋体"/>
          <w:b/>
          <w:sz w:val="24"/>
        </w:rPr>
        <w:t>及价款</w:t>
      </w:r>
    </w:p>
    <w:p w14:paraId="492F8F21">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lang w:val="en-US" w:eastAsia="zh-CN"/>
        </w:rPr>
        <w:t xml:space="preserve">   </w:t>
      </w:r>
      <w:r>
        <w:rPr>
          <w:rFonts w:hint="eastAsia" w:ascii="宋体" w:hAnsi="宋体" w:cs="宋体"/>
          <w:sz w:val="24"/>
        </w:rPr>
        <w:t>元（大写：</w:t>
      </w:r>
      <w:r>
        <w:rPr>
          <w:rFonts w:hint="eastAsia" w:ascii="宋体" w:hAnsi="宋体" w:cs="宋体"/>
          <w:sz w:val="24"/>
          <w:u w:val="single"/>
          <w:lang w:val="en-US" w:eastAsia="zh-CN"/>
        </w:rPr>
        <w:t xml:space="preserve">   </w:t>
      </w:r>
      <w:r>
        <w:rPr>
          <w:rFonts w:hint="eastAsia" w:ascii="宋体" w:hAnsi="宋体" w:cs="宋体"/>
          <w:sz w:val="24"/>
          <w:lang w:val="en-US" w:eastAsia="zh-CN"/>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cs="宋体"/>
          <w:sz w:val="24"/>
          <w:u w:val="single"/>
          <w:lang w:val="en-US" w:eastAsia="zh-CN"/>
        </w:rPr>
        <w:t xml:space="preserve">   </w:t>
      </w:r>
      <w:r>
        <w:rPr>
          <w:rFonts w:hint="eastAsia" w:ascii="宋体" w:hAnsi="宋体"/>
          <w:sz w:val="24"/>
        </w:rPr>
        <w:t xml:space="preserve"> %。</w:t>
      </w:r>
    </w:p>
    <w:p w14:paraId="6FEF4270">
      <w:pPr>
        <w:spacing w:line="360" w:lineRule="auto"/>
        <w:ind w:firstLine="480" w:firstLineChars="200"/>
        <w:rPr>
          <w:rFonts w:ascii="宋体" w:hAnsi="宋体"/>
          <w:sz w:val="24"/>
        </w:rPr>
      </w:pPr>
      <w:r>
        <w:rPr>
          <w:rFonts w:hint="eastAsia" w:ascii="宋体" w:hAnsi="宋体" w:cs="宋体"/>
          <w:sz w:val="24"/>
        </w:rPr>
        <w:t>1.服务费采用以下第</w:t>
      </w:r>
      <w:r>
        <w:rPr>
          <w:rFonts w:hint="eastAsia" w:ascii="宋体" w:hAnsi="宋体" w:cs="宋体"/>
          <w:sz w:val="24"/>
          <w:u w:val="single"/>
        </w:rPr>
        <w:t xml:space="preserve">  （1）  </w:t>
      </w:r>
      <w:r>
        <w:rPr>
          <w:rFonts w:hint="eastAsia" w:ascii="宋体" w:hAnsi="宋体" w:cs="宋体"/>
          <w:sz w:val="24"/>
        </w:rPr>
        <w:t>条款规定的计价方式计价。</w:t>
      </w:r>
    </w:p>
    <w:p w14:paraId="393C0DE8">
      <w:pPr>
        <w:pStyle w:val="6"/>
        <w:ind w:firstLine="480" w:firstLineChars="200"/>
        <w:rPr>
          <w:rFonts w:hint="eastAsia" w:hAnsi="宋体" w:cs="宋体"/>
        </w:rPr>
      </w:pPr>
      <w:r>
        <w:rPr>
          <w:rFonts w:hint="eastAsia" w:hAnsi="宋体"/>
        </w:rPr>
        <w:t>（1）总价合同，</w:t>
      </w:r>
      <w:r>
        <w:rPr>
          <w:rFonts w:hAnsi="宋体"/>
        </w:rPr>
        <w:t>本合同总价</w:t>
      </w:r>
      <w:r>
        <w:rPr>
          <w:rFonts w:hint="eastAsia" w:hAnsi="宋体"/>
        </w:rPr>
        <w:t>（含税）</w:t>
      </w:r>
      <w:r>
        <w:rPr>
          <w:rFonts w:hAnsi="宋体"/>
        </w:rPr>
        <w:t>为</w:t>
      </w:r>
      <w:r>
        <w:rPr>
          <w:rFonts w:hint="eastAsia" w:hAnsi="宋体"/>
        </w:rPr>
        <w:t>：￥</w:t>
      </w:r>
      <w:r>
        <w:rPr>
          <w:rFonts w:hint="eastAsia" w:ascii="宋体" w:hAnsi="宋体" w:cs="宋体"/>
          <w:sz w:val="24"/>
          <w:u w:val="single"/>
          <w:lang w:val="en-US" w:eastAsia="zh-CN"/>
        </w:rPr>
        <w:t xml:space="preserve">   </w:t>
      </w:r>
      <w:r>
        <w:rPr>
          <w:rFonts w:hAnsi="宋体"/>
        </w:rPr>
        <w:t>元</w:t>
      </w:r>
      <w:r>
        <w:rPr>
          <w:rFonts w:hint="eastAsia" w:hAnsi="宋体"/>
        </w:rPr>
        <w:t>（大写：</w:t>
      </w:r>
      <w:r>
        <w:rPr>
          <w:rFonts w:hint="eastAsia" w:ascii="宋体" w:hAnsi="宋体" w:cs="宋体"/>
          <w:sz w:val="24"/>
          <w:u w:val="single"/>
          <w:lang w:val="en-US" w:eastAsia="zh-CN"/>
        </w:rPr>
        <w:t xml:space="preserve">   </w:t>
      </w:r>
      <w:r>
        <w:rPr>
          <w:rFonts w:hint="eastAsia" w:hAnsi="宋体"/>
        </w:rPr>
        <w:t xml:space="preserve">元人民币），税率为 </w:t>
      </w:r>
      <w:r>
        <w:rPr>
          <w:rFonts w:hint="eastAsia" w:ascii="宋体" w:hAnsi="宋体" w:cs="宋体"/>
          <w:sz w:val="24"/>
          <w:u w:val="single"/>
          <w:lang w:val="en-US" w:eastAsia="zh-CN"/>
        </w:rPr>
        <w:t xml:space="preserve">   </w:t>
      </w:r>
      <w:r>
        <w:rPr>
          <w:rFonts w:hint="eastAsia" w:hAnsi="宋体"/>
        </w:rPr>
        <w:t>%，</w:t>
      </w:r>
      <w:r>
        <w:rPr>
          <w:rFonts w:hint="eastAsia" w:hAnsi="宋体" w:cs="宋体"/>
        </w:rPr>
        <w:t>单价和总价中均包括了服务</w:t>
      </w:r>
      <w:r>
        <w:rPr>
          <w:rFonts w:hint="eastAsia" w:hAnsi="宋体" w:cs="宋体"/>
          <w:lang w:val="en-US"/>
        </w:rPr>
        <w:t>费</w:t>
      </w:r>
      <w:r>
        <w:rPr>
          <w:rFonts w:hint="eastAsia" w:hAnsi="宋体" w:cs="宋体"/>
        </w:rPr>
        <w:t>、</w:t>
      </w:r>
      <w:r>
        <w:rPr>
          <w:rFonts w:hint="eastAsia" w:hAnsi="宋体" w:cs="宋体"/>
          <w:lang w:val="en-US"/>
        </w:rPr>
        <w:t>材料</w:t>
      </w:r>
      <w:r>
        <w:rPr>
          <w:rFonts w:hint="eastAsia" w:hAnsi="宋体" w:cs="宋体"/>
          <w:lang w:val="en-US" w:eastAsia="zh-CN"/>
        </w:rPr>
        <w:t>费</w:t>
      </w:r>
      <w:r>
        <w:rPr>
          <w:rFonts w:hint="eastAsia" w:hAnsi="宋体" w:cs="宋体"/>
          <w:lang w:val="en-US"/>
        </w:rPr>
        <w:t>、</w:t>
      </w:r>
      <w:r>
        <w:rPr>
          <w:rFonts w:hint="eastAsia" w:hAnsi="宋体" w:cs="宋体"/>
        </w:rPr>
        <w:t>运费、</w:t>
      </w:r>
      <w:r>
        <w:rPr>
          <w:rFonts w:hint="eastAsia" w:hAnsi="宋体" w:cs="宋体"/>
          <w:lang w:val="en-US" w:eastAsia="zh-CN"/>
        </w:rPr>
        <w:t>工具</w:t>
      </w:r>
      <w:r>
        <w:rPr>
          <w:rFonts w:hint="eastAsia" w:hAnsi="宋体" w:cs="宋体"/>
        </w:rPr>
        <w:t>费、人工费、税费、杂费等所有费用，</w:t>
      </w:r>
      <w:r>
        <w:rPr>
          <w:rFonts w:hAnsi="宋体" w:cs="宋体"/>
        </w:rPr>
        <w:t>该价格已包含甲方为履行本合同所需的全部费用，未</w:t>
      </w:r>
      <w:r>
        <w:rPr>
          <w:rFonts w:hint="eastAsia" w:hAnsi="宋体" w:cs="宋体"/>
        </w:rPr>
        <w:t>列明</w:t>
      </w:r>
      <w:r>
        <w:rPr>
          <w:rFonts w:hAnsi="宋体" w:cs="宋体"/>
        </w:rPr>
        <w:t>的分项视为优惠</w:t>
      </w:r>
      <w:r>
        <w:rPr>
          <w:rFonts w:hint="eastAsia" w:hAnsi="宋体" w:cs="宋体"/>
          <w:lang w:eastAsia="zh-CN"/>
        </w:rPr>
        <w:t>，</w:t>
      </w:r>
      <w:r>
        <w:rPr>
          <w:rFonts w:hint="eastAsia" w:hAnsi="宋体" w:cs="宋体"/>
        </w:rPr>
        <w:t>本合同履行中，甲方不再另行支付任何费用。</w:t>
      </w:r>
    </w:p>
    <w:p w14:paraId="2EB9D2BA">
      <w:pPr>
        <w:pStyle w:val="6"/>
        <w:ind w:firstLine="482" w:firstLineChars="200"/>
        <w:rPr>
          <w:rFonts w:hint="eastAsia" w:hAnsi="宋体" w:cs="宋体"/>
          <w:b/>
          <w:bCs/>
          <w:lang w:val="en-US" w:eastAsia="zh-CN"/>
        </w:rPr>
      </w:pPr>
      <w:r>
        <w:rPr>
          <w:rFonts w:hint="eastAsia" w:hAnsi="宋体" w:cs="宋体"/>
          <w:b/>
          <w:bCs/>
          <w:lang w:val="en-US" w:eastAsia="zh-CN"/>
        </w:rPr>
        <w:t>工作内容如下：</w:t>
      </w:r>
    </w:p>
    <w:p w14:paraId="7ACC045B">
      <w:pPr>
        <w:keepNext w:val="0"/>
        <w:keepLines w:val="0"/>
        <w:widowControl/>
        <w:suppressLineNumbers w:val="0"/>
        <w:spacing w:line="360" w:lineRule="auto"/>
        <w:ind w:firstLine="482" w:firstLineChars="200"/>
        <w:jc w:val="left"/>
        <w:rPr>
          <w:rFonts w:hint="eastAsia" w:ascii="宋体" w:hAnsi="宋体" w:eastAsia="宋体" w:cs="宋体"/>
          <w:b/>
          <w:bCs/>
          <w:snapToGrid w:val="0"/>
          <w:color w:val="000000"/>
          <w:kern w:val="0"/>
          <w:sz w:val="24"/>
          <w:szCs w:val="24"/>
          <w:lang w:val="en-US" w:eastAsia="zh-CN" w:bidi="ar"/>
        </w:rPr>
      </w:pPr>
      <w:r>
        <w:rPr>
          <w:rFonts w:hint="eastAsia" w:ascii="宋体" w:hAnsi="宋体" w:eastAsia="宋体" w:cs="宋体"/>
          <w:b/>
          <w:bCs/>
          <w:snapToGrid w:val="0"/>
          <w:color w:val="000000"/>
          <w:kern w:val="0"/>
          <w:sz w:val="24"/>
          <w:szCs w:val="24"/>
          <w:lang w:val="en-US" w:eastAsia="zh-CN" w:bidi="ar"/>
        </w:rPr>
        <w:t>1. 化学清洗</w:t>
      </w:r>
    </w:p>
    <w:p w14:paraId="4949A901">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 xml:space="preserve">在确保循环水系统在线运行正常的情况下，乙方向系统投药，使大分子螯合物及高效活化剂进入循环水系统，利用循环水系统的动力进行循环，在高效活化剂的作用下，使螯合物与油污、垢及锈层发生大分子强振动，产生的γ能量，以破坏污垢晶格能，生成可溶性物质排出。清洗剂采用大分子螯合物和高效活化剂。 </w:t>
      </w:r>
    </w:p>
    <w:p w14:paraId="4E5BBDC0">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 xml:space="preserve">（1）主清洗：清除锈垢、焊渣、油污、内壁腐蚀产物及微生物残留体等。 </w:t>
      </w:r>
    </w:p>
    <w:p w14:paraId="6FE12585">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 xml:space="preserve">（2）活化、激发：将系统金属表面处于活性状态（包括杀菌），并使活性位处于激发态。 </w:t>
      </w:r>
    </w:p>
    <w:p w14:paraId="59C1B337">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 xml:space="preserve">（3）清洗药剂 </w:t>
      </w:r>
    </w:p>
    <w:p w14:paraId="779531E0">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 xml:space="preserve">化学清洗剂采用适合循环水系统配套管线及设备，适用于碳钢、不锈钢、铜及铜合金、铝及铝合金等多种材质。 </w:t>
      </w:r>
    </w:p>
    <w:p w14:paraId="540FD1FD">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 xml:space="preserve">（4）化学清洗方法及操作要点 </w:t>
      </w:r>
    </w:p>
    <w:p w14:paraId="38357A5F">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化学清洗工序分两步：黏泥剥离、化学清洗 →水置换（漂洗）</w:t>
      </w:r>
    </w:p>
    <w:p w14:paraId="0F61A313">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 xml:space="preserve">化学清洗过程中要求水流速 1.5m/s 以上，支管流速 1.0m/s 以上。 </w:t>
      </w:r>
    </w:p>
    <w:p w14:paraId="62D5B806">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 xml:space="preserve">（5）操作要求 </w:t>
      </w:r>
    </w:p>
    <w:p w14:paraId="23F5CBD7">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 xml:space="preserve">1）系统补水，水位控制在正常安全运转。 </w:t>
      </w:r>
    </w:p>
    <w:p w14:paraId="70FFBDEA">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 xml:space="preserve">2）参加化学清洗的所有管道及设备通水，系统正常运转，高位及相对高位排气、低位及相对低位控制排污。 </w:t>
      </w:r>
    </w:p>
    <w:p w14:paraId="2A1C1A03">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 xml:space="preserve">3）检查系统各处有无漏水，及时处理漏点。 </w:t>
      </w:r>
    </w:p>
    <w:p w14:paraId="3C190DFF">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 xml:space="preserve">4）控制好水位，若有水位自动控制或水位报警系统应尽量投入使用，并保持吸水口水位处于安全水位。 </w:t>
      </w:r>
    </w:p>
    <w:p w14:paraId="2318023E">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 xml:space="preserve">5）在合适的位置放置除垢测试装置。 </w:t>
      </w:r>
    </w:p>
    <w:p w14:paraId="7E78F49E">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 xml:space="preserve">6）检查并确认各末端设备的运行状态。 </w:t>
      </w:r>
    </w:p>
    <w:p w14:paraId="1F0B411F">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 xml:space="preserve">7）投加清洗缓蚀剂，循环 1～2小时，待缓蚀剂循环均匀后投加生物杀菌剂对系统内的生物粘泥进行分解剥离，同时投加化学清洗剂，开泵循环 12-24 小时，化学清洗阶段应重点检查末端，加强末端排污，清洗过程中对pH、浊度、总铁进行检测，当浊度、总铁不再上升时到达清洗终点。 </w:t>
      </w:r>
    </w:p>
    <w:p w14:paraId="17D60653">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 xml:space="preserve">8）取出除垢测试装置，观察除垢情况，并送实验室进行分析。 </w:t>
      </w:r>
    </w:p>
    <w:p w14:paraId="7089F91E">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 xml:space="preserve">9）进行水置换，置换时的排污主要在系统低点、如循环水泵排污口处，当水浊度≤20 度，置换结束。 </w:t>
      </w:r>
    </w:p>
    <w:p w14:paraId="39343675">
      <w:pPr>
        <w:keepNext w:val="0"/>
        <w:keepLines w:val="0"/>
        <w:widowControl/>
        <w:suppressLineNumbers w:val="0"/>
        <w:spacing w:line="360" w:lineRule="auto"/>
        <w:ind w:firstLine="482" w:firstLineChars="200"/>
        <w:jc w:val="left"/>
        <w:rPr>
          <w:rFonts w:hint="eastAsia" w:ascii="宋体" w:hAnsi="宋体" w:eastAsia="宋体" w:cs="宋体"/>
          <w:b/>
          <w:bCs/>
          <w:snapToGrid w:val="0"/>
          <w:color w:val="000000"/>
          <w:kern w:val="0"/>
          <w:sz w:val="24"/>
          <w:szCs w:val="24"/>
          <w:lang w:val="en-US" w:eastAsia="zh-CN" w:bidi="ar"/>
        </w:rPr>
      </w:pPr>
      <w:r>
        <w:rPr>
          <w:rFonts w:hint="eastAsia" w:ascii="宋体" w:hAnsi="宋体" w:eastAsia="宋体" w:cs="宋体"/>
          <w:b/>
          <w:bCs/>
          <w:snapToGrid w:val="0"/>
          <w:color w:val="000000"/>
          <w:kern w:val="0"/>
          <w:sz w:val="24"/>
          <w:szCs w:val="24"/>
          <w:lang w:val="en-US" w:eastAsia="zh-CN" w:bidi="ar"/>
        </w:rPr>
        <w:t xml:space="preserve">2. 化学镀膜 </w:t>
      </w:r>
    </w:p>
    <w:p w14:paraId="4B1E23AC">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 xml:space="preserve">采用专有的高分子镀膜剂及镀膜催化剂，对水处理系统化学清洗之后即进行镀膜处理，有效地保证了系统及设备的使用寿命和安全。操作要求如下： </w:t>
      </w:r>
    </w:p>
    <w:p w14:paraId="6C8BAD90">
      <w:pPr>
        <w:keepNext w:val="0"/>
        <w:keepLines w:val="0"/>
        <w:widowControl/>
        <w:numPr>
          <w:ilvl w:val="0"/>
          <w:numId w:val="0"/>
        </w:numPr>
        <w:suppressLineNumbers w:val="0"/>
        <w:spacing w:line="360" w:lineRule="auto"/>
        <w:ind w:firstLine="480" w:firstLineChars="200"/>
        <w:jc w:val="both"/>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 xml:space="preserve">1）控制系统水位，实际操作需控制泵能安全运转，不能影响正常使用。循环水浊度&lt;20 度，总铁&lt;1mg/L，管道通水系统运转，检查各处无漏水点。 </w:t>
      </w:r>
    </w:p>
    <w:p w14:paraId="69E6179C">
      <w:pPr>
        <w:keepNext w:val="0"/>
        <w:keepLines w:val="0"/>
        <w:widowControl/>
        <w:numPr>
          <w:ilvl w:val="0"/>
          <w:numId w:val="0"/>
        </w:numPr>
        <w:suppressLineNumbers w:val="0"/>
        <w:spacing w:line="360" w:lineRule="auto"/>
        <w:ind w:left="845" w:leftChars="0" w:hanging="425" w:firstLineChars="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 xml:space="preserve">2）连通所有末端设备，系统管道通水运转。 </w:t>
      </w:r>
    </w:p>
    <w:p w14:paraId="35207DFA">
      <w:pPr>
        <w:keepNext w:val="0"/>
        <w:keepLines w:val="0"/>
        <w:widowControl/>
        <w:numPr>
          <w:ilvl w:val="0"/>
          <w:numId w:val="0"/>
        </w:numPr>
        <w:suppressLineNumbers w:val="0"/>
        <w:spacing w:line="360" w:lineRule="auto"/>
        <w:ind w:left="845" w:leftChars="0" w:hanging="425" w:firstLineChars="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 xml:space="preserve">3）投加镀膜剂化学镀膜剂连续运转 24-48 小时。 </w:t>
      </w:r>
    </w:p>
    <w:p w14:paraId="03C97BEB">
      <w:pPr>
        <w:keepNext w:val="0"/>
        <w:keepLines w:val="0"/>
        <w:widowControl/>
        <w:numPr>
          <w:ilvl w:val="0"/>
          <w:numId w:val="0"/>
        </w:numPr>
        <w:suppressLineNumbers w:val="0"/>
        <w:spacing w:line="360" w:lineRule="auto"/>
        <w:ind w:left="845" w:leftChars="0" w:hanging="425" w:firstLineChars="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 xml:space="preserve">4）取样进行分析。 </w:t>
      </w:r>
    </w:p>
    <w:p w14:paraId="07E43A9C">
      <w:pPr>
        <w:keepNext w:val="0"/>
        <w:keepLines w:val="0"/>
        <w:widowControl/>
        <w:numPr>
          <w:ilvl w:val="0"/>
          <w:numId w:val="0"/>
        </w:numPr>
        <w:suppressLineNumbers w:val="0"/>
        <w:spacing w:line="360" w:lineRule="auto"/>
        <w:ind w:left="845" w:leftChars="0" w:hanging="425" w:firstLineChars="0"/>
        <w:jc w:val="left"/>
        <w:rPr>
          <w:rFonts w:hint="eastAsia" w:ascii="宋体" w:hAnsi="宋体" w:eastAsia="宋体" w:cs="宋体"/>
          <w:snapToGrid w:val="0"/>
          <w:color w:val="000000"/>
          <w:kern w:val="0"/>
          <w:sz w:val="24"/>
          <w:szCs w:val="24"/>
          <w:lang w:val="en-US" w:eastAsia="zh-CN" w:bidi="ar"/>
        </w:rPr>
      </w:pPr>
    </w:p>
    <w:p w14:paraId="61FBC95D">
      <w:pPr>
        <w:keepNext w:val="0"/>
        <w:keepLines w:val="0"/>
        <w:widowControl/>
        <w:numPr>
          <w:ilvl w:val="0"/>
          <w:numId w:val="0"/>
        </w:numPr>
        <w:suppressLineNumbers w:val="0"/>
        <w:spacing w:line="360" w:lineRule="auto"/>
        <w:ind w:left="845" w:leftChars="0" w:hanging="425" w:firstLineChars="0"/>
        <w:jc w:val="left"/>
        <w:rPr>
          <w:rFonts w:hint="eastAsia" w:ascii="宋体" w:hAnsi="宋体" w:eastAsia="宋体" w:cs="宋体"/>
          <w:snapToGrid w:val="0"/>
          <w:color w:val="000000"/>
          <w:kern w:val="0"/>
          <w:sz w:val="24"/>
          <w:szCs w:val="24"/>
          <w:lang w:val="en-US" w:eastAsia="zh-CN" w:bidi="ar"/>
        </w:rPr>
      </w:pPr>
    </w:p>
    <w:p w14:paraId="240999C1">
      <w:pPr>
        <w:spacing w:line="360" w:lineRule="auto"/>
        <w:ind w:firstLine="482" w:firstLineChars="200"/>
        <w:outlineLvl w:val="0"/>
        <w:rPr>
          <w:rFonts w:ascii="宋体" w:hAnsi="宋体"/>
          <w:b/>
          <w:sz w:val="24"/>
        </w:rPr>
      </w:pPr>
      <w:bookmarkStart w:id="397" w:name="_Toc22618"/>
      <w:bookmarkStart w:id="398" w:name="_Toc1814"/>
      <w:bookmarkStart w:id="399" w:name="_Toc10340"/>
      <w:bookmarkStart w:id="400" w:name="_Toc3625"/>
      <w:bookmarkStart w:id="401" w:name="_Toc8772"/>
      <w:bookmarkStart w:id="402" w:name="_Toc4760"/>
      <w:bookmarkStart w:id="403" w:name="_Toc31421"/>
      <w:bookmarkStart w:id="404" w:name="_Toc11108"/>
      <w:r>
        <w:rPr>
          <w:rFonts w:hint="eastAsia" w:ascii="宋体" w:hAnsi="宋体"/>
          <w:b/>
          <w:sz w:val="24"/>
        </w:rPr>
        <w:t>三、合同服务</w:t>
      </w:r>
      <w:r>
        <w:rPr>
          <w:rFonts w:ascii="宋体" w:hAnsi="宋体"/>
          <w:b/>
          <w:sz w:val="24"/>
        </w:rPr>
        <w:t>期限</w:t>
      </w:r>
      <w:r>
        <w:rPr>
          <w:rFonts w:hint="eastAsia" w:ascii="宋体" w:hAnsi="宋体"/>
          <w:b/>
          <w:sz w:val="24"/>
        </w:rPr>
        <w:t>、地点、联系方式、交付方式</w:t>
      </w:r>
    </w:p>
    <w:p w14:paraId="2B59E56B">
      <w:pPr>
        <w:spacing w:line="360" w:lineRule="auto"/>
        <w:ind w:firstLine="480" w:firstLineChars="200"/>
        <w:rPr>
          <w:rFonts w:hint="eastAsia" w:ascii="宋体" w:hAnsi="宋体" w:cs="宋体"/>
          <w:sz w:val="24"/>
          <w:u w:val="single"/>
          <w:lang w:eastAsia="zh-CN"/>
        </w:rPr>
      </w:pPr>
      <w:r>
        <w:rPr>
          <w:rFonts w:hint="eastAsia" w:ascii="宋体" w:hAnsi="宋体"/>
          <w:sz w:val="24"/>
        </w:rPr>
        <w:t>1.合同服务期限</w:t>
      </w:r>
      <w:r>
        <w:rPr>
          <w:rFonts w:ascii="宋体" w:hAnsi="宋体"/>
          <w:sz w:val="24"/>
        </w:rPr>
        <w:t>：</w:t>
      </w:r>
      <w:r>
        <w:rPr>
          <w:rFonts w:hint="eastAsia" w:ascii="宋体" w:hAnsi="宋体" w:cs="宋体"/>
          <w:sz w:val="24"/>
          <w:u w:val="single"/>
          <w:lang w:eastAsia="zh-CN"/>
        </w:rPr>
        <w:t xml:space="preserve"> 自合同签订后6个月内完成清洗并通过验收。</w:t>
      </w:r>
    </w:p>
    <w:p w14:paraId="6B52A84B">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b/>
          <w:iCs/>
          <w:sz w:val="24"/>
        </w:rPr>
        <w:t xml:space="preserve">浙江省杭州市钱塘区临江街道红十五路10388-123号，杭州临江环境能源有限公司厂区内 </w:t>
      </w:r>
      <w:r>
        <w:rPr>
          <w:rFonts w:hint="eastAsia" w:ascii="宋体" w:hAnsi="宋体"/>
          <w:iCs/>
          <w:sz w:val="24"/>
        </w:rPr>
        <w:t>；</w:t>
      </w:r>
    </w:p>
    <w:p w14:paraId="1DD90DBB">
      <w:pPr>
        <w:spacing w:line="360" w:lineRule="auto"/>
        <w:ind w:firstLine="480" w:firstLineChars="200"/>
        <w:rPr>
          <w:rFonts w:ascii="宋体" w:hAnsi="宋体"/>
          <w:sz w:val="24"/>
        </w:rPr>
      </w:pPr>
      <w:r>
        <w:rPr>
          <w:rFonts w:hint="eastAsia" w:ascii="宋体" w:hAnsi="宋体"/>
          <w:sz w:val="24"/>
        </w:rPr>
        <w:t>3.服务交付（实施）的方式：</w:t>
      </w:r>
      <w:r>
        <w:rPr>
          <w:rFonts w:hint="eastAsia" w:ascii="宋体" w:hAnsi="宋体"/>
          <w:sz w:val="24"/>
          <w:u w:val="single"/>
          <w:lang w:val="en-US" w:eastAsia="zh-CN"/>
        </w:rPr>
        <w:t xml:space="preserve">         </w:t>
      </w:r>
      <w:r>
        <w:rPr>
          <w:rFonts w:hint="eastAsia" w:ascii="宋体" w:hAnsi="宋体"/>
          <w:sz w:val="24"/>
        </w:rPr>
        <w:t>。</w:t>
      </w:r>
    </w:p>
    <w:p w14:paraId="548D4994">
      <w:pPr>
        <w:spacing w:line="360" w:lineRule="auto"/>
        <w:ind w:firstLine="480" w:firstLineChars="200"/>
        <w:outlineLvl w:val="0"/>
        <w:rPr>
          <w:rFonts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14:paraId="5BA96D74">
      <w:pPr>
        <w:spacing w:line="360" w:lineRule="auto"/>
        <w:ind w:firstLine="480" w:firstLineChars="200"/>
        <w:outlineLvl w:val="0"/>
        <w:rPr>
          <w:u w:val="single"/>
        </w:rPr>
      </w:pPr>
      <w:r>
        <w:rPr>
          <w:rFonts w:hint="eastAsia" w:ascii="宋体" w:hAnsi="宋体" w:cs="宋体"/>
          <w:sz w:val="24"/>
        </w:rPr>
        <w:t>5.乙方联系人及联系方式：</w:t>
      </w:r>
      <w:r>
        <w:rPr>
          <w:rFonts w:hint="eastAsia" w:ascii="宋体" w:hAnsi="宋体" w:cs="宋体"/>
          <w:sz w:val="24"/>
          <w:u w:val="single"/>
          <w:lang w:val="en-US" w:eastAsia="zh-CN"/>
        </w:rPr>
        <w:t xml:space="preserve">        </w:t>
      </w:r>
      <w:r>
        <w:rPr>
          <w:rFonts w:hint="eastAsia" w:ascii="宋体" w:hAnsi="宋体" w:cs="宋体"/>
          <w:sz w:val="24"/>
          <w:u w:val="single"/>
        </w:rPr>
        <w:t>；</w:t>
      </w:r>
    </w:p>
    <w:p w14:paraId="31BA4507">
      <w:pPr>
        <w:spacing w:line="360" w:lineRule="auto"/>
        <w:ind w:firstLine="482" w:firstLineChars="200"/>
        <w:outlineLvl w:val="0"/>
        <w:rPr>
          <w:rFonts w:ascii="宋体" w:hAnsi="宋体" w:cs="宋体"/>
          <w:b/>
          <w:kern w:val="0"/>
          <w:sz w:val="24"/>
        </w:rPr>
      </w:pPr>
      <w:r>
        <w:rPr>
          <w:rFonts w:hint="eastAsia" w:ascii="宋体" w:hAnsi="宋体" w:cs="宋体"/>
          <w:b/>
          <w:kern w:val="0"/>
          <w:sz w:val="24"/>
        </w:rPr>
        <w:t>四、质量和服务要求</w:t>
      </w:r>
    </w:p>
    <w:p w14:paraId="580DB0E1">
      <w:pPr>
        <w:pStyle w:val="6"/>
        <w:ind w:firstLine="480" w:firstLineChars="200"/>
        <w:rPr>
          <w:rFonts w:hint="eastAsia"/>
          <w:lang w:val="en-US" w:eastAsia="zh-CN"/>
        </w:rPr>
      </w:pPr>
      <w:bookmarkStart w:id="405" w:name="_Toc6596"/>
      <w:bookmarkStart w:id="406" w:name="_Toc14563"/>
      <w:bookmarkStart w:id="407" w:name="_Toc1125"/>
      <w:r>
        <w:rPr>
          <w:rFonts w:hint="eastAsia"/>
          <w:lang w:val="en-US"/>
        </w:rPr>
        <w:t>1.</w:t>
      </w:r>
      <w:r>
        <w:rPr>
          <w:rFonts w:hint="eastAsia"/>
          <w:lang w:val="en-US" w:eastAsia="zh-CN"/>
        </w:rPr>
        <w:t>乙方</w:t>
      </w:r>
      <w:r>
        <w:rPr>
          <w:rFonts w:hint="eastAsia"/>
          <w:lang w:val="en-US"/>
        </w:rPr>
        <w:t>在接到采购人通知后，对现场进行查看并制定</w:t>
      </w:r>
      <w:r>
        <w:rPr>
          <w:rFonts w:hint="eastAsia"/>
          <w:lang w:val="en-US" w:eastAsia="zh-CN"/>
        </w:rPr>
        <w:t>清洗作业</w:t>
      </w:r>
      <w:r>
        <w:rPr>
          <w:rFonts w:hint="eastAsia"/>
          <w:lang w:val="en-US"/>
        </w:rPr>
        <w:t>方案，</w:t>
      </w:r>
      <w:r>
        <w:rPr>
          <w:rFonts w:hint="eastAsia"/>
          <w:lang w:val="en-US" w:eastAsia="zh-CN"/>
        </w:rPr>
        <w:t>甲方</w:t>
      </w:r>
      <w:r>
        <w:rPr>
          <w:rFonts w:hint="eastAsia"/>
          <w:lang w:val="en-US"/>
        </w:rPr>
        <w:t>审核通过后，</w:t>
      </w:r>
      <w:r>
        <w:rPr>
          <w:rFonts w:hint="eastAsia"/>
          <w:lang w:val="en-US" w:eastAsia="zh-CN"/>
        </w:rPr>
        <w:t>乙方</w:t>
      </w:r>
      <w:r>
        <w:rPr>
          <w:rFonts w:hint="eastAsia"/>
          <w:lang w:val="en-US"/>
        </w:rPr>
        <w:t>按计划完成</w:t>
      </w:r>
      <w:r>
        <w:rPr>
          <w:rFonts w:hint="eastAsia"/>
          <w:lang w:val="en-US" w:eastAsia="zh-CN"/>
        </w:rPr>
        <w:t>清洗服务，接到甲方通知后</w:t>
      </w:r>
      <w:r>
        <w:rPr>
          <w:rFonts w:hint="eastAsia"/>
          <w:lang w:val="en-US"/>
        </w:rPr>
        <w:t>20日内完成清洗服务</w:t>
      </w:r>
      <w:r>
        <w:rPr>
          <w:rFonts w:hint="eastAsia"/>
          <w:lang w:val="en-US" w:eastAsia="zh-CN"/>
        </w:rPr>
        <w:t>。</w:t>
      </w:r>
    </w:p>
    <w:p w14:paraId="6F83637E">
      <w:pPr>
        <w:spacing w:line="360" w:lineRule="auto"/>
        <w:ind w:firstLine="482" w:firstLineChars="200"/>
        <w:outlineLvl w:val="0"/>
        <w:rPr>
          <w:rFonts w:hint="eastAsia" w:ascii="宋体" w:hAnsi="Arial" w:cs="Arial" w:eastAsiaTheme="minorEastAsia"/>
          <w:snapToGrid w:val="0"/>
          <w:kern w:val="2"/>
          <w:sz w:val="24"/>
          <w:szCs w:val="21"/>
          <w:lang w:val="en-US" w:eastAsia="zh-CN" w:bidi="ar-SA"/>
        </w:rPr>
      </w:pPr>
      <w:r>
        <w:rPr>
          <w:rFonts w:hint="eastAsia" w:ascii="宋体" w:hAnsi="宋体" w:cs="宋体"/>
          <w:b/>
          <w:sz w:val="24"/>
          <w:lang w:val="en-US" w:eastAsia="zh-CN"/>
        </w:rPr>
        <w:t>2</w:t>
      </w:r>
      <w:r>
        <w:rPr>
          <w:rFonts w:hint="eastAsia" w:ascii="宋体" w:hAnsi="Arial" w:cs="Arial" w:eastAsiaTheme="minorEastAsia"/>
          <w:snapToGrid w:val="0"/>
          <w:kern w:val="2"/>
          <w:sz w:val="24"/>
          <w:szCs w:val="21"/>
          <w:lang w:val="en-US" w:eastAsia="zh-CN" w:bidi="ar-SA"/>
        </w:rPr>
        <w:t>.清洗过程安全质量控制</w:t>
      </w:r>
    </w:p>
    <w:p w14:paraId="7119F2BB">
      <w:pPr>
        <w:spacing w:line="360" w:lineRule="auto"/>
        <w:ind w:firstLine="480" w:firstLineChars="200"/>
        <w:outlineLvl w:val="0"/>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（1）系统评估：</w:t>
      </w:r>
      <w:r>
        <w:rPr>
          <w:rFonts w:hint="eastAsia" w:ascii="宋体" w:hAnsi="Arial" w:cs="Arial"/>
          <w:snapToGrid w:val="0"/>
          <w:kern w:val="2"/>
          <w:sz w:val="24"/>
          <w:szCs w:val="21"/>
          <w:lang w:val="en-US" w:eastAsia="zh-CN" w:bidi="ar-SA"/>
        </w:rPr>
        <w:t>乙方</w:t>
      </w:r>
      <w:r>
        <w:rPr>
          <w:rFonts w:hint="eastAsia" w:ascii="宋体" w:hAnsi="Arial" w:cs="Arial" w:eastAsiaTheme="minorEastAsia"/>
          <w:snapToGrid w:val="0"/>
          <w:kern w:val="2"/>
          <w:sz w:val="24"/>
          <w:szCs w:val="21"/>
          <w:lang w:val="en-US" w:eastAsia="zh-CN" w:bidi="ar-SA"/>
        </w:rPr>
        <w:t>在清洗前</w:t>
      </w:r>
      <w:r>
        <w:rPr>
          <w:rFonts w:hint="eastAsia" w:ascii="宋体" w:hAnsi="Arial" w:cs="Arial"/>
          <w:snapToGrid w:val="0"/>
          <w:kern w:val="2"/>
          <w:sz w:val="24"/>
          <w:szCs w:val="21"/>
          <w:lang w:val="en-US" w:eastAsia="zh-CN" w:bidi="ar-SA"/>
        </w:rPr>
        <w:t>应对</w:t>
      </w:r>
      <w:r>
        <w:rPr>
          <w:rFonts w:hint="eastAsia" w:ascii="宋体" w:hAnsi="Arial" w:cs="Arial" w:eastAsiaTheme="minorEastAsia"/>
          <w:snapToGrid w:val="0"/>
          <w:kern w:val="2"/>
          <w:sz w:val="24"/>
          <w:szCs w:val="21"/>
          <w:lang w:val="en-US" w:eastAsia="zh-CN" w:bidi="ar-SA"/>
        </w:rPr>
        <w:t>循环水系统进行全面检查和评估，包括系统的材质、结构、运行参数、污垢类型和程度等，制定合适的清洗方案。</w:t>
      </w:r>
    </w:p>
    <w:p w14:paraId="067FE0BF">
      <w:pPr>
        <w:spacing w:line="360" w:lineRule="auto"/>
        <w:ind w:firstLine="480" w:firstLineChars="200"/>
        <w:outlineLvl w:val="0"/>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（2）水质检测：</w:t>
      </w:r>
      <w:r>
        <w:rPr>
          <w:rFonts w:hint="eastAsia" w:ascii="宋体" w:hAnsi="Arial" w:cs="Arial"/>
          <w:snapToGrid w:val="0"/>
          <w:kern w:val="2"/>
          <w:sz w:val="24"/>
          <w:szCs w:val="21"/>
          <w:lang w:val="en-US" w:eastAsia="zh-CN" w:bidi="ar-SA"/>
        </w:rPr>
        <w:t>乙方</w:t>
      </w:r>
      <w:r>
        <w:rPr>
          <w:rFonts w:hint="eastAsia" w:ascii="宋体" w:hAnsi="Arial" w:cs="Arial" w:eastAsiaTheme="minorEastAsia"/>
          <w:snapToGrid w:val="0"/>
          <w:kern w:val="2"/>
          <w:sz w:val="24"/>
          <w:szCs w:val="21"/>
          <w:lang w:val="en-US" w:eastAsia="zh-CN" w:bidi="ar-SA"/>
        </w:rPr>
        <w:t>清洗前对循环水系统的水质进行详细检测，分析水中的各种成分，如酸碱度、硬度、浊度、微生物含量等。根据水质检测结果，确定清洗药剂的种类和用量。</w:t>
      </w:r>
    </w:p>
    <w:p w14:paraId="5170CD6D">
      <w:pPr>
        <w:spacing w:line="360" w:lineRule="auto"/>
        <w:ind w:firstLine="480" w:firstLineChars="200"/>
        <w:outlineLvl w:val="0"/>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（3）制定详细清洗方案：</w:t>
      </w:r>
      <w:r>
        <w:rPr>
          <w:rFonts w:hint="eastAsia" w:ascii="宋体" w:hAnsi="Arial" w:cs="Arial"/>
          <w:snapToGrid w:val="0"/>
          <w:kern w:val="2"/>
          <w:sz w:val="24"/>
          <w:szCs w:val="21"/>
          <w:lang w:val="en-US" w:eastAsia="zh-CN" w:bidi="ar-SA"/>
        </w:rPr>
        <w:t>乙方</w:t>
      </w:r>
      <w:r>
        <w:rPr>
          <w:rFonts w:hint="eastAsia" w:ascii="宋体" w:hAnsi="Arial" w:cs="Arial" w:eastAsiaTheme="minorEastAsia"/>
          <w:snapToGrid w:val="0"/>
          <w:kern w:val="2"/>
          <w:sz w:val="24"/>
          <w:szCs w:val="21"/>
          <w:lang w:val="en-US" w:eastAsia="zh-CN" w:bidi="ar-SA"/>
        </w:rPr>
        <w:t>根据系统评估、水质检测和药剂选择的结果，制定详细的清洗方案，包括清洗工艺的具体流程、温度控制范围、清洗时间等。</w:t>
      </w:r>
    </w:p>
    <w:p w14:paraId="0A2057FE">
      <w:pPr>
        <w:spacing w:line="360" w:lineRule="auto"/>
        <w:ind w:firstLine="480" w:firstLineChars="200"/>
        <w:outlineLvl w:val="0"/>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（4）</w:t>
      </w:r>
      <w:r>
        <w:rPr>
          <w:rFonts w:hint="eastAsia" w:ascii="宋体" w:hAnsi="Arial" w:cs="Arial"/>
          <w:snapToGrid w:val="0"/>
          <w:kern w:val="2"/>
          <w:sz w:val="24"/>
          <w:szCs w:val="21"/>
          <w:lang w:val="en-US" w:eastAsia="zh-CN" w:bidi="ar-SA"/>
        </w:rPr>
        <w:t>乙方</w:t>
      </w:r>
      <w:r>
        <w:rPr>
          <w:rFonts w:hint="eastAsia" w:ascii="宋体" w:hAnsi="Arial" w:cs="Arial" w:eastAsiaTheme="minorEastAsia"/>
          <w:snapToGrid w:val="0"/>
          <w:kern w:val="2"/>
          <w:sz w:val="24"/>
          <w:szCs w:val="21"/>
          <w:lang w:val="en-US" w:eastAsia="zh-CN" w:bidi="ar-SA"/>
        </w:rPr>
        <w:t>对参与清洗工作的人员进行安全培训，使其熟悉清洗过程中的安全注意事项和操作规程。培训内容应包括药剂的使用方法、防护措施、应急处理等。</w:t>
      </w:r>
    </w:p>
    <w:p w14:paraId="33A4BB18">
      <w:pPr>
        <w:spacing w:line="360" w:lineRule="auto"/>
        <w:ind w:firstLine="480" w:firstLineChars="200"/>
        <w:outlineLvl w:val="0"/>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（5）</w:t>
      </w:r>
      <w:r>
        <w:rPr>
          <w:rFonts w:hint="eastAsia" w:ascii="宋体" w:hAnsi="Arial" w:cs="Arial"/>
          <w:snapToGrid w:val="0"/>
          <w:kern w:val="2"/>
          <w:sz w:val="24"/>
          <w:szCs w:val="21"/>
          <w:lang w:val="en-US" w:eastAsia="zh-CN" w:bidi="ar-SA"/>
        </w:rPr>
        <w:t>乙方</w:t>
      </w:r>
      <w:r>
        <w:rPr>
          <w:rFonts w:hint="eastAsia" w:ascii="宋体" w:hAnsi="Arial" w:cs="Arial" w:eastAsiaTheme="minorEastAsia"/>
          <w:snapToGrid w:val="0"/>
          <w:kern w:val="2"/>
          <w:sz w:val="24"/>
          <w:szCs w:val="21"/>
          <w:lang w:val="en-US" w:eastAsia="zh-CN" w:bidi="ar-SA"/>
        </w:rPr>
        <w:t>在每个清洗阶段结束后都取水样对水体内电导率、pH等指标进行检测，时刻关注设备腐蚀情况，及时调整，避免风险。</w:t>
      </w:r>
    </w:p>
    <w:p w14:paraId="258D61EC">
      <w:pPr>
        <w:spacing w:line="360" w:lineRule="auto"/>
        <w:ind w:firstLine="480" w:firstLineChars="200"/>
        <w:outlineLvl w:val="0"/>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（6）</w:t>
      </w:r>
      <w:r>
        <w:rPr>
          <w:rFonts w:hint="eastAsia" w:ascii="宋体" w:hAnsi="Arial" w:cs="Arial"/>
          <w:snapToGrid w:val="0"/>
          <w:kern w:val="2"/>
          <w:sz w:val="24"/>
          <w:szCs w:val="21"/>
          <w:lang w:val="en-US" w:eastAsia="zh-CN" w:bidi="ar-SA"/>
        </w:rPr>
        <w:t>乙方</w:t>
      </w:r>
      <w:r>
        <w:rPr>
          <w:rFonts w:hint="eastAsia" w:ascii="宋体" w:hAnsi="Arial" w:cs="Arial" w:eastAsiaTheme="minorEastAsia"/>
          <w:snapToGrid w:val="0"/>
          <w:kern w:val="2"/>
          <w:sz w:val="24"/>
          <w:szCs w:val="21"/>
          <w:lang w:val="en-US" w:eastAsia="zh-CN" w:bidi="ar-SA"/>
        </w:rPr>
        <w:t>清洗人员必须佩戴好个人防护用品，如防护眼镜、手套、防护服等。在使用有毒、有害药剂时，要采取相应的通风措施，确保工作环境安全。</w:t>
      </w:r>
    </w:p>
    <w:p w14:paraId="3D208FA8">
      <w:pPr>
        <w:spacing w:line="360" w:lineRule="auto"/>
        <w:ind w:firstLine="480" w:firstLineChars="200"/>
        <w:outlineLvl w:val="0"/>
        <w:rPr>
          <w:rFonts w:hint="eastAsia"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3</w:t>
      </w:r>
      <w:r>
        <w:rPr>
          <w:rFonts w:hint="eastAsia" w:ascii="宋体" w:hAnsi="Arial" w:cs="Arial" w:eastAsiaTheme="minorEastAsia"/>
          <w:snapToGrid w:val="0"/>
          <w:kern w:val="2"/>
          <w:sz w:val="24"/>
          <w:szCs w:val="21"/>
          <w:lang w:val="en-US" w:eastAsia="zh-CN" w:bidi="ar-SA"/>
        </w:rPr>
        <w:t>.药剂要求</w:t>
      </w:r>
    </w:p>
    <w:p w14:paraId="61DABC09">
      <w:pPr>
        <w:spacing w:line="360" w:lineRule="auto"/>
        <w:ind w:firstLine="480" w:firstLineChars="200"/>
        <w:outlineLvl w:val="0"/>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（1）药剂选择：</w:t>
      </w:r>
      <w:r>
        <w:rPr>
          <w:rFonts w:hint="eastAsia" w:ascii="宋体" w:hAnsi="Arial" w:cs="Arial"/>
          <w:snapToGrid w:val="0"/>
          <w:kern w:val="2"/>
          <w:sz w:val="24"/>
          <w:szCs w:val="21"/>
          <w:lang w:val="en-US" w:eastAsia="zh-CN" w:bidi="ar-SA"/>
        </w:rPr>
        <w:t>乙方</w:t>
      </w:r>
      <w:r>
        <w:rPr>
          <w:rFonts w:hint="eastAsia" w:ascii="宋体" w:hAnsi="Arial" w:cs="Arial" w:eastAsiaTheme="minorEastAsia"/>
          <w:snapToGrid w:val="0"/>
          <w:kern w:val="2"/>
          <w:sz w:val="24"/>
          <w:szCs w:val="21"/>
          <w:lang w:val="en-US" w:eastAsia="zh-CN" w:bidi="ar-SA"/>
        </w:rPr>
        <w:t>依据循环水系统材质特性来选择使用大分子螯合物清洗剂、生物杀菌剂、高分子化学镀膜剂、清洗缓蚀剂，确保药剂与系统材质相兼容，避免对系统造成腐蚀或损坏。药剂在使用过程中不应向环境中释放有害物质，如重金属、持久性有机污染物等，避免对土壤、水体和大气造成二次污染。清洗后的废水排放要符合环保标准，药剂应具有良好的生物降解性，能够在自然环境中较快地分解，降低对生态环境的影响。</w:t>
      </w:r>
    </w:p>
    <w:p w14:paraId="0AF1AB34">
      <w:pPr>
        <w:spacing w:line="360" w:lineRule="auto"/>
        <w:ind w:firstLine="480" w:firstLineChars="200"/>
        <w:outlineLvl w:val="0"/>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（2）在清洗过程中，药剂与设备及系统内的其他物质发生反应时，不应产生有害气体、沉淀或其他副产物，以免影响设备的正常运行或对设备造成损坏。</w:t>
      </w:r>
    </w:p>
    <w:p w14:paraId="5849E1E9">
      <w:pPr>
        <w:spacing w:line="360" w:lineRule="auto"/>
        <w:ind w:firstLine="480" w:firstLineChars="200"/>
        <w:outlineLvl w:val="0"/>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（3）在清洗过程中，药剂的反应速度和程度应易于控制，避免反应过于剧烈而导致系统压力异常、温度过高等安全问题。</w:t>
      </w:r>
    </w:p>
    <w:p w14:paraId="43E26B2C">
      <w:pPr>
        <w:spacing w:line="360" w:lineRule="auto"/>
        <w:ind w:firstLine="480" w:firstLineChars="200"/>
        <w:outlineLvl w:val="0"/>
        <w:rPr>
          <w:rFonts w:hint="eastAsia"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4</w:t>
      </w:r>
      <w:r>
        <w:rPr>
          <w:rFonts w:hint="eastAsia" w:ascii="宋体" w:hAnsi="Arial" w:cs="Arial" w:eastAsiaTheme="minorEastAsia"/>
          <w:snapToGrid w:val="0"/>
          <w:kern w:val="2"/>
          <w:sz w:val="24"/>
          <w:szCs w:val="21"/>
          <w:lang w:val="en-US" w:eastAsia="zh-CN" w:bidi="ar-SA"/>
        </w:rPr>
        <w:t>.本次清洗涉及的药剂、辅助材料等含在本次采购范围内，采购人不额外支付费用。</w:t>
      </w:r>
    </w:p>
    <w:p w14:paraId="0A6DE304">
      <w:pPr>
        <w:spacing w:line="360" w:lineRule="auto"/>
        <w:ind w:firstLine="480" w:firstLineChars="200"/>
        <w:outlineLvl w:val="0"/>
        <w:rPr>
          <w:rFonts w:hint="eastAsia"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5</w:t>
      </w:r>
      <w:r>
        <w:rPr>
          <w:rFonts w:hint="eastAsia" w:ascii="宋体" w:hAnsi="Arial" w:cs="Arial" w:eastAsiaTheme="minorEastAsia"/>
          <w:snapToGrid w:val="0"/>
          <w:kern w:val="2"/>
          <w:sz w:val="24"/>
          <w:szCs w:val="21"/>
          <w:lang w:val="en-US" w:eastAsia="zh-CN" w:bidi="ar-SA"/>
        </w:rPr>
        <w:t>.清洗过程中，</w:t>
      </w:r>
      <w:r>
        <w:rPr>
          <w:rFonts w:hint="eastAsia" w:ascii="宋体" w:hAnsi="Arial" w:cs="Arial"/>
          <w:snapToGrid w:val="0"/>
          <w:kern w:val="2"/>
          <w:sz w:val="24"/>
          <w:szCs w:val="21"/>
          <w:lang w:val="en-US" w:eastAsia="zh-CN" w:bidi="ar-SA"/>
        </w:rPr>
        <w:t>乙方</w:t>
      </w:r>
      <w:r>
        <w:rPr>
          <w:rFonts w:hint="eastAsia" w:ascii="宋体" w:hAnsi="Arial" w:cs="Arial" w:eastAsiaTheme="minorEastAsia"/>
          <w:snapToGrid w:val="0"/>
          <w:kern w:val="2"/>
          <w:sz w:val="24"/>
          <w:szCs w:val="21"/>
          <w:lang w:val="en-US" w:eastAsia="zh-CN" w:bidi="ar-SA"/>
        </w:rPr>
        <w:t>保证其提供的服务是技术水平先进、成熟、质量优良、安全可靠、经济运行和易于维护的，质量标准为国家标准及相关行业标准（不同标准之间如有冲突，以较严格者为准）。同时</w:t>
      </w:r>
      <w:r>
        <w:rPr>
          <w:rFonts w:hint="eastAsia" w:ascii="宋体" w:hAnsi="Arial" w:cs="Arial"/>
          <w:snapToGrid w:val="0"/>
          <w:kern w:val="2"/>
          <w:sz w:val="24"/>
          <w:szCs w:val="21"/>
          <w:lang w:val="en-US" w:eastAsia="zh-CN" w:bidi="ar-SA"/>
        </w:rPr>
        <w:t>接受</w:t>
      </w:r>
      <w:r>
        <w:rPr>
          <w:rFonts w:hint="eastAsia" w:ascii="宋体" w:hAnsi="Arial" w:cs="Arial" w:eastAsiaTheme="minorEastAsia"/>
          <w:snapToGrid w:val="0"/>
          <w:kern w:val="2"/>
          <w:sz w:val="24"/>
          <w:szCs w:val="21"/>
          <w:lang w:val="en-US" w:eastAsia="zh-CN" w:bidi="ar-SA"/>
        </w:rPr>
        <w:t>采购人监督，服从不合格项目整改原则，实现闭环。</w:t>
      </w:r>
    </w:p>
    <w:p w14:paraId="54B17490">
      <w:pPr>
        <w:spacing w:line="360" w:lineRule="auto"/>
        <w:ind w:firstLine="480" w:firstLineChars="200"/>
        <w:outlineLvl w:val="0"/>
        <w:rPr>
          <w:rFonts w:hint="eastAsia"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6</w:t>
      </w:r>
      <w:r>
        <w:rPr>
          <w:rFonts w:hint="eastAsia" w:ascii="宋体" w:hAnsi="Arial" w:cs="Arial" w:eastAsiaTheme="minorEastAsia"/>
          <w:snapToGrid w:val="0"/>
          <w:kern w:val="2"/>
          <w:sz w:val="24"/>
          <w:szCs w:val="21"/>
          <w:lang w:val="en-US" w:eastAsia="zh-CN" w:bidi="ar-SA"/>
        </w:rPr>
        <w:t>.</w:t>
      </w:r>
      <w:r>
        <w:rPr>
          <w:rFonts w:hint="eastAsia" w:ascii="宋体" w:hAnsi="Arial" w:cs="Arial"/>
          <w:snapToGrid w:val="0"/>
          <w:kern w:val="2"/>
          <w:sz w:val="24"/>
          <w:szCs w:val="21"/>
          <w:lang w:val="en-US" w:eastAsia="zh-CN" w:bidi="ar-SA"/>
        </w:rPr>
        <w:t>乙方</w:t>
      </w:r>
      <w:r>
        <w:rPr>
          <w:rFonts w:hint="eastAsia" w:ascii="宋体" w:hAnsi="Arial" w:cs="Arial" w:eastAsiaTheme="minorEastAsia"/>
          <w:snapToGrid w:val="0"/>
          <w:kern w:val="2"/>
          <w:sz w:val="24"/>
          <w:szCs w:val="21"/>
          <w:lang w:val="en-US" w:eastAsia="zh-CN" w:bidi="ar-SA"/>
        </w:rPr>
        <w:t>应满足采购人的现场管理制度要求，遵守国家、行业、地方法律法规，不得违章作业，出现任何人员安全事故由</w:t>
      </w:r>
      <w:r>
        <w:rPr>
          <w:rFonts w:hint="eastAsia" w:ascii="宋体" w:hAnsi="Arial" w:cs="Arial"/>
          <w:snapToGrid w:val="0"/>
          <w:kern w:val="2"/>
          <w:sz w:val="24"/>
          <w:szCs w:val="21"/>
          <w:lang w:val="en-US" w:eastAsia="zh-CN" w:bidi="ar-SA"/>
        </w:rPr>
        <w:t>乙方</w:t>
      </w:r>
      <w:r>
        <w:rPr>
          <w:rFonts w:hint="eastAsia" w:ascii="宋体" w:hAnsi="Arial" w:cs="Arial" w:eastAsiaTheme="minorEastAsia"/>
          <w:snapToGrid w:val="0"/>
          <w:kern w:val="2"/>
          <w:sz w:val="24"/>
          <w:szCs w:val="21"/>
          <w:lang w:val="en-US" w:eastAsia="zh-CN" w:bidi="ar-SA"/>
        </w:rPr>
        <w:t>自行承担。</w:t>
      </w:r>
    </w:p>
    <w:p w14:paraId="44FABFAA">
      <w:pPr>
        <w:spacing w:line="360" w:lineRule="auto"/>
        <w:ind w:firstLine="480" w:firstLineChars="200"/>
        <w:outlineLvl w:val="0"/>
        <w:rPr>
          <w:rFonts w:hint="eastAsia"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7</w:t>
      </w:r>
      <w:r>
        <w:rPr>
          <w:rFonts w:hint="eastAsia" w:ascii="宋体" w:hAnsi="Arial" w:cs="Arial" w:eastAsiaTheme="minorEastAsia"/>
          <w:snapToGrid w:val="0"/>
          <w:kern w:val="2"/>
          <w:sz w:val="24"/>
          <w:szCs w:val="21"/>
          <w:lang w:val="en-US" w:eastAsia="zh-CN" w:bidi="ar-SA"/>
        </w:rPr>
        <w:t>.</w:t>
      </w:r>
      <w:r>
        <w:rPr>
          <w:rFonts w:hint="eastAsia" w:ascii="宋体" w:hAnsi="Arial" w:cs="Arial"/>
          <w:snapToGrid w:val="0"/>
          <w:kern w:val="2"/>
          <w:sz w:val="24"/>
          <w:szCs w:val="21"/>
          <w:lang w:val="en-US" w:eastAsia="zh-CN" w:bidi="ar-SA"/>
        </w:rPr>
        <w:t>乙方</w:t>
      </w:r>
      <w:r>
        <w:rPr>
          <w:rFonts w:hint="eastAsia" w:ascii="宋体" w:hAnsi="Arial" w:cs="Arial" w:eastAsiaTheme="minorEastAsia"/>
          <w:snapToGrid w:val="0"/>
          <w:kern w:val="2"/>
          <w:sz w:val="24"/>
          <w:szCs w:val="21"/>
          <w:lang w:val="en-US" w:eastAsia="zh-CN" w:bidi="ar-SA"/>
        </w:rPr>
        <w:t>在服务期间自备专用工具和服务人员的所有劳防用品。</w:t>
      </w:r>
    </w:p>
    <w:p w14:paraId="3F9F0581">
      <w:pPr>
        <w:spacing w:line="360" w:lineRule="auto"/>
        <w:ind w:firstLine="480" w:firstLineChars="200"/>
        <w:outlineLvl w:val="0"/>
        <w:rPr>
          <w:rFonts w:hint="eastAsia"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8</w:t>
      </w:r>
      <w:r>
        <w:rPr>
          <w:rFonts w:hint="eastAsia" w:ascii="宋体" w:hAnsi="Arial" w:cs="Arial" w:eastAsiaTheme="minorEastAsia"/>
          <w:snapToGrid w:val="0"/>
          <w:kern w:val="2"/>
          <w:sz w:val="24"/>
          <w:szCs w:val="21"/>
          <w:lang w:val="en-US" w:eastAsia="zh-CN" w:bidi="ar-SA"/>
        </w:rPr>
        <w:t>.清洗效果：</w:t>
      </w:r>
      <w:r>
        <w:rPr>
          <w:rFonts w:hint="eastAsia" w:ascii="宋体" w:hAnsi="Arial" w:cs="Arial"/>
          <w:snapToGrid w:val="0"/>
          <w:kern w:val="2"/>
          <w:sz w:val="24"/>
          <w:szCs w:val="21"/>
          <w:lang w:val="en-US" w:eastAsia="zh-CN" w:bidi="ar-SA"/>
        </w:rPr>
        <w:t>乙方</w:t>
      </w:r>
      <w:r>
        <w:rPr>
          <w:rFonts w:hint="eastAsia" w:ascii="宋体" w:hAnsi="Arial" w:cs="Arial" w:eastAsiaTheme="minorEastAsia"/>
          <w:snapToGrid w:val="0"/>
          <w:kern w:val="2"/>
          <w:sz w:val="24"/>
          <w:szCs w:val="21"/>
          <w:lang w:val="en-US" w:eastAsia="zh-CN" w:bidi="ar-SA"/>
        </w:rPr>
        <w:t>应确保清洗后的循环水系统达到合同约定的清洗效果，包括但不限于清除系统内的污垢、杂质、微生物等，确保系统正常运行，恢复其良好的工作性能。系统运行参数应恢复正常，如流量、压力、温度等符合设计要求。</w:t>
      </w:r>
    </w:p>
    <w:p w14:paraId="7C3D3227">
      <w:pPr>
        <w:spacing w:line="360" w:lineRule="auto"/>
        <w:ind w:firstLine="480" w:firstLineChars="200"/>
        <w:outlineLvl w:val="0"/>
        <w:rPr>
          <w:rFonts w:hint="eastAsia"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9</w:t>
      </w:r>
      <w:r>
        <w:rPr>
          <w:rFonts w:hint="eastAsia" w:ascii="宋体" w:hAnsi="Arial" w:cs="Arial" w:eastAsiaTheme="minorEastAsia"/>
          <w:snapToGrid w:val="0"/>
          <w:kern w:val="2"/>
          <w:sz w:val="24"/>
          <w:szCs w:val="21"/>
          <w:lang w:val="en-US" w:eastAsia="zh-CN" w:bidi="ar-SA"/>
        </w:rPr>
        <w:t>.水质指标要求：清洗后，循环水系统的水质应符合国家相关标准及合同约定的具体水质指标，如浊度、总铁含量、微生物指标等应达到规定范围。</w:t>
      </w:r>
    </w:p>
    <w:p w14:paraId="14FDE3EF">
      <w:pPr>
        <w:spacing w:line="360" w:lineRule="auto"/>
        <w:ind w:firstLine="480" w:firstLineChars="200"/>
        <w:outlineLvl w:val="0"/>
        <w:rPr>
          <w:rFonts w:hint="eastAsia"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10</w:t>
      </w:r>
      <w:r>
        <w:rPr>
          <w:rFonts w:hint="eastAsia" w:ascii="宋体" w:hAnsi="Arial" w:cs="Arial" w:eastAsiaTheme="minorEastAsia"/>
          <w:snapToGrid w:val="0"/>
          <w:kern w:val="2"/>
          <w:sz w:val="24"/>
          <w:szCs w:val="21"/>
          <w:lang w:val="en-US" w:eastAsia="zh-CN" w:bidi="ar-SA"/>
        </w:rPr>
        <w:t>.质量保证：清洗过程中如因</w:t>
      </w:r>
      <w:r>
        <w:rPr>
          <w:rFonts w:hint="eastAsia" w:ascii="宋体" w:hAnsi="Arial" w:cs="Arial"/>
          <w:snapToGrid w:val="0"/>
          <w:kern w:val="2"/>
          <w:sz w:val="24"/>
          <w:szCs w:val="21"/>
          <w:lang w:val="en-US" w:eastAsia="zh-CN" w:bidi="ar-SA"/>
        </w:rPr>
        <w:t>乙方</w:t>
      </w:r>
      <w:r>
        <w:rPr>
          <w:rFonts w:hint="eastAsia" w:ascii="宋体" w:hAnsi="Arial" w:cs="Arial" w:eastAsiaTheme="minorEastAsia"/>
          <w:snapToGrid w:val="0"/>
          <w:kern w:val="2"/>
          <w:sz w:val="24"/>
          <w:szCs w:val="21"/>
          <w:lang w:val="en-US" w:eastAsia="zh-CN" w:bidi="ar-SA"/>
        </w:rPr>
        <w:t>原因导致设备故障或损坏，</w:t>
      </w:r>
      <w:r>
        <w:rPr>
          <w:rFonts w:hint="eastAsia" w:ascii="宋体" w:hAnsi="Arial" w:cs="Arial"/>
          <w:snapToGrid w:val="0"/>
          <w:kern w:val="2"/>
          <w:sz w:val="24"/>
          <w:szCs w:val="21"/>
          <w:lang w:val="en-US" w:eastAsia="zh-CN" w:bidi="ar-SA"/>
        </w:rPr>
        <w:t>乙方</w:t>
      </w:r>
      <w:r>
        <w:rPr>
          <w:rFonts w:hint="eastAsia" w:ascii="宋体" w:hAnsi="Arial" w:cs="Arial" w:eastAsiaTheme="minorEastAsia"/>
          <w:snapToGrid w:val="0"/>
          <w:kern w:val="2"/>
          <w:sz w:val="24"/>
          <w:szCs w:val="21"/>
          <w:lang w:val="en-US" w:eastAsia="zh-CN" w:bidi="ar-SA"/>
        </w:rPr>
        <w:t>应承担相应的修复费用及因故障给采购人造成的直接经济损失</w:t>
      </w:r>
      <w:r>
        <w:rPr>
          <w:rFonts w:hint="eastAsia" w:ascii="宋体" w:hAnsi="Arial" w:cs="Arial"/>
          <w:snapToGrid w:val="0"/>
          <w:kern w:val="2"/>
          <w:sz w:val="24"/>
          <w:szCs w:val="21"/>
          <w:lang w:val="en-US" w:eastAsia="zh-CN" w:bidi="ar-SA"/>
        </w:rPr>
        <w:t>。</w:t>
      </w:r>
    </w:p>
    <w:p w14:paraId="42F55BE7">
      <w:pPr>
        <w:spacing w:line="360" w:lineRule="auto"/>
        <w:ind w:firstLine="480" w:firstLineChars="200"/>
        <w:outlineLvl w:val="0"/>
        <w:rPr>
          <w:rFonts w:hint="eastAsia"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11</w:t>
      </w:r>
      <w:r>
        <w:rPr>
          <w:rFonts w:hint="eastAsia" w:ascii="宋体" w:hAnsi="Arial" w:cs="Arial" w:eastAsiaTheme="minorEastAsia"/>
          <w:snapToGrid w:val="0"/>
          <w:kern w:val="2"/>
          <w:sz w:val="24"/>
          <w:szCs w:val="21"/>
          <w:lang w:val="en-US" w:eastAsia="zh-CN" w:bidi="ar-SA"/>
        </w:rPr>
        <w:t>.技术培训与支持：</w:t>
      </w:r>
      <w:r>
        <w:rPr>
          <w:rFonts w:hint="eastAsia" w:ascii="宋体" w:hAnsi="Arial" w:cs="Arial"/>
          <w:snapToGrid w:val="0"/>
          <w:kern w:val="2"/>
          <w:sz w:val="24"/>
          <w:szCs w:val="21"/>
          <w:lang w:val="en-US" w:eastAsia="zh-CN" w:bidi="ar-SA"/>
        </w:rPr>
        <w:t>乙方</w:t>
      </w:r>
      <w:r>
        <w:rPr>
          <w:rFonts w:hint="eastAsia" w:ascii="宋体" w:hAnsi="Arial" w:cs="Arial" w:eastAsiaTheme="minorEastAsia"/>
          <w:snapToGrid w:val="0"/>
          <w:kern w:val="2"/>
          <w:sz w:val="24"/>
          <w:szCs w:val="21"/>
          <w:lang w:val="en-US" w:eastAsia="zh-CN" w:bidi="ar-SA"/>
        </w:rPr>
        <w:t>应为采购人相关人员提供循环水系统运行、维护等方面提供必要的技术支持，解答采购人在运行过程中遇到的技术问题。</w:t>
      </w:r>
    </w:p>
    <w:p w14:paraId="6B4AA062">
      <w:pPr>
        <w:spacing w:line="360" w:lineRule="auto"/>
        <w:ind w:firstLine="482" w:firstLineChars="200"/>
        <w:outlineLvl w:val="0"/>
        <w:rPr>
          <w:rFonts w:ascii="宋体" w:hAnsi="宋体" w:cs="宋体"/>
          <w:b/>
          <w:sz w:val="24"/>
        </w:rPr>
      </w:pPr>
      <w:r>
        <w:rPr>
          <w:rFonts w:hint="eastAsia" w:ascii="宋体" w:hAnsi="宋体" w:cs="宋体"/>
          <w:b/>
          <w:sz w:val="24"/>
        </w:rPr>
        <w:t>五、检验和验收</w:t>
      </w:r>
      <w:bookmarkEnd w:id="405"/>
      <w:bookmarkEnd w:id="406"/>
      <w:bookmarkEnd w:id="407"/>
    </w:p>
    <w:p w14:paraId="2834D33A">
      <w:pPr>
        <w:keepNext w:val="0"/>
        <w:keepLines w:val="0"/>
        <w:widowControl/>
        <w:suppressLineNumbers w:val="0"/>
        <w:spacing w:line="360" w:lineRule="auto"/>
        <w:ind w:firstLine="480" w:firstLineChars="200"/>
        <w:jc w:val="left"/>
        <w:rPr>
          <w:rFonts w:hint="default" w:ascii="宋体" w:hAnsi="宋体" w:eastAsia="宋体" w:cs="宋体"/>
          <w:snapToGrid w:val="0"/>
          <w:color w:val="0000FF"/>
          <w:kern w:val="0"/>
          <w:sz w:val="24"/>
          <w:szCs w:val="24"/>
          <w:highlight w:val="none"/>
          <w:lang w:val="en-US" w:eastAsia="zh-CN" w:bidi="ar"/>
        </w:rPr>
      </w:pPr>
      <w:r>
        <w:rPr>
          <w:rFonts w:hint="eastAsia" w:ascii="宋体" w:hAnsi="宋体" w:eastAsia="宋体" w:cs="宋体"/>
          <w:snapToGrid w:val="0"/>
          <w:color w:val="0000FF"/>
          <w:kern w:val="0"/>
          <w:sz w:val="24"/>
          <w:szCs w:val="24"/>
          <w:highlight w:val="none"/>
          <w:lang w:val="en-US" w:eastAsia="zh-CN" w:bidi="ar"/>
        </w:rPr>
        <w:t>1.甲方有权对乙方的化学清洗药剂进行验收，如甲方评估后药剂对设备腐蚀副作用过大，乙方须及时调换药剂，但需要保证清洗效果。</w:t>
      </w:r>
    </w:p>
    <w:p w14:paraId="4B6B5413">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 xml:space="preserve">2.化学清洗：除垢率大于 75%，漂洗完毕水质要求清澈，浊度小于 20NTU，总 铁&lt;1mg/L。清洗过程中需在系统内取适量水垢（200g）置于5微米精度的过滤袋内，悬挂于系统合适的位置，在清洗完成后，称量剩余水垢，计算除垢率。清洗过程中监测挂片（20#碳钢）腐蚀速率不得大于3g/(㎡·h）。不锈钢、铜材试片的腐蚀速率&lt;0.5 g/(㎡·h）。  </w:t>
      </w:r>
    </w:p>
    <w:p w14:paraId="0B908942">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3.化学镀膜：镀膜后的挂片使用硫酸铜溶液滴定，显色时间&gt;10 秒。</w:t>
      </w:r>
    </w:p>
    <w:p w14:paraId="2A389DCA">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highlight w:val="yellow"/>
          <w:lang w:val="en-US" w:eastAsia="zh-CN" w:bidi="ar"/>
        </w:rPr>
      </w:pPr>
      <w:r>
        <w:rPr>
          <w:rFonts w:hint="eastAsia" w:ascii="宋体" w:hAnsi="宋体" w:eastAsia="宋体" w:cs="宋体"/>
          <w:snapToGrid w:val="0"/>
          <w:color w:val="000000"/>
          <w:kern w:val="0"/>
          <w:sz w:val="24"/>
          <w:szCs w:val="24"/>
          <w:highlight w:val="none"/>
          <w:lang w:val="en-US" w:eastAsia="zh-CN" w:bidi="ar"/>
        </w:rPr>
        <w:t>4.冷却塔填料上锈蚀、微生物粘泥等附着物需彻底清除，填料表面应显露本色，无残留物或明显污渍。</w:t>
      </w:r>
    </w:p>
    <w:p w14:paraId="58F0DE01">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5.清洗后系统内金属部件无损坏或变形。</w:t>
      </w:r>
    </w:p>
    <w:p w14:paraId="31F01A29">
      <w:pPr>
        <w:keepNext w:val="0"/>
        <w:keepLines w:val="0"/>
        <w:widowControl/>
        <w:suppressLineNumbers w:val="0"/>
        <w:spacing w:line="360" w:lineRule="auto"/>
        <w:ind w:firstLine="480" w:firstLineChars="200"/>
        <w:jc w:val="left"/>
        <w:rPr>
          <w:rFonts w:hint="eastAsia" w:ascii="宋体" w:hAnsi="宋体" w:eastAsia="宋体" w:cs="宋体"/>
          <w:b w:val="0"/>
          <w:bCs w:val="0"/>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6.</w:t>
      </w:r>
      <w:r>
        <w:rPr>
          <w:rFonts w:hint="eastAsia" w:ascii="宋体" w:hAnsi="宋体" w:eastAsia="宋体" w:cs="宋体"/>
          <w:b w:val="0"/>
          <w:bCs w:val="0"/>
          <w:snapToGrid w:val="0"/>
          <w:color w:val="000000"/>
          <w:kern w:val="0"/>
          <w:sz w:val="24"/>
          <w:szCs w:val="24"/>
          <w:highlight w:val="none"/>
          <w:lang w:val="en-US" w:eastAsia="zh-CN" w:bidi="ar"/>
        </w:rPr>
        <w:t>乙方应在清洗工作完成后，向甲方提供详细的清洗报告，包括清洗前后的系统状况、污垢分析、清洗效果评估等内容。清洗完成，双方共同进行验收；如验收不合格，乙方应按照甲方要求限期整改，直至达到验收标准，整改费用由乙方承担。</w:t>
      </w:r>
    </w:p>
    <w:p w14:paraId="4348080A">
      <w:pPr>
        <w:pStyle w:val="6"/>
        <w:ind w:firstLine="482" w:firstLineChars="200"/>
        <w:rPr>
          <w:rFonts w:hAnsi="宋体"/>
          <w:b/>
        </w:rPr>
      </w:pPr>
      <w:r>
        <w:rPr>
          <w:rFonts w:hint="eastAsia" w:hAnsi="宋体"/>
          <w:b/>
        </w:rPr>
        <w:t>六、验收特别约定条款</w:t>
      </w:r>
    </w:p>
    <w:p w14:paraId="2A36C918">
      <w:pPr>
        <w:tabs>
          <w:tab w:val="left" w:pos="360"/>
          <w:tab w:val="left" w:pos="540"/>
          <w:tab w:val="left" w:pos="1080"/>
        </w:tabs>
        <w:spacing w:line="360" w:lineRule="auto"/>
        <w:ind w:firstLine="480" w:firstLineChars="200"/>
        <w:rPr>
          <w:rFonts w:ascii="宋体" w:hAnsi="宋体" w:cs="宋体"/>
          <w:sz w:val="24"/>
          <w:u w:val="single"/>
        </w:rPr>
      </w:pPr>
      <w:r>
        <w:rPr>
          <w:rFonts w:ascii="宋体" w:hAnsi="宋体" w:cs="宋体"/>
          <w:sz w:val="24"/>
        </w:rPr>
        <w:t>1.</w:t>
      </w:r>
      <w:r>
        <w:rPr>
          <w:rFonts w:hint="eastAsia" w:ascii="宋体" w:hAnsi="宋体" w:cs="宋体"/>
          <w:sz w:val="24"/>
          <w:u w:val="single"/>
        </w:rPr>
        <w:t xml:space="preserve">     /     </w:t>
      </w:r>
      <w:r>
        <w:rPr>
          <w:rFonts w:hint="eastAsia" w:ascii="宋体" w:hAnsi="宋体" w:cs="宋体"/>
          <w:sz w:val="24"/>
          <w:u w:val="single"/>
          <w:lang w:eastAsia="zh-CN"/>
        </w:rPr>
        <w:t>.</w:t>
      </w:r>
    </w:p>
    <w:p w14:paraId="0FB1432F">
      <w:pPr>
        <w:pStyle w:val="26"/>
        <w:spacing w:before="0" w:beforeAutospacing="0" w:after="0" w:afterAutospacing="0" w:line="360" w:lineRule="auto"/>
        <w:ind w:firstLine="480"/>
        <w:rPr>
          <w:b/>
        </w:rPr>
      </w:pPr>
      <w:r>
        <w:rPr>
          <w:rFonts w:hint="eastAsia"/>
          <w:b/>
        </w:rPr>
        <w:t>七、履约保证金</w:t>
      </w:r>
    </w:p>
    <w:p w14:paraId="3C314F76">
      <w:pPr>
        <w:pStyle w:val="26"/>
        <w:spacing w:before="0" w:beforeAutospacing="0" w:after="0" w:afterAutospacing="0" w:line="360" w:lineRule="auto"/>
        <w:ind w:firstLine="480"/>
      </w:pPr>
      <w:r>
        <w:rPr>
          <w:rFonts w:hint="eastAsia"/>
        </w:rPr>
        <w:t>乙方</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3442C204">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b/>
          <w:bCs/>
          <w:i/>
          <w:iCs/>
          <w:kern w:val="0"/>
          <w:sz w:val="24"/>
          <w:u w:val="single"/>
        </w:rPr>
        <w:t xml:space="preserve">5 </w:t>
      </w:r>
      <w:r>
        <w:rPr>
          <w:rFonts w:hint="eastAsia" w:ascii="宋体" w:hAnsi="宋体" w:cs="宋体"/>
          <w:kern w:val="0"/>
          <w:sz w:val="24"/>
        </w:rPr>
        <w:t>%，金额为</w:t>
      </w:r>
      <w:r>
        <w:rPr>
          <w:rFonts w:hint="eastAsia" w:ascii="宋体" w:hAnsi="宋体" w:cs="宋体"/>
          <w:sz w:val="24"/>
          <w:u w:val="single"/>
        </w:rPr>
        <w:t xml:space="preserve">  </w:t>
      </w:r>
      <w:r>
        <w:rPr>
          <w:rFonts w:hint="eastAsia" w:ascii="宋体" w:hAnsi="宋体" w:cs="宋体"/>
          <w:kern w:val="0"/>
          <w:sz w:val="24"/>
        </w:rPr>
        <w:t>元；</w:t>
      </w:r>
    </w:p>
    <w:p w14:paraId="4F109855">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2.履约保证金支付时间：乙方应于本合同签订前按采购文件和本合同约定的支付履约保证金；</w:t>
      </w:r>
    </w:p>
    <w:p w14:paraId="0D5BDBEB">
      <w:pPr>
        <w:spacing w:line="360" w:lineRule="auto"/>
        <w:ind w:firstLine="480" w:firstLineChars="200"/>
        <w:outlineLvl w:val="0"/>
        <w:rPr>
          <w:rFonts w:ascii="宋体" w:hAnsi="宋体" w:cs="宋体"/>
          <w:kern w:val="0"/>
          <w:sz w:val="24"/>
        </w:rPr>
      </w:pPr>
      <w:r>
        <w:rPr>
          <w:rFonts w:hint="eastAsia" w:ascii="宋体" w:hAnsi="宋体" w:cs="宋体"/>
          <w:kern w:val="0"/>
          <w:sz w:val="24"/>
        </w:rPr>
        <w:t>3.履约保证金支付方式： 电汇/转账 ；账户信息如下：</w:t>
      </w:r>
    </w:p>
    <w:p w14:paraId="3383AD5D">
      <w:pPr>
        <w:spacing w:line="360" w:lineRule="auto"/>
        <w:ind w:firstLine="480" w:firstLineChars="200"/>
        <w:outlineLvl w:val="0"/>
        <w:rPr>
          <w:rFonts w:ascii="宋体" w:hAnsi="宋体" w:cs="宋体"/>
          <w:kern w:val="0"/>
          <w:sz w:val="24"/>
        </w:rPr>
      </w:pPr>
      <w:r>
        <w:rPr>
          <w:rFonts w:hint="eastAsia" w:ascii="宋体" w:hAnsi="宋体" w:cs="宋体"/>
          <w:kern w:val="0"/>
          <w:sz w:val="24"/>
        </w:rPr>
        <w:t xml:space="preserve">名称：杭州临江环境能源有限公司   </w:t>
      </w:r>
    </w:p>
    <w:p w14:paraId="0EFCA0DB">
      <w:pPr>
        <w:spacing w:line="360" w:lineRule="auto"/>
        <w:ind w:firstLine="480" w:firstLineChars="200"/>
        <w:outlineLvl w:val="0"/>
        <w:rPr>
          <w:rFonts w:ascii="宋体" w:hAnsi="宋体" w:cs="宋体"/>
          <w:kern w:val="0"/>
          <w:sz w:val="24"/>
        </w:rPr>
      </w:pPr>
      <w:r>
        <w:rPr>
          <w:rFonts w:hint="eastAsia" w:ascii="宋体" w:hAnsi="宋体" w:cs="宋体"/>
          <w:kern w:val="0"/>
          <w:sz w:val="24"/>
        </w:rPr>
        <w:t>税号：91330100MA2B02NX2L</w:t>
      </w:r>
    </w:p>
    <w:p w14:paraId="33C90E4F">
      <w:pPr>
        <w:spacing w:line="360" w:lineRule="auto"/>
        <w:ind w:firstLine="480" w:firstLineChars="200"/>
        <w:outlineLvl w:val="0"/>
        <w:rPr>
          <w:rFonts w:ascii="宋体" w:hAnsi="宋体" w:cs="宋体"/>
          <w:kern w:val="0"/>
          <w:sz w:val="24"/>
        </w:rPr>
      </w:pPr>
      <w:r>
        <w:rPr>
          <w:rFonts w:hint="eastAsia" w:ascii="宋体" w:hAnsi="宋体" w:cs="宋体"/>
          <w:kern w:val="0"/>
          <w:sz w:val="24"/>
        </w:rPr>
        <w:t>地址电话：浙江省杭州市钱塘区临江街道红十五路10388-123号 0571-81997919</w:t>
      </w:r>
    </w:p>
    <w:p w14:paraId="34E3FD32">
      <w:pPr>
        <w:spacing w:line="360" w:lineRule="auto"/>
        <w:ind w:firstLine="480" w:firstLineChars="200"/>
        <w:outlineLvl w:val="0"/>
        <w:rPr>
          <w:rFonts w:ascii="宋体" w:hAnsi="宋体" w:cs="宋体"/>
          <w:kern w:val="0"/>
          <w:sz w:val="24"/>
        </w:rPr>
      </w:pPr>
      <w:r>
        <w:rPr>
          <w:rFonts w:hint="eastAsia" w:ascii="宋体" w:hAnsi="宋体" w:cs="宋体"/>
          <w:kern w:val="0"/>
          <w:sz w:val="24"/>
        </w:rPr>
        <w:t>开户行及账号：杭州银行大江东支行 3301040160008775754</w:t>
      </w:r>
    </w:p>
    <w:p w14:paraId="5F0A352E">
      <w:pPr>
        <w:spacing w:line="360" w:lineRule="auto"/>
        <w:ind w:left="479" w:leftChars="228"/>
        <w:outlineLvl w:val="0"/>
        <w:rPr>
          <w:rFonts w:ascii="宋体" w:hAnsi="宋体" w:eastAsia="宋体" w:cs="宋体"/>
          <w:kern w:val="0"/>
          <w:sz w:val="24"/>
        </w:rPr>
      </w:pPr>
      <w:r>
        <w:rPr>
          <w:rFonts w:hint="eastAsia" w:ascii="宋体" w:hAnsi="宋体" w:eastAsia="宋体" w:cs="宋体"/>
          <w:kern w:val="0"/>
          <w:sz w:val="24"/>
        </w:rPr>
        <w:t>4.如果乙方完全不履行合同或未全面履行合同义务，履约保证金不予退还。</w:t>
      </w:r>
    </w:p>
    <w:p w14:paraId="09E287A5">
      <w:pPr>
        <w:spacing w:line="360" w:lineRule="auto"/>
        <w:ind w:firstLine="480" w:firstLineChars="200"/>
        <w:rPr>
          <w:rFonts w:ascii="宋体" w:hAnsi="宋体"/>
          <w:sz w:val="24"/>
        </w:rPr>
      </w:pPr>
      <w:r>
        <w:rPr>
          <w:rFonts w:hint="eastAsia" w:ascii="宋体" w:hAnsi="宋体"/>
          <w:sz w:val="24"/>
        </w:rPr>
        <w:t>5.甲方</w:t>
      </w:r>
      <w:r>
        <w:rPr>
          <w:rFonts w:hint="eastAsia" w:ascii="宋体" w:hAnsi="宋体" w:eastAsia="宋体" w:cs="宋体"/>
          <w:kern w:val="0"/>
          <w:sz w:val="24"/>
        </w:rPr>
        <w:t>在</w:t>
      </w:r>
      <w:r>
        <w:rPr>
          <w:rFonts w:hint="eastAsia" w:ascii="宋体" w:hAnsi="宋体" w:eastAsia="宋体" w:cs="宋体"/>
          <w:kern w:val="0"/>
          <w:sz w:val="24"/>
          <w:u w:val="single"/>
        </w:rPr>
        <w:t>服务</w:t>
      </w:r>
      <w:r>
        <w:rPr>
          <w:rFonts w:hint="eastAsia" w:ascii="宋体" w:hAnsi="宋体" w:eastAsia="宋体" w:cs="宋体"/>
          <w:kern w:val="0"/>
          <w:sz w:val="24"/>
          <w:u w:val="single"/>
          <w:lang w:val="en-US" w:eastAsia="zh-CN"/>
        </w:rPr>
        <w:t>验收合格</w:t>
      </w:r>
      <w:r>
        <w:rPr>
          <w:rFonts w:hint="eastAsia" w:ascii="宋体" w:hAnsi="宋体" w:eastAsia="宋体" w:cs="宋体"/>
          <w:kern w:val="0"/>
          <w:sz w:val="24"/>
          <w:u w:val="single"/>
        </w:rPr>
        <w:t>后并</w:t>
      </w:r>
      <w:r>
        <w:rPr>
          <w:rFonts w:hint="eastAsia" w:ascii="宋体" w:hAnsi="宋体" w:eastAsia="宋体" w:cs="宋体"/>
          <w:kern w:val="0"/>
          <w:sz w:val="24"/>
        </w:rPr>
        <w:t>收到</w:t>
      </w:r>
      <w:r>
        <w:rPr>
          <w:rFonts w:hint="eastAsia" w:ascii="宋体" w:hAnsi="宋体" w:cs="宋体"/>
          <w:kern w:val="0"/>
          <w:sz w:val="24"/>
        </w:rPr>
        <w:t>履约保证金退还申请书原件后</w:t>
      </w:r>
      <w:r>
        <w:rPr>
          <w:rFonts w:hint="eastAsia" w:ascii="宋体" w:hAnsi="宋体"/>
          <w:sz w:val="24"/>
        </w:rPr>
        <w:t>及时退还履约保证金。甲方在项目通过验收之日起 30个工作日内将履约保证金无息退还乙方。</w:t>
      </w:r>
    </w:p>
    <w:p w14:paraId="0F3F79DF">
      <w:pPr>
        <w:spacing w:line="360" w:lineRule="auto"/>
        <w:ind w:firstLine="480" w:firstLineChars="200"/>
        <w:outlineLvl w:val="0"/>
      </w:pPr>
      <w:r>
        <w:rPr>
          <w:rFonts w:hint="eastAsia" w:ascii="宋体" w:hAnsi="宋体"/>
          <w:sz w:val="24"/>
        </w:rPr>
        <w:t>6.</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397"/>
    <w:bookmarkEnd w:id="398"/>
    <w:bookmarkEnd w:id="399"/>
    <w:p w14:paraId="10047A6B">
      <w:pPr>
        <w:spacing w:line="360" w:lineRule="auto"/>
        <w:ind w:firstLine="482" w:firstLineChars="200"/>
        <w:outlineLvl w:val="0"/>
        <w:rPr>
          <w:rFonts w:ascii="宋体" w:hAnsi="宋体" w:cs="宋体"/>
          <w:b/>
          <w:sz w:val="24"/>
        </w:rPr>
      </w:pPr>
      <w:r>
        <w:rPr>
          <w:rFonts w:hint="eastAsia" w:ascii="宋体" w:hAnsi="宋体" w:cs="宋体"/>
          <w:b/>
          <w:sz w:val="24"/>
        </w:rPr>
        <w:t>八、预付款</w:t>
      </w:r>
    </w:p>
    <w:p w14:paraId="5DCACAC6">
      <w:pPr>
        <w:pStyle w:val="26"/>
        <w:spacing w:before="0" w:beforeAutospacing="0" w:after="0" w:afterAutospacing="0" w:line="360" w:lineRule="auto"/>
        <w:ind w:firstLine="480"/>
      </w:pPr>
      <w:r>
        <w:rPr>
          <w:rFonts w:hint="eastAsia"/>
        </w:rPr>
        <w:t>甲方</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70E6E766">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671A0E08">
      <w:pPr>
        <w:pStyle w:val="26"/>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107F000B">
      <w:pPr>
        <w:pStyle w:val="26"/>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229C192F">
      <w:pPr>
        <w:pStyle w:val="26"/>
        <w:spacing w:before="0" w:beforeAutospacing="0" w:after="0" w:afterAutospacing="0" w:line="360" w:lineRule="auto"/>
        <w:ind w:firstLine="480"/>
        <w:rPr>
          <w:b/>
          <w:bCs/>
        </w:rPr>
      </w:pPr>
      <w:r>
        <w:rPr>
          <w:rFonts w:hint="eastAsia"/>
          <w:b/>
          <w:bCs/>
        </w:rPr>
        <w:t>九、资金支付</w:t>
      </w:r>
    </w:p>
    <w:p w14:paraId="439CEF29">
      <w:pPr>
        <w:pStyle w:val="26"/>
        <w:spacing w:before="0" w:beforeAutospacing="0" w:after="0" w:afterAutospacing="0" w:line="360" w:lineRule="auto"/>
        <w:ind w:firstLine="480"/>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w:t>
      </w:r>
      <w:r>
        <w:rPr>
          <w:rFonts w:hint="eastAsia"/>
          <w:b/>
          <w:bCs/>
        </w:rPr>
        <w:t>若支付金额中需要扣除违约金的，乙方需开具全额发票。甲方支付扣除违约金后的金额，甲方向乙方提供违约金收据。</w:t>
      </w:r>
      <w:r>
        <w:rPr>
          <w:rFonts w:hint="eastAsia"/>
        </w:rPr>
        <w:t>如乙方提供的发票存在问题，甲方有权延迟付款且不承担任何责任。</w:t>
      </w:r>
    </w:p>
    <w:p w14:paraId="26C5CD33">
      <w:pPr>
        <w:pStyle w:val="26"/>
        <w:spacing w:before="0" w:beforeAutospacing="0" w:after="0" w:afterAutospacing="0" w:line="360" w:lineRule="auto"/>
        <w:ind w:firstLine="480"/>
      </w:pPr>
      <w:r>
        <w:rPr>
          <w:rFonts w:hint="eastAsia"/>
        </w:rPr>
        <w:t>2.本合同质保期限：</w:t>
      </w:r>
      <w:r>
        <w:rPr>
          <w:rFonts w:hint="eastAsia"/>
          <w:u w:val="single"/>
          <w:lang w:val="en-US" w:eastAsia="zh-CN"/>
        </w:rPr>
        <w:t>无</w:t>
      </w:r>
      <w:r>
        <w:rPr>
          <w:rFonts w:hint="eastAsia"/>
        </w:rPr>
        <w:t>。</w:t>
      </w:r>
    </w:p>
    <w:p w14:paraId="0CF69288">
      <w:pPr>
        <w:pStyle w:val="26"/>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（1） </w:t>
      </w:r>
      <w:r>
        <w:rPr>
          <w:rFonts w:hint="eastAsia"/>
        </w:rPr>
        <w:t>条款规定：</w:t>
      </w:r>
    </w:p>
    <w:p w14:paraId="3249431D">
      <w:pPr>
        <w:pStyle w:val="26"/>
        <w:spacing w:before="0" w:beforeAutospacing="0" w:after="0" w:afterAutospacing="0" w:line="360" w:lineRule="auto"/>
        <w:ind w:firstLine="480" w:firstLineChars="200"/>
      </w:pPr>
      <w:r>
        <w:rPr>
          <w:rFonts w:hint="eastAsia"/>
          <w:u w:val="single"/>
        </w:rPr>
        <w:t>（1） 一次性付款，经甲方验收合格后，甲方收到乙方提供的增值税专用发票后，甲方在本合同约定时间内完成支付。</w:t>
      </w:r>
    </w:p>
    <w:p w14:paraId="509C5E70">
      <w:pPr>
        <w:spacing w:line="360" w:lineRule="auto"/>
        <w:ind w:firstLine="482" w:firstLineChars="200"/>
        <w:rPr>
          <w:rFonts w:ascii="宋体" w:hAnsi="宋体"/>
          <w:sz w:val="24"/>
          <w:u w:val="single"/>
        </w:rPr>
      </w:pPr>
      <w:r>
        <w:rPr>
          <w:rFonts w:hint="eastAsia" w:ascii="宋体" w:hAnsi="宋体"/>
          <w:b/>
          <w:sz w:val="24"/>
        </w:rPr>
        <w:t>十、</w:t>
      </w:r>
      <w:bookmarkEnd w:id="400"/>
      <w:bookmarkEnd w:id="401"/>
      <w:bookmarkEnd w:id="402"/>
      <w:bookmarkEnd w:id="403"/>
      <w:bookmarkEnd w:id="404"/>
      <w:bookmarkStart w:id="408" w:name="_Toc3079"/>
      <w:bookmarkStart w:id="409" w:name="_Toc8586"/>
      <w:bookmarkStart w:id="410" w:name="_Toc24662"/>
      <w:bookmarkStart w:id="411" w:name="_Toc2375"/>
      <w:bookmarkStart w:id="412" w:name="_Toc5698"/>
      <w:r>
        <w:rPr>
          <w:rFonts w:hint="eastAsia" w:ascii="宋体" w:hAnsi="宋体"/>
          <w:b/>
          <w:sz w:val="24"/>
        </w:rPr>
        <w:t>违约责任</w:t>
      </w:r>
      <w:bookmarkEnd w:id="408"/>
      <w:bookmarkEnd w:id="409"/>
      <w:bookmarkEnd w:id="410"/>
      <w:bookmarkEnd w:id="411"/>
      <w:bookmarkEnd w:id="412"/>
    </w:p>
    <w:p w14:paraId="29051F6F">
      <w:pPr>
        <w:spacing w:line="360" w:lineRule="auto"/>
        <w:ind w:firstLine="480" w:firstLineChars="200"/>
        <w:rPr>
          <w:rFonts w:ascii="宋体" w:hAnsi="宋体" w:cs="宋体"/>
          <w:sz w:val="24"/>
        </w:rPr>
      </w:pPr>
      <w:r>
        <w:rPr>
          <w:rFonts w:hint="eastAsia" w:ascii="宋体" w:hAnsi="宋体" w:cs="宋体"/>
          <w:sz w:val="24"/>
        </w:rPr>
        <w:t>1.对于验收不合格的货物，双方按照以下方式处理：</w:t>
      </w:r>
    </w:p>
    <w:p w14:paraId="2F45BEA6">
      <w:pPr>
        <w:spacing w:line="360" w:lineRule="auto"/>
        <w:ind w:firstLine="480" w:firstLineChars="200"/>
        <w:rPr>
          <w:rFonts w:ascii="宋体" w:hAnsi="宋体" w:eastAsia="宋体" w:cs="宋体"/>
          <w:sz w:val="24"/>
        </w:rPr>
      </w:pPr>
      <w:r>
        <w:rPr>
          <w:rFonts w:hint="eastAsia" w:ascii="宋体" w:hAnsi="宋体" w:cs="宋体"/>
          <w:sz w:val="24"/>
        </w:rPr>
        <w:t>甲方尚未使用的，乙方应当</w:t>
      </w:r>
      <w:r>
        <w:rPr>
          <w:rFonts w:hint="eastAsia" w:ascii="宋体" w:hAnsi="宋体" w:cs="宋体"/>
          <w:sz w:val="24"/>
          <w:u w:val="single"/>
        </w:rPr>
        <w:t>在5个工作</w:t>
      </w:r>
      <w:r>
        <w:rPr>
          <w:rFonts w:hint="eastAsia" w:ascii="宋体" w:hAnsi="宋体" w:cs="宋体"/>
          <w:sz w:val="24"/>
        </w:rPr>
        <w:t>日自费取回，未取回的甲方有权在履约保证金或者应付乙方款项中视情形收取场地费（如需收取按200元/天收取场地费），同时甲方不负有保管责任。同时乙方应无条件在</w:t>
      </w:r>
      <w:r>
        <w:rPr>
          <w:rFonts w:hint="eastAsia" w:ascii="宋体" w:hAnsi="宋体" w:cs="宋体"/>
          <w:b/>
          <w:bCs/>
          <w:sz w:val="24"/>
          <w:u w:val="single"/>
        </w:rPr>
        <w:t>5个工作日</w:t>
      </w:r>
      <w:r>
        <w:rPr>
          <w:rFonts w:hint="eastAsia" w:ascii="宋体" w:hAnsi="宋体" w:cs="宋体"/>
          <w:sz w:val="24"/>
        </w:rPr>
        <w:t>内更换合格的货物至甲方，由此产生的运输费、装卸费等一切费用由乙方承担。如乙方拒绝或逾期更换的，视同逾期交货，应承担逾期交货责任。在乙方更换后的货物验收合格前，相应货款暂不予支付。</w:t>
      </w:r>
    </w:p>
    <w:p w14:paraId="4FB34540">
      <w:pPr>
        <w:spacing w:line="360" w:lineRule="auto"/>
        <w:ind w:firstLine="480" w:firstLineChars="200"/>
        <w:rPr>
          <w:rFonts w:ascii="宋体" w:hAnsi="宋体"/>
          <w:sz w:val="24"/>
        </w:rPr>
      </w:pPr>
      <w:r>
        <w:rPr>
          <w:rFonts w:hint="eastAsia" w:ascii="宋体" w:hAnsi="宋体" w:cs="宋体"/>
          <w:sz w:val="24"/>
        </w:rPr>
        <w:t>为免争议，乙方确认其已明确知晓本合同下货物系用于</w:t>
      </w:r>
      <w:r>
        <w:rPr>
          <w:rFonts w:hint="eastAsia" w:ascii="宋体" w:hAnsi="宋体" w:cs="宋体"/>
          <w:sz w:val="24"/>
          <w:u w:val="single"/>
        </w:rPr>
        <w:t xml:space="preserve"> </w:t>
      </w:r>
      <w:r>
        <w:rPr>
          <w:rFonts w:hint="eastAsia" w:ascii="宋体" w:hAnsi="宋体" w:cs="宋体"/>
          <w:color w:val="0000FF"/>
          <w:sz w:val="24"/>
          <w:u w:val="single"/>
          <w:lang w:val="en-US" w:eastAsia="zh-CN"/>
        </w:rPr>
        <w:t xml:space="preserve">循环水系统 </w:t>
      </w:r>
      <w:r>
        <w:rPr>
          <w:rFonts w:hint="eastAsia" w:ascii="宋体" w:hAnsi="宋体" w:cs="宋体"/>
          <w:sz w:val="24"/>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4AB482AF">
      <w:pPr>
        <w:spacing w:line="360" w:lineRule="auto"/>
        <w:ind w:firstLine="480" w:firstLineChars="200"/>
        <w:rPr>
          <w:rFonts w:ascii="宋体" w:hAnsi="宋体" w:eastAsia="宋体" w:cs="宋体"/>
          <w:sz w:val="24"/>
        </w:rPr>
      </w:pPr>
      <w:r>
        <w:rPr>
          <w:rFonts w:hint="eastAsia" w:ascii="宋体" w:hAnsi="宋体"/>
          <w:sz w:val="24"/>
        </w:rPr>
        <w:t>2.</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w:t>
      </w:r>
      <w:r>
        <w:rPr>
          <w:rFonts w:hint="eastAsia" w:ascii="宋体" w:hAnsi="宋体" w:cs="宋体"/>
          <w:sz w:val="24"/>
        </w:rPr>
        <w:t>合同未完成部分的总金额</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w:t>
      </w:r>
      <w:r>
        <w:rPr>
          <w:rFonts w:ascii="宋体" w:hAnsi="宋体"/>
          <w:sz w:val="24"/>
        </w:rPr>
        <w:t>迟延</w:t>
      </w:r>
      <w:r>
        <w:rPr>
          <w:rFonts w:hint="eastAsia" w:ascii="宋体" w:hAnsi="宋体"/>
          <w:sz w:val="24"/>
        </w:rPr>
        <w:t>履行达到15天</w:t>
      </w:r>
      <w:r>
        <w:rPr>
          <w:rFonts w:ascii="宋体" w:hAnsi="宋体"/>
          <w:sz w:val="24"/>
        </w:rPr>
        <w:t>的</w:t>
      </w:r>
      <w:r>
        <w:rPr>
          <w:rFonts w:hint="eastAsia" w:ascii="宋体" w:hAnsi="宋体"/>
          <w:sz w:val="24"/>
        </w:rPr>
        <w:t>，</w:t>
      </w:r>
      <w:r>
        <w:rPr>
          <w:rFonts w:ascii="宋体" w:hAnsi="宋体"/>
          <w:sz w:val="24"/>
        </w:rPr>
        <w:t>甲方有权</w:t>
      </w:r>
      <w:r>
        <w:rPr>
          <w:rFonts w:hint="eastAsia" w:ascii="宋体" w:hAnsi="宋体"/>
          <w:sz w:val="24"/>
        </w:rPr>
        <w:t>单方</w:t>
      </w:r>
      <w:r>
        <w:rPr>
          <w:rFonts w:ascii="宋体" w:hAnsi="宋体"/>
          <w:sz w:val="24"/>
        </w:rPr>
        <w:t>解除本合同</w:t>
      </w:r>
      <w:r>
        <w:rPr>
          <w:rFonts w:hint="eastAsia" w:ascii="宋体" w:hAnsi="宋体"/>
          <w:sz w:val="24"/>
        </w:rPr>
        <w:t>，并要求乙方一次性承担</w:t>
      </w:r>
      <w:r>
        <w:rPr>
          <w:rFonts w:hint="eastAsia" w:ascii="宋体" w:hAnsi="宋体"/>
          <w:sz w:val="24"/>
          <w:u w:val="single"/>
        </w:rPr>
        <w:t>（□本合同累计已发生金额/□合同约定总金额/☑</w:t>
      </w:r>
      <w:r>
        <w:rPr>
          <w:rFonts w:hint="eastAsia" w:ascii="宋体" w:hAnsi="宋体" w:cs="宋体"/>
          <w:sz w:val="24"/>
          <w:u w:val="single"/>
        </w:rPr>
        <w:t>合同未完成部分的总金额</w:t>
      </w:r>
      <w:r>
        <w:rPr>
          <w:rFonts w:hint="eastAsia" w:ascii="宋体" w:hAnsi="宋体"/>
          <w:sz w:val="24"/>
          <w:u w:val="single"/>
        </w:rPr>
        <w:t>）</w:t>
      </w:r>
      <w:r>
        <w:rPr>
          <w:rFonts w:hint="eastAsia" w:ascii="宋体" w:hAnsi="宋体" w:cs="宋体"/>
          <w:sz w:val="24"/>
        </w:rPr>
        <w:t>30%的违约金。经双方同意延期的情形不在此列。</w:t>
      </w:r>
    </w:p>
    <w:p w14:paraId="5D7CE492">
      <w:pPr>
        <w:spacing w:line="360" w:lineRule="auto"/>
        <w:ind w:firstLine="480" w:firstLineChars="200"/>
        <w:rPr>
          <w:rFonts w:ascii="宋体" w:hAnsi="宋体" w:cs="宋体"/>
          <w:sz w:val="24"/>
        </w:rPr>
      </w:pPr>
      <w:r>
        <w:rPr>
          <w:rFonts w:hint="eastAsia" w:ascii="宋体" w:hAnsi="宋体" w:cs="宋体"/>
          <w:sz w:val="24"/>
        </w:rPr>
        <w:t>具体按以下情形执行：</w:t>
      </w:r>
    </w:p>
    <w:p w14:paraId="53E2DC90">
      <w:pPr>
        <w:spacing w:line="360" w:lineRule="auto"/>
        <w:ind w:firstLine="480" w:firstLineChars="200"/>
        <w:rPr>
          <w:rFonts w:ascii="宋体" w:hAnsi="宋体" w:cs="宋体"/>
          <w:sz w:val="24"/>
        </w:rPr>
      </w:pPr>
      <w:r>
        <w:rPr>
          <w:rFonts w:hint="eastAsia" w:ascii="宋体" w:hAnsi="宋体" w:cs="宋体"/>
          <w:sz w:val="24"/>
        </w:rPr>
        <w:t>（1）未中止或未解除合同的，乙方未及时支付违约金的，甲方有权优先从履约保证</w:t>
      </w:r>
      <w:r>
        <w:rPr>
          <w:rFonts w:hint="eastAsia" w:ascii="宋体" w:hAnsi="宋体" w:cs="宋体"/>
          <w:sz w:val="24"/>
          <w:lang w:eastAsia="zh-CN"/>
        </w:rPr>
        <w:t>金中</w:t>
      </w:r>
      <w:r>
        <w:rPr>
          <w:rFonts w:hint="eastAsia" w:ascii="宋体" w:hAnsi="宋体" w:cs="宋体"/>
          <w:sz w:val="24"/>
        </w:rPr>
        <w:t>扣除违约金，不足部分从已供货未结算的货款中扣除；若无履约保证金的，甲方有权直接从已供货未结算的货款中扣除违约金。</w:t>
      </w:r>
    </w:p>
    <w:p w14:paraId="4E4CDE0E">
      <w:pPr>
        <w:spacing w:line="360" w:lineRule="auto"/>
        <w:ind w:firstLine="480" w:firstLineChars="200"/>
        <w:rPr>
          <w:rFonts w:ascii="宋体" w:hAnsi="宋体" w:cs="宋体"/>
          <w:sz w:val="24"/>
        </w:rPr>
      </w:pPr>
      <w:r>
        <w:rPr>
          <w:rFonts w:hint="eastAsia" w:ascii="宋体" w:hAnsi="宋体" w:cs="宋体"/>
          <w:sz w:val="24"/>
        </w:rPr>
        <w:t>（2）中止或解除合同的，乙方未及时支付违约金的，甲方有权直接从已供货未结算的货款中扣除违约金。</w:t>
      </w:r>
    </w:p>
    <w:p w14:paraId="61F9A76F">
      <w:pPr>
        <w:spacing w:line="360" w:lineRule="auto"/>
        <w:ind w:firstLine="480" w:firstLineChars="200"/>
        <w:rPr>
          <w:rFonts w:ascii="宋体" w:hAnsi="宋体" w:cs="宋体"/>
          <w:sz w:val="24"/>
        </w:rPr>
      </w:pPr>
      <w:r>
        <w:rPr>
          <w:rFonts w:hint="eastAsia" w:ascii="宋体" w:hAnsi="宋体"/>
          <w:sz w:val="24"/>
        </w:rPr>
        <w:t>3.服务中涉及的货物，除不可抗力外，如果乙方没有按照本合同约定的期限、地点和方式交付货物，那么甲方可要求乙方支付违约金，迟延履行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cs="宋体"/>
          <w:sz w:val="24"/>
        </w:rPr>
        <w:t>应交付而未交付货物的含税总金额的</w:t>
      </w:r>
      <w:r>
        <w:rPr>
          <w:rFonts w:hint="eastAsia" w:ascii="宋体" w:hAnsi="宋体" w:cs="宋体"/>
          <w:b/>
          <w:bCs/>
          <w:sz w:val="24"/>
          <w:u w:val="single"/>
        </w:rPr>
        <w:t xml:space="preserve">0.1 </w:t>
      </w:r>
      <w:r>
        <w:rPr>
          <w:rFonts w:hint="eastAsia" w:ascii="宋体" w:hAnsi="宋体" w:cs="宋体"/>
          <w:sz w:val="24"/>
        </w:rPr>
        <w:t xml:space="preserve">%计算，迟延交付货物 </w:t>
      </w:r>
      <w:r>
        <w:rPr>
          <w:rFonts w:hint="eastAsia" w:ascii="宋体" w:hAnsi="宋体" w:cs="宋体"/>
          <w:sz w:val="24"/>
          <w:u w:val="single"/>
        </w:rPr>
        <w:t>15</w:t>
      </w:r>
      <w:r>
        <w:rPr>
          <w:rFonts w:hint="eastAsia" w:ascii="宋体" w:hAnsi="宋体" w:cs="宋体"/>
          <w:sz w:val="24"/>
        </w:rPr>
        <w:t>天的，甲方有权单方解除本合同，并要求乙方一次性承担</w:t>
      </w:r>
      <w:r>
        <w:rPr>
          <w:rFonts w:hint="eastAsia" w:ascii="宋体" w:hAnsi="宋体" w:cs="宋体"/>
          <w:sz w:val="24"/>
          <w:u w:val="single"/>
        </w:rPr>
        <w:t>应交付而未交付货物的含税总金额30%</w:t>
      </w:r>
      <w:r>
        <w:rPr>
          <w:rFonts w:hint="eastAsia" w:ascii="宋体" w:hAnsi="宋体" w:cs="宋体"/>
          <w:sz w:val="24"/>
        </w:rPr>
        <w:t>的违约金。经双方同意延期的情形不在此列。</w:t>
      </w:r>
    </w:p>
    <w:p w14:paraId="224FAD2E">
      <w:pPr>
        <w:spacing w:line="360" w:lineRule="auto"/>
        <w:ind w:firstLine="480" w:firstLineChars="200"/>
        <w:rPr>
          <w:rFonts w:ascii="宋体" w:hAnsi="宋体"/>
          <w:sz w:val="24"/>
        </w:rPr>
      </w:pPr>
      <w:r>
        <w:rPr>
          <w:rFonts w:hint="eastAsia" w:ascii="宋体" w:hAnsi="宋体"/>
          <w:sz w:val="24"/>
        </w:rPr>
        <w:t>4.除不可抗力外，如果甲方没有按照本合同约定的付款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b/>
          <w:bCs/>
          <w:sz w:val="24"/>
          <w:u w:val="single"/>
        </w:rPr>
        <w:t xml:space="preserve">0.05  </w:t>
      </w:r>
      <w:r>
        <w:rPr>
          <w:rFonts w:hint="eastAsia" w:ascii="宋体" w:hAnsi="宋体" w:cs="宋体"/>
          <w:sz w:val="24"/>
        </w:rPr>
        <w:t>%计算，迟延付款达到</w:t>
      </w:r>
      <w:r>
        <w:rPr>
          <w:rFonts w:hint="eastAsia" w:ascii="宋体" w:hAnsi="宋体"/>
          <w:sz w:val="24"/>
        </w:rPr>
        <w:t>30天</w:t>
      </w:r>
      <w:r>
        <w:rPr>
          <w:rFonts w:hint="eastAsia" w:ascii="宋体" w:hAnsi="宋体" w:cs="宋体"/>
          <w:sz w:val="24"/>
        </w:rPr>
        <w:t>的，乙方有权在要求甲方支付违约金的同时，书面通知甲方解除本合同</w:t>
      </w:r>
      <w:r>
        <w:rPr>
          <w:rFonts w:hint="eastAsia" w:ascii="宋体" w:hAnsi="宋体"/>
          <w:sz w:val="24"/>
        </w:rPr>
        <w:t>；</w:t>
      </w:r>
    </w:p>
    <w:p w14:paraId="0870C697">
      <w:pPr>
        <w:spacing w:line="360" w:lineRule="auto"/>
        <w:ind w:firstLine="480" w:firstLineChars="200"/>
        <w:rPr>
          <w:rFonts w:ascii="宋体" w:hAnsi="宋体" w:cs="宋体"/>
          <w:sz w:val="24"/>
        </w:rPr>
      </w:pPr>
      <w:bookmarkStart w:id="413" w:name="_Toc26807"/>
      <w:bookmarkStart w:id="414" w:name="_Toc18683"/>
      <w:bookmarkStart w:id="415" w:name="_Toc9497"/>
      <w:bookmarkStart w:id="416" w:name="_Toc30329"/>
      <w:bookmarkStart w:id="417" w:name="_Toc32454"/>
      <w:r>
        <w:rPr>
          <w:rFonts w:hint="eastAsia" w:ascii="宋体" w:hAnsi="宋体" w:cs="宋体"/>
          <w:sz w:val="24"/>
        </w:rPr>
        <w:t>5.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4943839">
      <w:pPr>
        <w:spacing w:line="360" w:lineRule="auto"/>
        <w:ind w:firstLine="480" w:firstLineChars="200"/>
        <w:rPr>
          <w:rFonts w:ascii="宋体" w:hAnsi="宋体" w:cs="宋体"/>
          <w:sz w:val="24"/>
        </w:rPr>
      </w:pPr>
      <w:r>
        <w:rPr>
          <w:rFonts w:hint="eastAsia" w:ascii="宋体" w:hAnsi="宋体" w:cs="宋体"/>
          <w:sz w:val="24"/>
        </w:rPr>
        <w:t>6.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7DB9ADD8">
      <w:pPr>
        <w:spacing w:line="360" w:lineRule="auto"/>
        <w:ind w:firstLine="480" w:firstLineChars="200"/>
        <w:rPr>
          <w:rFonts w:ascii="宋体" w:hAnsi="宋体" w:cs="宋体"/>
          <w:sz w:val="24"/>
        </w:rPr>
      </w:pPr>
      <w:r>
        <w:rPr>
          <w:rFonts w:hint="eastAsia" w:ascii="宋体" w:hAnsi="宋体" w:cs="宋体"/>
          <w:sz w:val="24"/>
        </w:rPr>
        <w:t>7.如果出现政府采购监督管理部门或者纪检部门在处理投诉事项期间，书面通知甲方暂停采购活动的情形，或者询问或质疑事项可能影响中标或者成交结果的，导致甲方中止履行合同的情形，均不视为甲方违约。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422D3BA4">
      <w:pPr>
        <w:spacing w:line="360" w:lineRule="auto"/>
        <w:ind w:right="-420" w:rightChars="-200" w:firstLine="480" w:firstLineChars="200"/>
        <w:rPr>
          <w:rFonts w:ascii="宋体" w:hAnsi="宋体" w:cs="宋体"/>
          <w:sz w:val="24"/>
        </w:rPr>
      </w:pPr>
      <w:r>
        <w:rPr>
          <w:rFonts w:hint="eastAsia" w:ascii="宋体" w:hAnsi="宋体" w:cs="宋体"/>
          <w:sz w:val="24"/>
        </w:rPr>
        <w:t>8.违约责任另有约定的，从其约定，具体如下：</w:t>
      </w:r>
    </w:p>
    <w:p w14:paraId="2E479138">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 xml:space="preserve"> （1）乙方交付的服务或者货物不符合合同约定或验收不合格的，应当及时更换完善，因此延误成果交付期限的，按照逾期成果交付承担违约责任 ；乙方交付的货物三次以上不符合合同约定/验收不合格，或乙方未及时更换且经甲方催告后仍未更换的，甲方有权解除本合同，并要求乙方承担本合同总金额30%的违约金。</w:t>
      </w:r>
    </w:p>
    <w:p w14:paraId="3F4BAE47">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（2）乙方不履行售后服务义务的，每次应向甲方承担1000元的违约金，且仍应履行售后服务义务；违约金甲方有权优先从履约保证</w:t>
      </w:r>
      <w:r>
        <w:rPr>
          <w:rFonts w:hint="eastAsia" w:ascii="宋体" w:hAnsi="宋体" w:cs="宋体"/>
          <w:sz w:val="24"/>
          <w:u w:val="single"/>
          <w:lang w:eastAsia="zh-CN"/>
        </w:rPr>
        <w:t>金中</w:t>
      </w:r>
      <w:r>
        <w:rPr>
          <w:rFonts w:hint="eastAsia" w:ascii="宋体" w:hAnsi="宋体" w:cs="宋体"/>
          <w:sz w:val="24"/>
          <w:u w:val="single"/>
        </w:rPr>
        <w:t>扣除，不足部分从服务费中扣除；若无履约保证金的，甲方有权直接从服务费中扣除；</w:t>
      </w:r>
    </w:p>
    <w:p w14:paraId="272745BB">
      <w:pPr>
        <w:spacing w:line="360" w:lineRule="auto"/>
        <w:ind w:right="-420" w:rightChars="-200" w:firstLine="480" w:firstLineChars="200"/>
        <w:rPr>
          <w:rFonts w:ascii="宋体" w:hAnsi="宋体" w:eastAsia="宋体" w:cs="宋体"/>
          <w:sz w:val="24"/>
          <w:u w:val="single"/>
        </w:rPr>
      </w:pPr>
      <w:r>
        <w:rPr>
          <w:rFonts w:hint="eastAsia" w:ascii="宋体" w:hAnsi="宋体" w:cs="宋体"/>
          <w:sz w:val="24"/>
          <w:u w:val="single"/>
        </w:rPr>
        <w:t>（3）甲方无故拒收成果交付，乙方有权要求甲方按照合同原价支付费用  ；</w:t>
      </w:r>
    </w:p>
    <w:bookmarkEnd w:id="413"/>
    <w:bookmarkEnd w:id="414"/>
    <w:bookmarkEnd w:id="415"/>
    <w:bookmarkEnd w:id="416"/>
    <w:bookmarkEnd w:id="417"/>
    <w:p w14:paraId="11C6508B">
      <w:pPr>
        <w:pStyle w:val="6"/>
        <w:ind w:firstLine="480" w:firstLineChars="200"/>
        <w:rPr>
          <w:rFonts w:hAnsi="宋体" w:cs="宋体"/>
          <w:b/>
        </w:rPr>
      </w:pPr>
      <w:bookmarkStart w:id="418" w:name="_Toc28375"/>
      <w:bookmarkStart w:id="419" w:name="_Toc16021"/>
      <w:bookmarkStart w:id="420" w:name="_Toc15583"/>
      <w:r>
        <w:rPr>
          <w:rFonts w:hint="eastAsia" w:hAnsi="宋体" w:cs="宋体"/>
          <w:snapToGrid/>
          <w:szCs w:val="24"/>
          <w:lang w:val="en-US"/>
        </w:rPr>
        <w:t>9</w:t>
      </w:r>
      <w:r>
        <w:rPr>
          <w:rFonts w:hint="eastAsia" w:hAnsi="宋体" w:eastAsia="宋体" w:cs="宋体"/>
          <w:snapToGrid/>
          <w:szCs w:val="24"/>
          <w:lang w:val="en-US"/>
        </w:rPr>
        <w:t>.在使用</w:t>
      </w:r>
      <w:r>
        <w:rPr>
          <w:rFonts w:hint="eastAsia" w:hAnsi="宋体" w:cs="宋体"/>
          <w:snapToGrid/>
          <w:szCs w:val="24"/>
          <w:lang w:val="en-US"/>
        </w:rPr>
        <w:t>乙方提供的货物或者服务</w:t>
      </w:r>
      <w:r>
        <w:rPr>
          <w:rFonts w:hint="eastAsia" w:hAnsi="宋体" w:eastAsia="宋体" w:cs="宋体"/>
          <w:snapToGrid/>
          <w:szCs w:val="24"/>
          <w:lang w:val="en-US"/>
        </w:rPr>
        <w:t>过程中，因产品质量</w:t>
      </w:r>
      <w:r>
        <w:rPr>
          <w:rFonts w:hint="eastAsia" w:hAnsi="宋体" w:cs="宋体"/>
          <w:snapToGrid/>
          <w:szCs w:val="24"/>
          <w:lang w:val="en-US"/>
        </w:rPr>
        <w:t>或乙方其他</w:t>
      </w:r>
      <w:r>
        <w:rPr>
          <w:rFonts w:hint="eastAsia" w:hAnsi="宋体" w:eastAsia="宋体" w:cs="宋体"/>
          <w:snapToGrid/>
          <w:szCs w:val="24"/>
          <w:lang w:val="en-US"/>
        </w:rPr>
        <w:t>问题给机械设备造成故障或货物损坏，由</w:t>
      </w:r>
      <w:r>
        <w:rPr>
          <w:rFonts w:hint="eastAsia" w:hAnsi="宋体" w:cs="宋体"/>
          <w:snapToGrid/>
          <w:szCs w:val="24"/>
          <w:lang w:val="en-US"/>
        </w:rPr>
        <w:t>乙方</w:t>
      </w:r>
      <w:r>
        <w:rPr>
          <w:rFonts w:hint="eastAsia" w:hAnsi="宋体" w:eastAsia="宋体" w:cs="宋体"/>
          <w:snapToGrid/>
          <w:szCs w:val="24"/>
          <w:lang w:val="en-US"/>
        </w:rPr>
        <w:t>承担</w:t>
      </w:r>
      <w:r>
        <w:rPr>
          <w:rFonts w:hint="eastAsia" w:hAnsi="宋体" w:cs="宋体"/>
          <w:snapToGrid/>
          <w:szCs w:val="24"/>
          <w:lang w:val="en-US"/>
        </w:rPr>
        <w:t>甲方</w:t>
      </w:r>
      <w:r>
        <w:rPr>
          <w:rFonts w:hint="eastAsia" w:hAnsi="宋体" w:eastAsia="宋体" w:cs="宋体"/>
          <w:snapToGrid/>
          <w:szCs w:val="24"/>
          <w:lang w:val="en-US"/>
        </w:rPr>
        <w:t>的一切损失，包括直接和间接损失。</w:t>
      </w:r>
    </w:p>
    <w:p w14:paraId="426A1A02">
      <w:pPr>
        <w:spacing w:line="360" w:lineRule="auto"/>
        <w:ind w:firstLine="482" w:firstLineChars="200"/>
        <w:outlineLvl w:val="0"/>
        <w:rPr>
          <w:rFonts w:ascii="宋体" w:hAnsi="宋体" w:cs="宋体"/>
          <w:b/>
          <w:sz w:val="24"/>
        </w:rPr>
      </w:pPr>
      <w:r>
        <w:rPr>
          <w:rFonts w:hint="eastAsia" w:ascii="宋体" w:hAnsi="宋体" w:cs="宋体"/>
          <w:b/>
          <w:sz w:val="24"/>
        </w:rPr>
        <w:t>十一、合同争议的解决</w:t>
      </w:r>
      <w:bookmarkEnd w:id="418"/>
      <w:bookmarkEnd w:id="419"/>
      <w:bookmarkEnd w:id="420"/>
    </w:p>
    <w:p w14:paraId="701CED28">
      <w:pPr>
        <w:spacing w:line="360" w:lineRule="auto"/>
        <w:ind w:left="-420" w:leftChars="-200" w:right="-420" w:rightChars="-200" w:firstLine="840" w:firstLineChars="35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本合同履行过程中发生的任何争议，双方当事人均可通过和解或者调解解决；不愿和解、调解或者和解、调解不成的，向</w:t>
      </w:r>
      <w:r>
        <w:rPr>
          <w:rFonts w:hint="eastAsia" w:ascii="宋体" w:hAnsi="宋体" w:cs="宋体"/>
          <w:b/>
          <w:iCs/>
          <w:sz w:val="24"/>
          <w:u w:val="single"/>
        </w:rPr>
        <w:t>甲方所在地人</w:t>
      </w:r>
      <w:r>
        <w:rPr>
          <w:rFonts w:hint="eastAsia" w:ascii="宋体" w:hAnsi="宋体" w:cs="宋体"/>
          <w:sz w:val="24"/>
        </w:rPr>
        <w:t>民法院起诉。</w:t>
      </w:r>
    </w:p>
    <w:p w14:paraId="1D725469">
      <w:pPr>
        <w:spacing w:line="360" w:lineRule="auto"/>
        <w:ind w:firstLine="482" w:firstLineChars="200"/>
        <w:outlineLvl w:val="0"/>
        <w:rPr>
          <w:rFonts w:ascii="宋体" w:hAnsi="宋体" w:cs="宋体"/>
          <w:b/>
          <w:sz w:val="24"/>
        </w:rPr>
      </w:pPr>
      <w:bookmarkStart w:id="421" w:name="_Toc15322"/>
      <w:bookmarkStart w:id="422" w:name="_Toc11173"/>
      <w:bookmarkStart w:id="423" w:name="_Toc7245"/>
      <w:r>
        <w:rPr>
          <w:rFonts w:hint="eastAsia" w:ascii="宋体" w:hAnsi="宋体" w:cs="宋体"/>
          <w:b/>
          <w:sz w:val="24"/>
        </w:rPr>
        <w:t>十二、合同生效</w:t>
      </w:r>
      <w:bookmarkEnd w:id="421"/>
      <w:bookmarkEnd w:id="422"/>
      <w:bookmarkEnd w:id="423"/>
    </w:p>
    <w:p w14:paraId="7D8129AF">
      <w:pPr>
        <w:pStyle w:val="25"/>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，甲方三份，乙方一份，</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14:paraId="34DEFCDF">
      <w:pPr>
        <w:spacing w:line="360" w:lineRule="auto"/>
        <w:ind w:firstLine="480" w:firstLineChars="200"/>
        <w:rPr>
          <w:rFonts w:ascii="宋体" w:hAnsi="宋体" w:cs="宋体"/>
          <w:sz w:val="24"/>
        </w:rPr>
      </w:pPr>
    </w:p>
    <w:p w14:paraId="75C7BBFC">
      <w:pPr>
        <w:rPr>
          <w:rFonts w:hint="eastAsia" w:ascii="宋体" w:hAnsi="宋体"/>
          <w:b/>
          <w:szCs w:val="24"/>
        </w:rPr>
      </w:pPr>
    </w:p>
    <w:p w14:paraId="47E1F33E">
      <w:pPr>
        <w:pStyle w:val="25"/>
        <w:ind w:left="0" w:leftChars="0" w:firstLine="0" w:firstLineChars="0"/>
        <w:jc w:val="center"/>
        <w:rPr>
          <w:rFonts w:ascii="宋体" w:hAnsi="宋体"/>
          <w:b/>
          <w:szCs w:val="24"/>
        </w:rPr>
      </w:pPr>
      <w:r>
        <w:rPr>
          <w:rFonts w:hint="eastAsia" w:ascii="宋体" w:hAnsi="宋体"/>
          <w:b/>
          <w:szCs w:val="24"/>
        </w:rPr>
        <w:t>第二章合同一般条款</w:t>
      </w:r>
    </w:p>
    <w:p w14:paraId="40097A5D">
      <w:pPr>
        <w:spacing w:line="360" w:lineRule="auto"/>
        <w:ind w:firstLine="482" w:firstLineChars="200"/>
        <w:outlineLvl w:val="0"/>
        <w:rPr>
          <w:rFonts w:ascii="宋体" w:hAnsi="宋体"/>
          <w:b/>
          <w:sz w:val="24"/>
        </w:rPr>
      </w:pPr>
      <w:bookmarkStart w:id="424" w:name="_Toc25079"/>
      <w:bookmarkStart w:id="425" w:name="_Toc19680"/>
      <w:bookmarkStart w:id="426" w:name="_Toc31297"/>
      <w:bookmarkStart w:id="427" w:name="_Toc14021"/>
      <w:bookmarkStart w:id="428" w:name="_Toc5228"/>
      <w:r>
        <w:rPr>
          <w:rFonts w:hint="eastAsia" w:ascii="宋体" w:hAnsi="宋体"/>
          <w:b/>
          <w:sz w:val="24"/>
        </w:rPr>
        <w:t>一、</w:t>
      </w:r>
      <w:r>
        <w:rPr>
          <w:rFonts w:ascii="宋体" w:hAnsi="宋体"/>
          <w:b/>
          <w:sz w:val="24"/>
        </w:rPr>
        <w:t>定义</w:t>
      </w:r>
      <w:bookmarkEnd w:id="424"/>
      <w:bookmarkEnd w:id="425"/>
      <w:bookmarkEnd w:id="426"/>
      <w:bookmarkEnd w:id="427"/>
      <w:bookmarkEnd w:id="428"/>
    </w:p>
    <w:p w14:paraId="62D8D7AB">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1D4698AD">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14:paraId="6F10B336">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14:paraId="33851F94">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履行的服务。</w:t>
      </w:r>
    </w:p>
    <w:p w14:paraId="51E09A3A">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14:paraId="088258F9">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317C73EF">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14:paraId="70523F14">
      <w:pPr>
        <w:spacing w:line="360" w:lineRule="auto"/>
        <w:ind w:firstLine="480" w:firstLineChars="200"/>
        <w:rPr>
          <w:rFonts w:ascii="宋体" w:hAnsi="宋体" w:eastAsia="宋体" w:cs="宋体"/>
          <w:sz w:val="24"/>
        </w:rPr>
      </w:pPr>
      <w:bookmarkStart w:id="429" w:name="_Toc3769"/>
      <w:bookmarkStart w:id="430" w:name="_Toc19539"/>
      <w:bookmarkStart w:id="431" w:name="_Toc16752"/>
      <w:bookmarkStart w:id="432" w:name="_Toc31402"/>
      <w:bookmarkStart w:id="433" w:name="_Toc23289"/>
      <w:r>
        <w:rPr>
          <w:rFonts w:hint="eastAsia" w:ascii="宋体" w:hAnsi="宋体" w:cs="宋体"/>
          <w:sz w:val="24"/>
        </w:rPr>
        <w:t>7. 除特别约定为工作日之外，本合同所有提及的“天”“日”均为日历天。</w:t>
      </w:r>
    </w:p>
    <w:p w14:paraId="04833618">
      <w:pPr>
        <w:spacing w:line="360" w:lineRule="auto"/>
        <w:ind w:firstLine="482" w:firstLineChars="200"/>
        <w:outlineLvl w:val="0"/>
        <w:rPr>
          <w:rFonts w:ascii="宋体" w:hAnsi="宋体"/>
          <w:b/>
          <w:sz w:val="24"/>
        </w:rPr>
      </w:pPr>
      <w:r>
        <w:rPr>
          <w:rFonts w:hint="eastAsia" w:ascii="宋体" w:hAnsi="宋体"/>
          <w:b/>
          <w:sz w:val="24"/>
        </w:rPr>
        <w:t>二、</w:t>
      </w:r>
      <w:r>
        <w:rPr>
          <w:rFonts w:ascii="宋体" w:hAnsi="宋体"/>
          <w:b/>
          <w:sz w:val="24"/>
        </w:rPr>
        <w:t xml:space="preserve"> 技术规范</w:t>
      </w:r>
      <w:bookmarkEnd w:id="429"/>
      <w:bookmarkEnd w:id="430"/>
      <w:bookmarkEnd w:id="431"/>
      <w:bookmarkEnd w:id="432"/>
      <w:bookmarkEnd w:id="433"/>
    </w:p>
    <w:p w14:paraId="12E0AFE3">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hint="eastAsia" w:ascii="宋体" w:hAnsi="宋体"/>
          <w:sz w:val="24"/>
          <w:lang w:eastAsia="zh-CN"/>
        </w:rPr>
        <w:t>（</w:t>
      </w:r>
      <w:r>
        <w:rPr>
          <w:rFonts w:ascii="宋体" w:hAnsi="宋体"/>
          <w:b/>
          <w:bCs/>
          <w:sz w:val="24"/>
          <w:u w:val="single"/>
        </w:rPr>
        <w:t>如果有的话</w:t>
      </w:r>
      <w:r>
        <w:rPr>
          <w:rFonts w:hint="eastAsia" w:ascii="宋体" w:hAnsi="宋体"/>
          <w:b/>
          <w:bCs/>
          <w:sz w:val="24"/>
          <w:u w:val="single"/>
          <w:lang w:eastAsia="zh-CN"/>
        </w:rPr>
        <w:t>）</w:t>
      </w:r>
      <w:r>
        <w:rPr>
          <w:rFonts w:ascii="宋体" w:hAnsi="宋体"/>
          <w:sz w:val="24"/>
        </w:rPr>
        <w:t>及其技术规范偏差表</w:t>
      </w:r>
      <w:r>
        <w:rPr>
          <w:rFonts w:hint="eastAsia" w:ascii="宋体" w:hAnsi="宋体"/>
          <w:sz w:val="24"/>
          <w:lang w:eastAsia="zh-CN"/>
        </w:rPr>
        <w:t>（</w:t>
      </w:r>
      <w:r>
        <w:rPr>
          <w:rFonts w:ascii="宋体" w:hAnsi="宋体"/>
          <w:b/>
          <w:bCs/>
          <w:sz w:val="24"/>
          <w:u w:val="single"/>
        </w:rPr>
        <w:t>如果被甲方接受的话</w:t>
      </w:r>
      <w:r>
        <w:rPr>
          <w:rFonts w:hint="eastAsia" w:ascii="宋体" w:hAnsi="宋体"/>
          <w:b/>
          <w:bCs/>
          <w:sz w:val="24"/>
          <w:u w:val="single"/>
          <w:lang w:eastAsia="zh-CN"/>
        </w:rPr>
        <w:t>）</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2B194C60">
      <w:pPr>
        <w:spacing w:line="360" w:lineRule="auto"/>
        <w:ind w:firstLine="482" w:firstLineChars="200"/>
        <w:outlineLvl w:val="0"/>
        <w:rPr>
          <w:rFonts w:ascii="宋体" w:hAnsi="宋体"/>
          <w:b/>
          <w:sz w:val="24"/>
        </w:rPr>
      </w:pPr>
      <w:bookmarkStart w:id="434" w:name="_Toc27945"/>
      <w:bookmarkStart w:id="435" w:name="_Toc4133"/>
      <w:bookmarkStart w:id="436" w:name="_Toc12412"/>
      <w:bookmarkStart w:id="437" w:name="_Toc13673"/>
      <w:bookmarkStart w:id="438" w:name="_Toc9161"/>
      <w:r>
        <w:rPr>
          <w:rFonts w:hint="eastAsia" w:ascii="宋体" w:hAnsi="宋体"/>
          <w:b/>
          <w:sz w:val="24"/>
        </w:rPr>
        <w:t>三、</w:t>
      </w:r>
      <w:r>
        <w:rPr>
          <w:rFonts w:ascii="宋体" w:hAnsi="宋体"/>
          <w:b/>
          <w:sz w:val="24"/>
        </w:rPr>
        <w:t xml:space="preserve"> 知识产权</w:t>
      </w:r>
      <w:bookmarkEnd w:id="434"/>
      <w:bookmarkEnd w:id="435"/>
      <w:bookmarkEnd w:id="436"/>
      <w:bookmarkEnd w:id="437"/>
      <w:bookmarkEnd w:id="438"/>
    </w:p>
    <w:p w14:paraId="2DD6B882">
      <w:pPr>
        <w:spacing w:line="360" w:lineRule="auto"/>
        <w:ind w:firstLine="480" w:firstLineChars="200"/>
        <w:rPr>
          <w:rFonts w:ascii="宋体" w:hAnsi="宋体"/>
          <w:sz w:val="24"/>
        </w:rPr>
      </w:pPr>
      <w:r>
        <w:rPr>
          <w:rFonts w:hint="eastAsia" w:ascii="宋体" w:hAnsi="宋体"/>
          <w:sz w:val="24"/>
        </w:rPr>
        <w:t>1.乙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，乙方还应及时澄清相关信息，使甲方声誉免受损害，甲方保留追责的权利。</w:t>
      </w:r>
    </w:p>
    <w:p w14:paraId="7D6A8C5F">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如双方未另行签订书面协议的，乙方为履行本合同下义务所形成的各项成果文件之所有权、知识产权均归属于甲方所有，且甲方有权自行或委托第三方进行修改。</w:t>
      </w:r>
    </w:p>
    <w:p w14:paraId="243F7134">
      <w:pPr>
        <w:spacing w:line="360" w:lineRule="auto"/>
        <w:ind w:firstLine="482" w:firstLineChars="200"/>
        <w:rPr>
          <w:rFonts w:ascii="宋体" w:hAnsi="宋体"/>
          <w:b/>
          <w:sz w:val="24"/>
        </w:rPr>
      </w:pPr>
      <w:r>
        <w:rPr>
          <w:rFonts w:hint="eastAsia" w:ascii="宋体" w:hAnsi="宋体"/>
          <w:b/>
          <w:sz w:val="24"/>
        </w:rPr>
        <w:t>四、履约检查和问题反馈</w:t>
      </w:r>
    </w:p>
    <w:p w14:paraId="5550E538">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14:paraId="50CC4886">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14:paraId="5CFC577C">
      <w:pPr>
        <w:spacing w:line="360" w:lineRule="auto"/>
        <w:ind w:firstLine="482" w:firstLineChars="200"/>
        <w:outlineLvl w:val="0"/>
        <w:rPr>
          <w:rFonts w:ascii="宋体" w:hAnsi="宋体"/>
          <w:b/>
          <w:sz w:val="24"/>
        </w:rPr>
      </w:pPr>
      <w:bookmarkStart w:id="439" w:name="_Toc26555"/>
      <w:bookmarkStart w:id="440" w:name="_Toc15447"/>
      <w:bookmarkStart w:id="441" w:name="_Toc22011"/>
      <w:bookmarkStart w:id="442" w:name="_Toc32670"/>
      <w:bookmarkStart w:id="443" w:name="_Toc31233"/>
      <w:r>
        <w:rPr>
          <w:rFonts w:hint="eastAsia" w:ascii="宋体" w:hAnsi="宋体"/>
          <w:b/>
          <w:sz w:val="24"/>
        </w:rPr>
        <w:t>五、</w:t>
      </w:r>
      <w:r>
        <w:rPr>
          <w:rFonts w:ascii="宋体" w:hAnsi="宋体"/>
          <w:b/>
          <w:sz w:val="24"/>
        </w:rPr>
        <w:t>结算方式和付款条件</w:t>
      </w:r>
      <w:bookmarkEnd w:id="439"/>
      <w:bookmarkEnd w:id="440"/>
      <w:bookmarkEnd w:id="441"/>
      <w:bookmarkEnd w:id="442"/>
      <w:bookmarkEnd w:id="443"/>
    </w:p>
    <w:p w14:paraId="051040EE">
      <w:pPr>
        <w:spacing w:line="360" w:lineRule="auto"/>
        <w:ind w:firstLine="480" w:firstLineChars="200"/>
        <w:outlineLvl w:val="0"/>
        <w:rPr>
          <w:rFonts w:ascii="宋体" w:hAnsi="宋体"/>
          <w:bCs/>
          <w:sz w:val="24"/>
        </w:rPr>
      </w:pPr>
      <w:bookmarkStart w:id="444" w:name="_Toc13154"/>
      <w:bookmarkStart w:id="445" w:name="_Toc16163"/>
      <w:bookmarkStart w:id="446" w:name="_Toc13467"/>
      <w:bookmarkStart w:id="447" w:name="_Toc18990"/>
      <w:bookmarkStart w:id="448" w:name="_Toc30507"/>
      <w:r>
        <w:rPr>
          <w:rFonts w:hint="eastAsia" w:ascii="宋体" w:hAnsi="宋体"/>
          <w:bCs/>
          <w:sz w:val="24"/>
        </w:rPr>
        <w:t>1.结算方式为转账或者电汇 ，若甲方采用银行承兑支付，双方另行协商；</w:t>
      </w:r>
    </w:p>
    <w:p w14:paraId="1C851F6F">
      <w:pPr>
        <w:spacing w:line="360" w:lineRule="auto"/>
        <w:ind w:firstLine="480" w:firstLineChars="200"/>
        <w:outlineLvl w:val="0"/>
        <w:rPr>
          <w:rFonts w:ascii="宋体" w:hAnsi="宋体"/>
          <w:bCs/>
          <w:sz w:val="24"/>
        </w:rPr>
      </w:pPr>
      <w:r>
        <w:rPr>
          <w:rFonts w:hint="eastAsia" w:ascii="宋体" w:hAnsi="宋体"/>
          <w:bCs/>
          <w:sz w:val="24"/>
        </w:rPr>
        <w:t>2.付款条件：乙方提供的服务或者货物应满足合同约定要求，未出现违规违约的情况 ；</w:t>
      </w:r>
    </w:p>
    <w:p w14:paraId="01403BA3">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44"/>
      <w:bookmarkEnd w:id="445"/>
      <w:bookmarkEnd w:id="446"/>
      <w:bookmarkEnd w:id="447"/>
      <w:bookmarkEnd w:id="448"/>
    </w:p>
    <w:p w14:paraId="355F7BC9">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14:paraId="7AB6EA4E">
      <w:pPr>
        <w:spacing w:line="360" w:lineRule="auto"/>
        <w:ind w:firstLine="480" w:firstLineChars="200"/>
        <w:rPr>
          <w:rFonts w:ascii="宋体" w:hAnsi="宋体"/>
          <w:sz w:val="24"/>
        </w:rPr>
      </w:pPr>
      <w:r>
        <w:rPr>
          <w:rFonts w:hint="eastAsia" w:ascii="宋体" w:hAnsi="宋体"/>
          <w:sz w:val="24"/>
        </w:rPr>
        <w:t>2.乙方有义务妥善保管和保护由甲方提供的前款信息和资料等；</w:t>
      </w:r>
    </w:p>
    <w:p w14:paraId="0058F413">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2E78AC40">
      <w:pPr>
        <w:spacing w:line="360" w:lineRule="auto"/>
        <w:ind w:firstLine="482" w:firstLineChars="200"/>
        <w:outlineLvl w:val="0"/>
        <w:rPr>
          <w:rFonts w:ascii="宋体" w:hAnsi="宋体"/>
          <w:b/>
          <w:sz w:val="24"/>
        </w:rPr>
      </w:pPr>
      <w:bookmarkStart w:id="449" w:name="_Toc19069"/>
      <w:r>
        <w:rPr>
          <w:rFonts w:hint="eastAsia" w:ascii="宋体" w:hAnsi="宋体"/>
          <w:b/>
          <w:sz w:val="24"/>
        </w:rPr>
        <w:t>七、质量保证</w:t>
      </w:r>
      <w:bookmarkEnd w:id="449"/>
    </w:p>
    <w:p w14:paraId="1EBB3EEC">
      <w:pPr>
        <w:spacing w:line="360" w:lineRule="auto"/>
        <w:ind w:firstLine="480" w:firstLineChars="200"/>
        <w:rPr>
          <w:rFonts w:ascii="宋体" w:hAnsi="宋体"/>
          <w:sz w:val="24"/>
        </w:rPr>
      </w:pPr>
      <w:r>
        <w:rPr>
          <w:rFonts w:hint="eastAsia" w:ascii="宋体" w:hAnsi="宋体"/>
          <w:sz w:val="24"/>
        </w:rPr>
        <w:t>乙方应保证履行合同的人员数量和素质、软件和硬件设备的配置、场地、环境和设施等满足全面履行合同的要求。</w:t>
      </w:r>
    </w:p>
    <w:p w14:paraId="5A7D5AE1">
      <w:pPr>
        <w:spacing w:line="360" w:lineRule="auto"/>
        <w:ind w:firstLine="482" w:firstLineChars="200"/>
        <w:outlineLvl w:val="0"/>
        <w:rPr>
          <w:rFonts w:ascii="宋体" w:hAnsi="宋体"/>
          <w:b/>
          <w:sz w:val="24"/>
        </w:rPr>
      </w:pPr>
      <w:bookmarkStart w:id="450" w:name="_Toc22267"/>
      <w:r>
        <w:rPr>
          <w:rFonts w:hint="eastAsia" w:ascii="宋体" w:hAnsi="宋体"/>
          <w:b/>
          <w:sz w:val="24"/>
        </w:rPr>
        <w:t>八、延迟履行</w:t>
      </w:r>
      <w:bookmarkEnd w:id="450"/>
    </w:p>
    <w:p w14:paraId="35FF7710">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14:paraId="32C50C25">
      <w:pPr>
        <w:spacing w:line="360" w:lineRule="auto"/>
        <w:ind w:firstLine="482" w:firstLineChars="200"/>
        <w:outlineLvl w:val="0"/>
        <w:rPr>
          <w:rFonts w:ascii="宋体" w:hAnsi="宋体"/>
          <w:b/>
          <w:sz w:val="24"/>
        </w:rPr>
      </w:pPr>
      <w:bookmarkStart w:id="451" w:name="_Toc10611"/>
      <w:r>
        <w:rPr>
          <w:rFonts w:hint="eastAsia" w:ascii="宋体" w:hAnsi="宋体"/>
          <w:b/>
          <w:sz w:val="24"/>
        </w:rPr>
        <w:t>九、合同变更</w:t>
      </w:r>
      <w:bookmarkEnd w:id="451"/>
      <w:r>
        <w:rPr>
          <w:rFonts w:hint="eastAsia" w:ascii="宋体" w:hAnsi="宋体" w:cs="宋体"/>
          <w:b/>
          <w:sz w:val="24"/>
        </w:rPr>
        <w:t>或补充</w:t>
      </w:r>
    </w:p>
    <w:p w14:paraId="5EEDD7F1">
      <w:pPr>
        <w:spacing w:line="360" w:lineRule="auto"/>
        <w:ind w:firstLine="480" w:firstLineChars="200"/>
        <w:rPr>
          <w:rFonts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3B5DECBD">
      <w:pPr>
        <w:spacing w:line="360" w:lineRule="auto"/>
        <w:ind w:firstLine="480" w:firstLineChars="200"/>
        <w:rPr>
          <w:rFonts w:ascii="宋体" w:hAnsi="宋体"/>
          <w:sz w:val="24"/>
        </w:rPr>
      </w:pPr>
      <w:bookmarkStart w:id="452" w:name="_Toc21830"/>
      <w:bookmarkStart w:id="453" w:name="_Toc10663"/>
      <w:bookmarkStart w:id="454" w:name="_Toc42"/>
      <w:bookmarkStart w:id="455" w:name="_Toc23368"/>
      <w:bookmarkStart w:id="456" w:name="_Toc26689"/>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6B530968">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617B278D">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w:t>
      </w:r>
      <w:bookmarkEnd w:id="452"/>
      <w:bookmarkEnd w:id="453"/>
      <w:bookmarkEnd w:id="454"/>
      <w:bookmarkEnd w:id="455"/>
      <w:bookmarkEnd w:id="456"/>
    </w:p>
    <w:p w14:paraId="17E45A40">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，特殊情况双方另行协商。</w:t>
      </w:r>
    </w:p>
    <w:p w14:paraId="2FCFCBF7">
      <w:pPr>
        <w:spacing w:line="360" w:lineRule="auto"/>
        <w:ind w:firstLine="482" w:firstLineChars="200"/>
        <w:outlineLvl w:val="0"/>
        <w:rPr>
          <w:rFonts w:ascii="宋体" w:hAnsi="宋体"/>
          <w:b/>
          <w:sz w:val="24"/>
        </w:rPr>
      </w:pPr>
      <w:bookmarkStart w:id="457" w:name="_Toc14371"/>
      <w:bookmarkStart w:id="458" w:name="_Toc4720"/>
      <w:bookmarkStart w:id="459" w:name="_Toc26633"/>
      <w:bookmarkStart w:id="460" w:name="_Toc32494"/>
      <w:bookmarkStart w:id="461" w:name="_Toc25571"/>
      <w:r>
        <w:rPr>
          <w:rFonts w:hint="eastAsia" w:ascii="宋体" w:hAnsi="宋体"/>
          <w:b/>
          <w:sz w:val="24"/>
        </w:rPr>
        <w:t>十一、</w:t>
      </w:r>
      <w:r>
        <w:rPr>
          <w:rFonts w:ascii="宋体" w:hAnsi="宋体"/>
          <w:b/>
          <w:sz w:val="24"/>
        </w:rPr>
        <w:t>不可抗力</w:t>
      </w:r>
      <w:bookmarkEnd w:id="457"/>
      <w:bookmarkEnd w:id="458"/>
      <w:bookmarkEnd w:id="459"/>
      <w:bookmarkEnd w:id="460"/>
      <w:bookmarkEnd w:id="461"/>
    </w:p>
    <w:p w14:paraId="50121337">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241C2BFE">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14:paraId="11EEE81A">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4AE55616">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657BBB89">
      <w:pPr>
        <w:spacing w:line="360" w:lineRule="auto"/>
        <w:ind w:firstLine="482" w:firstLineChars="200"/>
        <w:outlineLvl w:val="0"/>
        <w:rPr>
          <w:rFonts w:ascii="宋体" w:hAnsi="宋体"/>
          <w:b/>
          <w:sz w:val="24"/>
        </w:rPr>
      </w:pPr>
      <w:bookmarkStart w:id="462" w:name="_Toc23854"/>
      <w:bookmarkStart w:id="463" w:name="_Toc3638"/>
      <w:bookmarkStart w:id="464" w:name="_Toc14115"/>
      <w:bookmarkStart w:id="465" w:name="_Toc25783"/>
      <w:bookmarkStart w:id="466" w:name="_Toc24465"/>
      <w:r>
        <w:rPr>
          <w:rFonts w:hint="eastAsia" w:ascii="宋体" w:hAnsi="宋体"/>
          <w:b/>
          <w:sz w:val="24"/>
        </w:rPr>
        <w:t>十二、</w:t>
      </w:r>
      <w:r>
        <w:rPr>
          <w:rFonts w:ascii="宋体" w:hAnsi="宋体"/>
          <w:b/>
          <w:sz w:val="24"/>
        </w:rPr>
        <w:t>税费</w:t>
      </w:r>
      <w:bookmarkEnd w:id="462"/>
      <w:bookmarkEnd w:id="463"/>
      <w:bookmarkEnd w:id="464"/>
      <w:bookmarkEnd w:id="465"/>
      <w:bookmarkEnd w:id="466"/>
    </w:p>
    <w:p w14:paraId="322061F2">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14:paraId="6D89D456">
      <w:pPr>
        <w:spacing w:line="360" w:lineRule="auto"/>
        <w:ind w:firstLine="482" w:firstLineChars="200"/>
        <w:outlineLvl w:val="0"/>
        <w:rPr>
          <w:rFonts w:ascii="宋体" w:hAnsi="宋体"/>
          <w:b/>
          <w:sz w:val="24"/>
        </w:rPr>
      </w:pPr>
      <w:bookmarkStart w:id="467" w:name="_Toc25525"/>
      <w:bookmarkStart w:id="468" w:name="_Toc14814"/>
      <w:bookmarkStart w:id="469" w:name="_Toc7315"/>
      <w:bookmarkStart w:id="470" w:name="_Toc26883"/>
      <w:bookmarkStart w:id="471" w:name="_Toc30105"/>
      <w:r>
        <w:rPr>
          <w:rFonts w:hint="eastAsia" w:ascii="宋体" w:hAnsi="宋体"/>
          <w:b/>
          <w:sz w:val="24"/>
        </w:rPr>
        <w:t>十三、</w:t>
      </w:r>
      <w:r>
        <w:rPr>
          <w:rFonts w:ascii="宋体" w:hAnsi="宋体"/>
          <w:b/>
          <w:sz w:val="24"/>
        </w:rPr>
        <w:t>乙方破产</w:t>
      </w:r>
      <w:bookmarkEnd w:id="467"/>
      <w:bookmarkEnd w:id="468"/>
      <w:bookmarkEnd w:id="469"/>
      <w:bookmarkEnd w:id="470"/>
      <w:bookmarkEnd w:id="471"/>
    </w:p>
    <w:p w14:paraId="1C1F6B82">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663CDD9A">
      <w:pPr>
        <w:spacing w:line="360" w:lineRule="auto"/>
        <w:ind w:firstLine="482" w:firstLineChars="200"/>
        <w:outlineLvl w:val="0"/>
        <w:rPr>
          <w:rFonts w:ascii="宋体" w:hAnsi="宋体"/>
          <w:b/>
          <w:sz w:val="24"/>
        </w:rPr>
      </w:pPr>
      <w:bookmarkStart w:id="472" w:name="_Toc2016"/>
      <w:bookmarkStart w:id="473" w:name="_Toc23323"/>
      <w:bookmarkStart w:id="474" w:name="_Toc1123"/>
      <w:r>
        <w:rPr>
          <w:rFonts w:hint="eastAsia" w:ascii="宋体" w:hAnsi="宋体"/>
          <w:b/>
          <w:sz w:val="24"/>
        </w:rPr>
        <w:t>十四、</w:t>
      </w:r>
      <w:r>
        <w:rPr>
          <w:rFonts w:ascii="宋体" w:hAnsi="宋体"/>
          <w:b/>
          <w:sz w:val="24"/>
        </w:rPr>
        <w:t>合同中止、终止</w:t>
      </w:r>
      <w:bookmarkEnd w:id="472"/>
      <w:bookmarkEnd w:id="473"/>
      <w:bookmarkEnd w:id="474"/>
    </w:p>
    <w:p w14:paraId="6B8D8D42">
      <w:pPr>
        <w:spacing w:line="360" w:lineRule="auto"/>
        <w:ind w:firstLine="480" w:firstLineChars="200"/>
        <w:rPr>
          <w:rFonts w:ascii="宋体" w:hAnsi="宋体"/>
          <w:sz w:val="24"/>
        </w:rPr>
      </w:pPr>
      <w:r>
        <w:rPr>
          <w:rFonts w:hint="eastAsia" w:ascii="宋体" w:hAnsi="宋体"/>
          <w:sz w:val="24"/>
        </w:rPr>
        <w:t>1.双方当事人不得擅自中止或者终止合同；</w:t>
      </w:r>
    </w:p>
    <w:p w14:paraId="718F740D">
      <w:pPr>
        <w:spacing w:line="360" w:lineRule="auto"/>
        <w:ind w:firstLine="480" w:firstLineChars="200"/>
        <w:rPr>
          <w:rFonts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14:paraId="5A3FE139">
      <w:pPr>
        <w:spacing w:line="360" w:lineRule="auto"/>
        <w:ind w:firstLine="480" w:firstLineChars="200"/>
        <w:rPr>
          <w:rFonts w:ascii="宋体" w:hAnsi="宋体" w:cs="宋体"/>
          <w:sz w:val="24"/>
        </w:rPr>
      </w:pPr>
      <w:bookmarkStart w:id="475" w:name="_Toc17363"/>
      <w:bookmarkStart w:id="476" w:name="_Toc1969"/>
      <w:bookmarkStart w:id="477" w:name="_Toc14525"/>
      <w:r>
        <w:rPr>
          <w:rFonts w:hint="eastAsia" w:ascii="宋体" w:hAnsi="宋体" w:cs="宋体"/>
          <w:sz w:val="24"/>
        </w:rPr>
        <w:t>3.双方完成合同所有约定内容（含质保要求），合同自动终止；若在合同有效期之前完成的，提前终止合同，无须再另行签订终止补充协议，甲方按合同约定要求及时退还乙方履约保证金。</w:t>
      </w:r>
    </w:p>
    <w:p w14:paraId="53517511">
      <w:pPr>
        <w:spacing w:line="360" w:lineRule="auto"/>
        <w:ind w:firstLine="480" w:firstLineChars="200"/>
      </w:pPr>
      <w:r>
        <w:rPr>
          <w:rFonts w:hint="eastAsia" w:ascii="宋体" w:hAnsi="宋体" w:cs="宋体"/>
          <w:sz w:val="24"/>
        </w:rPr>
        <w:t>4.出现违约行为的，甲方有权终止或解除合同。</w:t>
      </w:r>
    </w:p>
    <w:p w14:paraId="5319AFDC">
      <w:pPr>
        <w:spacing w:line="360" w:lineRule="auto"/>
        <w:ind w:firstLine="482" w:firstLineChars="200"/>
        <w:outlineLvl w:val="0"/>
        <w:rPr>
          <w:rFonts w:ascii="宋体" w:hAnsi="宋体"/>
          <w:b/>
          <w:sz w:val="24"/>
        </w:rPr>
      </w:pPr>
      <w:r>
        <w:rPr>
          <w:rFonts w:hint="eastAsia" w:ascii="宋体" w:hAnsi="宋体"/>
          <w:b/>
          <w:sz w:val="24"/>
        </w:rPr>
        <w:t>十五</w:t>
      </w:r>
      <w:bookmarkEnd w:id="475"/>
      <w:bookmarkEnd w:id="476"/>
      <w:bookmarkEnd w:id="477"/>
      <w:bookmarkStart w:id="478" w:name="_Toc9808"/>
      <w:bookmarkStart w:id="479" w:name="_Toc31892"/>
      <w:bookmarkStart w:id="480" w:name="_Toc2308"/>
      <w:bookmarkStart w:id="481" w:name="_Toc12666"/>
      <w:bookmarkStart w:id="482" w:name="_Toc25198"/>
      <w:r>
        <w:rPr>
          <w:rFonts w:hint="eastAsia" w:ascii="宋体" w:hAnsi="宋体"/>
          <w:b/>
          <w:sz w:val="24"/>
        </w:rPr>
        <w:t>、</w:t>
      </w:r>
      <w:r>
        <w:rPr>
          <w:rFonts w:ascii="宋体" w:hAnsi="宋体"/>
          <w:b/>
          <w:sz w:val="24"/>
        </w:rPr>
        <w:t>通知和送达</w:t>
      </w:r>
      <w:bookmarkEnd w:id="478"/>
      <w:bookmarkEnd w:id="479"/>
      <w:bookmarkEnd w:id="480"/>
      <w:bookmarkEnd w:id="481"/>
      <w:bookmarkEnd w:id="482"/>
    </w:p>
    <w:p w14:paraId="13909610">
      <w:pPr>
        <w:spacing w:line="360" w:lineRule="auto"/>
        <w:ind w:firstLine="480" w:firstLineChars="200"/>
        <w:rPr>
          <w:rFonts w:ascii="宋体" w:hAnsi="宋体"/>
          <w:sz w:val="24"/>
        </w:rPr>
      </w:pPr>
      <w:bookmarkStart w:id="483" w:name="_Toc27674"/>
      <w:bookmarkStart w:id="484" w:name="_Toc18401"/>
      <w:r>
        <w:rPr>
          <w:rFonts w:hint="eastAsia" w:ascii="宋体" w:hAnsi="宋体"/>
          <w:sz w:val="24"/>
        </w:rPr>
        <w:t>1.任何一方因履行合同等问题而以合同第二章尾部所列明的电子邮件发出的所有通知、文件、材料，均视为已向对方当事人送达；任何一方变更上述送达方式或者地址的，应于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70FEAF34">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483"/>
      <w:bookmarkEnd w:id="484"/>
    </w:p>
    <w:p w14:paraId="60F1403B">
      <w:pPr>
        <w:spacing w:line="360" w:lineRule="auto"/>
        <w:ind w:firstLine="482" w:firstLineChars="200"/>
        <w:outlineLvl w:val="0"/>
        <w:rPr>
          <w:rFonts w:ascii="宋体" w:hAnsi="宋体" w:cs="宋体"/>
          <w:b/>
          <w:sz w:val="24"/>
        </w:rPr>
      </w:pPr>
      <w:bookmarkStart w:id="485" w:name="_Toc30599"/>
      <w:bookmarkStart w:id="486" w:name="_Toc4355"/>
      <w:bookmarkStart w:id="487" w:name="_Toc18540"/>
      <w:bookmarkStart w:id="488" w:name="_Toc20808"/>
      <w:bookmarkStart w:id="489" w:name="_Toc28906"/>
      <w:bookmarkStart w:id="490" w:name="_Toc27644"/>
      <w:bookmarkStart w:id="491" w:name="_Toc12254"/>
      <w:bookmarkStart w:id="492" w:name="_Toc5063"/>
      <w:r>
        <w:rPr>
          <w:rFonts w:hint="eastAsia" w:ascii="宋体" w:hAnsi="宋体" w:cs="宋体"/>
          <w:b/>
          <w:sz w:val="24"/>
        </w:rPr>
        <w:t>十六、计量单位</w:t>
      </w:r>
      <w:bookmarkEnd w:id="485"/>
      <w:bookmarkEnd w:id="486"/>
      <w:bookmarkEnd w:id="487"/>
    </w:p>
    <w:p w14:paraId="68BD3580">
      <w:pPr>
        <w:spacing w:line="360" w:lineRule="auto"/>
        <w:ind w:firstLine="480" w:firstLineChars="200"/>
        <w:rPr>
          <w:rFonts w:ascii="宋体" w:hAnsi="宋体"/>
          <w:b/>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14:paraId="56CCFD8D">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88"/>
      <w:bookmarkEnd w:id="489"/>
      <w:bookmarkEnd w:id="490"/>
      <w:bookmarkEnd w:id="491"/>
      <w:bookmarkEnd w:id="492"/>
    </w:p>
    <w:p w14:paraId="5F546DCA">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rPr>
        <w:t>写、</w:t>
      </w:r>
      <w:r>
        <w:rPr>
          <w:rFonts w:ascii="宋体" w:hAnsi="宋体"/>
          <w:sz w:val="24"/>
        </w:rPr>
        <w:t>变更和解释</w:t>
      </w:r>
      <w:r>
        <w:rPr>
          <w:rFonts w:hint="eastAsia" w:ascii="宋体" w:hAnsi="宋体"/>
          <w:sz w:val="24"/>
        </w:rPr>
        <w:t>；</w:t>
      </w:r>
    </w:p>
    <w:p w14:paraId="2ADC76A5">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14:paraId="70B6A221">
      <w:pPr>
        <w:spacing w:line="360" w:lineRule="auto"/>
        <w:ind w:firstLine="482" w:firstLineChars="200"/>
        <w:outlineLvl w:val="0"/>
        <w:rPr>
          <w:rFonts w:ascii="宋体" w:hAnsi="宋体"/>
          <w:b/>
          <w:sz w:val="24"/>
        </w:rPr>
      </w:pPr>
      <w:r>
        <w:rPr>
          <w:rFonts w:hint="eastAsia" w:ascii="宋体" w:hAnsi="宋体"/>
          <w:b/>
          <w:sz w:val="24"/>
        </w:rPr>
        <w:t>十八、特别提示</w:t>
      </w:r>
    </w:p>
    <w:p w14:paraId="4953C016">
      <w:pPr>
        <w:spacing w:line="360" w:lineRule="auto"/>
        <w:ind w:firstLine="482" w:firstLineChars="200"/>
        <w:rPr>
          <w:rFonts w:ascii="宋体" w:hAnsi="宋体"/>
          <w:b/>
          <w:bCs/>
          <w:sz w:val="24"/>
          <w:u w:val="single"/>
        </w:rPr>
      </w:pPr>
      <w:r>
        <w:rPr>
          <w:rFonts w:hint="eastAsia" w:ascii="宋体" w:hAnsi="宋体"/>
          <w:b/>
          <w:bCs/>
          <w:sz w:val="24"/>
          <w:u w:val="single"/>
        </w:rPr>
        <w:t>甲乙双方共同确认：本合同系经双方协商后订立，双方已就本合同（包括但不限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47EE86CD"/>
    <w:p w14:paraId="10B0CE59">
      <w:pPr>
        <w:pStyle w:val="25"/>
        <w:spacing w:line="560" w:lineRule="exact"/>
        <w:ind w:left="0" w:leftChars="0" w:firstLine="0" w:firstLineChars="0"/>
        <w:jc w:val="center"/>
        <w:rPr>
          <w:rFonts w:ascii="宋体" w:hAnsi="宋体"/>
          <w:b/>
          <w:szCs w:val="24"/>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110CA5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ign w:val="center"/>
          </w:tcPr>
          <w:p w14:paraId="7AE59E25">
            <w:pPr>
              <w:spacing w:line="360" w:lineRule="auto"/>
              <w:rPr>
                <w:rFonts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tcPr>
          <w:p w14:paraId="48B48784">
            <w:pPr>
              <w:spacing w:line="360" w:lineRule="auto"/>
              <w:rPr>
                <w:rFonts w:ascii="宋体" w:hAnsi="宋体" w:eastAsia="宋体" w:cs="Times New Roman"/>
                <w:sz w:val="24"/>
                <w:lang w:val="zh-CN"/>
              </w:rPr>
            </w:pPr>
            <w:r>
              <w:rPr>
                <w:rFonts w:hint="eastAsia" w:ascii="宋体" w:hAnsi="宋体" w:eastAsia="宋体" w:cs="Times New Roman"/>
                <w:sz w:val="24"/>
                <w:lang w:val="zh-CN"/>
              </w:rPr>
              <w:t xml:space="preserve">乙方： </w:t>
            </w:r>
            <w:r>
              <w:rPr>
                <w:rFonts w:hint="eastAsia" w:ascii="宋体" w:hAnsi="宋体" w:cs="宋体"/>
                <w:sz w:val="24"/>
                <w:u w:val="single"/>
              </w:rPr>
              <w:t>***有限公司</w:t>
            </w:r>
          </w:p>
        </w:tc>
      </w:tr>
      <w:tr w14:paraId="27309E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ign w:val="center"/>
          </w:tcPr>
          <w:p w14:paraId="0BEC76DE">
            <w:pPr>
              <w:spacing w:line="360" w:lineRule="auto"/>
              <w:rPr>
                <w:rFonts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tcPr>
          <w:p w14:paraId="23772AD0">
            <w:pPr>
              <w:spacing w:line="360" w:lineRule="auto"/>
              <w:rPr>
                <w:rFonts w:ascii="宋体" w:hAnsi="宋体" w:eastAsia="宋体" w:cs="Times New Roman"/>
                <w:sz w:val="24"/>
              </w:rPr>
            </w:pPr>
            <w:r>
              <w:rPr>
                <w:rFonts w:hint="eastAsia" w:ascii="宋体" w:hAnsi="宋体" w:eastAsia="宋体" w:cs="Times New Roman"/>
                <w:sz w:val="24"/>
                <w:lang w:val="zh-CN"/>
              </w:rPr>
              <w:t>统一社会信用代码：</w:t>
            </w:r>
          </w:p>
          <w:p w14:paraId="50487EB6">
            <w:pPr>
              <w:spacing w:line="360" w:lineRule="auto"/>
              <w:rPr>
                <w:rFonts w:ascii="宋体" w:hAnsi="宋体" w:eastAsia="宋体" w:cs="Times New Roman"/>
                <w:sz w:val="24"/>
                <w:lang w:val="zh-CN"/>
              </w:rPr>
            </w:pPr>
          </w:p>
        </w:tc>
      </w:tr>
      <w:tr w14:paraId="5CC861D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ign w:val="center"/>
          </w:tcPr>
          <w:p w14:paraId="1071965D">
            <w:pPr>
              <w:spacing w:line="360" w:lineRule="auto"/>
              <w:rPr>
                <w:rFonts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tcPr>
          <w:p w14:paraId="3F9AF975">
            <w:pPr>
              <w:spacing w:line="360" w:lineRule="auto"/>
              <w:rPr>
                <w:rFonts w:ascii="宋体" w:hAnsi="宋体" w:eastAsia="宋体" w:cs="Times New Roman"/>
                <w:sz w:val="24"/>
                <w:lang w:val="zh-CN"/>
              </w:rPr>
            </w:pPr>
            <w:r>
              <w:rPr>
                <w:rFonts w:hint="eastAsia" w:ascii="宋体" w:hAnsi="宋体" w:eastAsia="宋体" w:cs="Times New Roman"/>
                <w:sz w:val="24"/>
                <w:lang w:val="zh-CN"/>
              </w:rPr>
              <w:t>地址：</w:t>
            </w:r>
          </w:p>
        </w:tc>
      </w:tr>
      <w:tr w14:paraId="7D3595A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ign w:val="center"/>
          </w:tcPr>
          <w:p w14:paraId="3A1DCB2C">
            <w:pPr>
              <w:spacing w:line="360" w:lineRule="auto"/>
              <w:rPr>
                <w:rFonts w:ascii="宋体" w:hAnsi="宋体" w:eastAsia="宋体" w:cs="Times New Roman"/>
                <w:sz w:val="24"/>
              </w:rPr>
            </w:pPr>
            <w:r>
              <w:rPr>
                <w:rFonts w:hint="eastAsia" w:ascii="宋体" w:hAnsi="宋体" w:eastAsia="宋体" w:cs="Times New Roman"/>
                <w:sz w:val="24"/>
                <w:lang w:val="zh-CN"/>
              </w:rPr>
              <w:t>电子邮箱</w:t>
            </w:r>
            <w:r>
              <w:rPr>
                <w:rFonts w:hint="eastAsia" w:ascii="宋体" w:hAnsi="宋体" w:eastAsia="宋体" w:cs="Times New Roman"/>
                <w:sz w:val="24"/>
              </w:rPr>
              <w:t>：</w:t>
            </w:r>
            <w:r>
              <w:rPr>
                <w:rFonts w:hint="eastAsia" w:ascii="宋体" w:hAnsi="宋体" w:eastAsia="宋体" w:cs="仿宋"/>
                <w:sz w:val="24"/>
              </w:rPr>
              <w:t>ljhj_cg1@ljhjny.com</w:t>
            </w:r>
          </w:p>
        </w:tc>
        <w:tc>
          <w:tcPr>
            <w:tcW w:w="5220" w:type="dxa"/>
            <w:tcBorders>
              <w:top w:val="dotted" w:color="auto" w:sz="4" w:space="0"/>
              <w:left w:val="dotted" w:color="auto" w:sz="4" w:space="0"/>
              <w:bottom w:val="dotted" w:color="auto" w:sz="4" w:space="0"/>
              <w:right w:val="dotted" w:color="auto" w:sz="4" w:space="0"/>
            </w:tcBorders>
            <w:noWrap/>
          </w:tcPr>
          <w:p w14:paraId="1CFA3075">
            <w:pPr>
              <w:spacing w:line="360" w:lineRule="auto"/>
              <w:rPr>
                <w:rFonts w:ascii="宋体" w:hAnsi="宋体" w:eastAsia="宋体" w:cs="Times New Roman"/>
                <w:sz w:val="24"/>
              </w:rPr>
            </w:pPr>
            <w:r>
              <w:rPr>
                <w:rFonts w:hint="eastAsia" w:ascii="宋体" w:hAnsi="宋体" w:eastAsia="宋体" w:cs="Times New Roman"/>
                <w:sz w:val="24"/>
                <w:lang w:val="zh-CN"/>
              </w:rPr>
              <w:t>电子邮箱：</w:t>
            </w:r>
          </w:p>
        </w:tc>
      </w:tr>
      <w:tr w14:paraId="7B3996D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ign w:val="center"/>
          </w:tcPr>
          <w:p w14:paraId="35C6B1E1">
            <w:pPr>
              <w:spacing w:line="360" w:lineRule="auto"/>
              <w:rPr>
                <w:rFonts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ign w:val="center"/>
          </w:tcPr>
          <w:p w14:paraId="7FBB787D">
            <w:pPr>
              <w:spacing w:line="360" w:lineRule="auto"/>
              <w:rPr>
                <w:rFonts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14331C1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ign w:val="center"/>
          </w:tcPr>
          <w:p w14:paraId="2701557A">
            <w:pPr>
              <w:spacing w:line="360" w:lineRule="auto"/>
              <w:rPr>
                <w:rFonts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ign w:val="center"/>
          </w:tcPr>
          <w:p w14:paraId="42DBC74E">
            <w:pPr>
              <w:spacing w:line="360" w:lineRule="auto"/>
              <w:rPr>
                <w:rFonts w:ascii="宋体" w:hAnsi="宋体" w:eastAsia="宋体" w:cs="Times New Roman"/>
                <w:sz w:val="24"/>
              </w:rPr>
            </w:pPr>
            <w:r>
              <w:rPr>
                <w:rFonts w:hint="eastAsia" w:ascii="宋体" w:hAnsi="宋体" w:eastAsia="宋体" w:cs="Times New Roman"/>
                <w:sz w:val="24"/>
                <w:lang w:val="zh-CN"/>
              </w:rPr>
              <w:t>开户银行：</w:t>
            </w:r>
          </w:p>
        </w:tc>
      </w:tr>
      <w:tr w14:paraId="02ED4EC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ign w:val="center"/>
          </w:tcPr>
          <w:p w14:paraId="590E27BB">
            <w:pPr>
              <w:spacing w:line="360" w:lineRule="auto"/>
              <w:rPr>
                <w:rFonts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ign w:val="center"/>
          </w:tcPr>
          <w:p w14:paraId="2CFB24D7">
            <w:pPr>
              <w:spacing w:line="360" w:lineRule="auto"/>
              <w:rPr>
                <w:rFonts w:ascii="宋体" w:hAnsi="宋体" w:eastAsia="宋体" w:cs="Times New Roman"/>
                <w:sz w:val="24"/>
              </w:rPr>
            </w:pPr>
            <w:r>
              <w:rPr>
                <w:rFonts w:hint="eastAsia" w:ascii="宋体" w:hAnsi="宋体" w:eastAsia="宋体" w:cs="Times New Roman"/>
                <w:sz w:val="24"/>
                <w:lang w:val="zh-CN"/>
              </w:rPr>
              <w:t>开户账号：</w:t>
            </w:r>
          </w:p>
        </w:tc>
      </w:tr>
    </w:tbl>
    <w:p w14:paraId="62019EAF">
      <w:pPr>
        <w:pStyle w:val="25"/>
        <w:spacing w:line="560" w:lineRule="exact"/>
        <w:ind w:left="0" w:leftChars="0" w:firstLine="0" w:firstLineChars="0"/>
        <w:jc w:val="center"/>
        <w:rPr>
          <w:rFonts w:ascii="宋体" w:hAnsi="宋体"/>
          <w:b/>
          <w:szCs w:val="24"/>
        </w:rPr>
      </w:pPr>
    </w:p>
    <w:p w14:paraId="3DB59244">
      <w:pPr>
        <w:pStyle w:val="25"/>
        <w:spacing w:line="560" w:lineRule="exact"/>
        <w:ind w:left="0" w:leftChars="0" w:firstLine="0" w:firstLineChars="0"/>
        <w:jc w:val="center"/>
        <w:rPr>
          <w:rFonts w:ascii="宋体" w:hAnsi="宋体"/>
          <w:b/>
          <w:szCs w:val="24"/>
        </w:rPr>
      </w:pPr>
    </w:p>
    <w:p w14:paraId="3A2D5133"/>
    <w:p w14:paraId="2DDFCDA6"/>
    <w:p w14:paraId="0F8B9A21">
      <w:pPr>
        <w:rPr>
          <w:rFonts w:ascii="宋体" w:hAnsi="宋体"/>
          <w:b/>
        </w:rPr>
      </w:pPr>
      <w:r>
        <w:rPr>
          <w:rFonts w:hint="eastAsia" w:ascii="宋体" w:hAnsi="宋体"/>
          <w:b/>
        </w:rPr>
        <w:br w:type="page"/>
      </w:r>
    </w:p>
    <w:p w14:paraId="7962D74D">
      <w:pPr>
        <w:pStyle w:val="25"/>
        <w:spacing w:line="560" w:lineRule="exact"/>
        <w:ind w:left="0" w:leftChars="0" w:firstLine="0" w:firstLineChars="0"/>
        <w:jc w:val="center"/>
        <w:rPr>
          <w:rFonts w:ascii="宋体" w:hAnsi="宋体"/>
          <w:b/>
          <w:szCs w:val="24"/>
        </w:rPr>
      </w:pPr>
      <w:r>
        <w:rPr>
          <w:rFonts w:hint="eastAsia" w:ascii="宋体" w:hAnsi="宋体"/>
          <w:b/>
          <w:szCs w:val="24"/>
        </w:rPr>
        <w:t>第三章  安全协议</w:t>
      </w:r>
    </w:p>
    <w:p w14:paraId="550C5CD3">
      <w:pPr>
        <w:widowControl/>
        <w:spacing w:line="360" w:lineRule="auto"/>
        <w:jc w:val="left"/>
        <w:rPr>
          <w:rFonts w:ascii="宋体" w:hAnsi="宋体" w:cs="宋体"/>
          <w:sz w:val="24"/>
        </w:rPr>
      </w:pPr>
      <w:r>
        <w:rPr>
          <w:rFonts w:hint="eastAsia" w:ascii="宋体" w:hAnsi="宋体" w:cs="宋体"/>
          <w:kern w:val="0"/>
          <w:sz w:val="24"/>
        </w:rPr>
        <w:t>发包单位：</w:t>
      </w:r>
      <w:r>
        <w:rPr>
          <w:rFonts w:hint="eastAsia" w:ascii="宋体" w:hAnsi="宋体" w:cs="宋体"/>
          <w:kern w:val="0"/>
          <w:sz w:val="24"/>
          <w:u w:val="single"/>
        </w:rPr>
        <w:t>杭州临江环境能源有限公司</w:t>
      </w:r>
      <w:r>
        <w:rPr>
          <w:rFonts w:hint="eastAsia" w:ascii="宋体" w:hAnsi="宋体" w:cs="宋体"/>
          <w:kern w:val="0"/>
          <w:sz w:val="24"/>
        </w:rPr>
        <w:t xml:space="preserve">（简称甲方） </w:t>
      </w:r>
    </w:p>
    <w:p w14:paraId="53D8440A">
      <w:pPr>
        <w:widowControl/>
        <w:spacing w:line="360" w:lineRule="auto"/>
        <w:jc w:val="left"/>
        <w:rPr>
          <w:rFonts w:ascii="宋体" w:hAnsi="宋体" w:cs="宋体"/>
          <w:sz w:val="24"/>
        </w:rPr>
      </w:pPr>
      <w:r>
        <w:rPr>
          <w:rFonts w:hint="eastAsia" w:ascii="宋体" w:hAnsi="宋体" w:cs="宋体"/>
          <w:kern w:val="0"/>
          <w:sz w:val="24"/>
        </w:rPr>
        <w:t>承包单位：</w:t>
      </w:r>
      <w:r>
        <w:rPr>
          <w:rFonts w:hint="eastAsia" w:ascii="宋体" w:hAnsi="宋体" w:cs="宋体"/>
          <w:kern w:val="0"/>
          <w:sz w:val="24"/>
          <w:u w:val="single"/>
        </w:rPr>
        <w:t xml:space="preserve">  ***有限公司 </w:t>
      </w:r>
      <w:r>
        <w:rPr>
          <w:rFonts w:hint="eastAsia" w:ascii="宋体" w:hAnsi="宋体" w:cs="宋体"/>
          <w:kern w:val="0"/>
          <w:sz w:val="24"/>
        </w:rPr>
        <w:t xml:space="preserve">（简称乙方） </w:t>
      </w:r>
    </w:p>
    <w:p w14:paraId="03F4EF69">
      <w:pPr>
        <w:widowControl/>
        <w:spacing w:line="360" w:lineRule="auto"/>
        <w:ind w:firstLine="480" w:firstLineChars="200"/>
        <w:jc w:val="left"/>
        <w:rPr>
          <w:rFonts w:ascii="宋体" w:hAnsi="宋体" w:cs="宋体"/>
          <w:sz w:val="24"/>
        </w:rPr>
      </w:pPr>
      <w:r>
        <w:rPr>
          <w:rFonts w:hint="eastAsia" w:ascii="宋体" w:hAnsi="宋体" w:cs="宋体"/>
          <w:kern w:val="0"/>
          <w:sz w:val="24"/>
        </w:rPr>
        <w:t>甲方将</w:t>
      </w:r>
      <w:r>
        <w:rPr>
          <w:rFonts w:hint="eastAsia" w:ascii="宋体" w:hAnsi="宋体" w:cs="宋体"/>
          <w:kern w:val="0"/>
          <w:sz w:val="24"/>
          <w:u w:val="single"/>
        </w:rPr>
        <w:t xml:space="preserve">  </w:t>
      </w:r>
      <w:r>
        <w:rPr>
          <w:rFonts w:hint="eastAsia" w:ascii="宋体" w:hAnsi="宋体" w:cs="宋体"/>
          <w:kern w:val="0"/>
          <w:sz w:val="24"/>
          <w:u w:val="single"/>
          <w:lang w:eastAsia="zh-CN"/>
        </w:rPr>
        <w:t>2025年三固运行中心循环水系统在线化学清洗服务采购项目</w:t>
      </w:r>
      <w:r>
        <w:rPr>
          <w:rFonts w:hint="eastAsia" w:ascii="宋体" w:hAnsi="宋体" w:cs="宋体"/>
          <w:kern w:val="0"/>
          <w:sz w:val="24"/>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255E9ADC">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一、服务项目 </w:t>
      </w:r>
    </w:p>
    <w:p w14:paraId="48C9B7FA">
      <w:pPr>
        <w:widowControl/>
        <w:spacing w:line="360" w:lineRule="auto"/>
        <w:ind w:firstLine="480" w:firstLineChars="200"/>
        <w:jc w:val="left"/>
        <w:rPr>
          <w:rFonts w:hint="eastAsia" w:ascii="宋体" w:hAnsi="宋体" w:cs="宋体" w:eastAsiaTheme="minorEastAsia"/>
          <w:sz w:val="24"/>
          <w:lang w:eastAsia="zh-CN"/>
        </w:rPr>
      </w:pPr>
      <w:r>
        <w:rPr>
          <w:rFonts w:hint="eastAsia" w:ascii="宋体" w:hAnsi="宋体" w:cs="宋体"/>
          <w:kern w:val="0"/>
          <w:sz w:val="24"/>
        </w:rPr>
        <w:t xml:space="preserve">1.项目名称： </w:t>
      </w:r>
      <w:r>
        <w:rPr>
          <w:rFonts w:hint="eastAsia" w:ascii="宋体" w:hAnsi="宋体" w:cs="宋体"/>
          <w:kern w:val="0"/>
          <w:sz w:val="24"/>
          <w:u w:val="single"/>
        </w:rPr>
        <w:t xml:space="preserve">   </w:t>
      </w:r>
      <w:r>
        <w:rPr>
          <w:rFonts w:hint="eastAsia" w:ascii="宋体" w:hAnsi="宋体" w:cs="宋体"/>
          <w:kern w:val="0"/>
          <w:sz w:val="24"/>
          <w:u w:val="single"/>
          <w:lang w:eastAsia="zh-CN"/>
        </w:rPr>
        <w:t>2025年三固运行中心循环水系统在线化学清洗服务采购项目</w:t>
      </w:r>
    </w:p>
    <w:p w14:paraId="00896717">
      <w:pPr>
        <w:widowControl/>
        <w:spacing w:line="360" w:lineRule="auto"/>
        <w:ind w:firstLine="480" w:firstLineChars="200"/>
        <w:jc w:val="left"/>
        <w:rPr>
          <w:rFonts w:ascii="宋体" w:hAnsi="宋体" w:cs="宋体"/>
          <w:sz w:val="24"/>
        </w:rPr>
      </w:pPr>
      <w:r>
        <w:rPr>
          <w:rFonts w:hint="eastAsia" w:ascii="宋体" w:hAnsi="宋体" w:cs="宋体"/>
          <w:kern w:val="0"/>
          <w:sz w:val="24"/>
        </w:rPr>
        <w:t>2.项目地址：位于浙江省杭</w:t>
      </w:r>
      <w:r>
        <w:rPr>
          <w:rFonts w:hint="eastAsia" w:ascii="宋体" w:hAnsi="宋体" w:cs="宋体"/>
          <w:kern w:val="0"/>
          <w:sz w:val="24"/>
          <w:lang w:eastAsia="zh-CN"/>
        </w:rPr>
        <w:t>州市</w:t>
      </w:r>
      <w:r>
        <w:rPr>
          <w:rFonts w:hint="eastAsia" w:ascii="宋体" w:hAnsi="宋体" w:cs="宋体"/>
          <w:kern w:val="0"/>
          <w:sz w:val="24"/>
        </w:rPr>
        <w:t xml:space="preserve">钱塘区临江街道杭州临江环境能源有限公司厂区内。 </w:t>
      </w:r>
    </w:p>
    <w:p w14:paraId="1C7D9581">
      <w:pPr>
        <w:spacing w:line="360" w:lineRule="auto"/>
        <w:ind w:firstLine="602" w:firstLineChars="250"/>
        <w:rPr>
          <w:rFonts w:ascii="宋体" w:hAnsi="宋体" w:cs="宋体"/>
          <w:b/>
          <w:sz w:val="24"/>
        </w:rPr>
      </w:pPr>
      <w:r>
        <w:rPr>
          <w:rFonts w:hint="eastAsia" w:ascii="宋体" w:hAnsi="宋体" w:cs="宋体"/>
          <w:b/>
          <w:sz w:val="24"/>
        </w:rPr>
        <w:t>二、甲方职责</w:t>
      </w:r>
    </w:p>
    <w:p w14:paraId="5F99D232">
      <w:pPr>
        <w:spacing w:line="360" w:lineRule="auto"/>
        <w:ind w:firstLine="480" w:firstLineChars="200"/>
        <w:rPr>
          <w:rFonts w:ascii="宋体" w:hAnsi="宋体" w:cs="宋体"/>
          <w:sz w:val="24"/>
        </w:rPr>
      </w:pPr>
      <w:r>
        <w:rPr>
          <w:rFonts w:hint="eastAsia" w:ascii="宋体" w:hAnsi="宋体" w:cs="宋体"/>
          <w:sz w:val="24"/>
        </w:rPr>
        <w:t>1.甲方对乙方资质进行审查，确保符合要求，并为乙方正常服务场所工作提供便利，项目实施前就各实施区域的现状及周边情况向乙方进行交底。如：实施项目周边的电缆线、消防管道及排水沟及周边车辆行驶情况等。</w:t>
      </w:r>
    </w:p>
    <w:p w14:paraId="265DE5C3">
      <w:pPr>
        <w:spacing w:line="360" w:lineRule="auto"/>
        <w:ind w:firstLine="480" w:firstLineChars="200"/>
        <w:rPr>
          <w:rFonts w:ascii="宋体" w:hAnsi="宋体" w:cs="宋体"/>
          <w:sz w:val="24"/>
        </w:rPr>
      </w:pPr>
      <w:r>
        <w:rPr>
          <w:rFonts w:hint="eastAsia" w:ascii="宋体" w:hAnsi="宋体" w:cs="宋体"/>
          <w:sz w:val="24"/>
        </w:rPr>
        <w:t>2.为本项目指定专人负责具体的联系沟通工作。</w:t>
      </w:r>
    </w:p>
    <w:p w14:paraId="10728838">
      <w:pPr>
        <w:spacing w:line="360" w:lineRule="auto"/>
        <w:ind w:firstLine="480" w:firstLineChars="200"/>
        <w:rPr>
          <w:rFonts w:ascii="宋体" w:hAnsi="宋体" w:cs="宋体"/>
          <w:sz w:val="24"/>
        </w:rPr>
      </w:pPr>
      <w:r>
        <w:rPr>
          <w:rFonts w:hint="eastAsia" w:ascii="宋体" w:hAnsi="宋体" w:cs="宋体"/>
          <w:sz w:val="24"/>
        </w:rPr>
        <w:t>3.做好与本项目有关的其他各级单位的沟通协调工作。</w:t>
      </w:r>
    </w:p>
    <w:p w14:paraId="089701AC">
      <w:pPr>
        <w:spacing w:line="360" w:lineRule="auto"/>
        <w:ind w:firstLine="482" w:firstLineChars="200"/>
        <w:rPr>
          <w:rFonts w:ascii="宋体" w:hAnsi="宋体" w:cs="宋体"/>
          <w:b/>
          <w:sz w:val="24"/>
        </w:rPr>
      </w:pPr>
      <w:r>
        <w:rPr>
          <w:rFonts w:hint="eastAsia" w:ascii="宋体" w:hAnsi="宋体" w:cs="宋体"/>
          <w:b/>
          <w:sz w:val="24"/>
        </w:rPr>
        <w:t>三、乙方职责</w:t>
      </w:r>
    </w:p>
    <w:p w14:paraId="4F0DC473">
      <w:pPr>
        <w:adjustRightInd w:val="0"/>
        <w:spacing w:line="360" w:lineRule="auto"/>
        <w:ind w:firstLine="480" w:firstLineChars="200"/>
        <w:rPr>
          <w:rFonts w:hAnsi="宋体" w:cs="宋体"/>
          <w:sz w:val="24"/>
        </w:rPr>
      </w:pPr>
      <w:r>
        <w:rPr>
          <w:rFonts w:hint="eastAsia" w:hAnsi="宋体" w:cs="宋体"/>
          <w:sz w:val="24"/>
        </w:rPr>
        <w:t>1.乙方应落实安全管理人员和安全管理措施。</w:t>
      </w:r>
    </w:p>
    <w:p w14:paraId="4CB69EF3">
      <w:pPr>
        <w:spacing w:line="360" w:lineRule="auto"/>
        <w:ind w:firstLine="480" w:firstLineChars="200"/>
        <w:rPr>
          <w:rFonts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14:paraId="6B0C097A">
      <w:pPr>
        <w:spacing w:line="360" w:lineRule="auto"/>
        <w:ind w:firstLine="480" w:firstLineChars="200"/>
        <w:rPr>
          <w:rFonts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14:paraId="3AF2A6BD">
      <w:pPr>
        <w:spacing w:line="360" w:lineRule="auto"/>
        <w:ind w:firstLine="480" w:firstLineChars="200"/>
        <w:rPr>
          <w:rFonts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14:paraId="407AD3A5">
      <w:pPr>
        <w:spacing w:line="360" w:lineRule="auto"/>
        <w:ind w:firstLine="480" w:firstLineChars="200"/>
        <w:rPr>
          <w:rFonts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14:paraId="6F7B096A">
      <w:pPr>
        <w:spacing w:line="360" w:lineRule="auto"/>
        <w:ind w:firstLine="480" w:firstLineChars="200"/>
        <w:rPr>
          <w:rFonts w:ascii="宋体" w:hAnsi="宋体" w:cs="宋体"/>
          <w:sz w:val="24"/>
        </w:rPr>
      </w:pPr>
      <w:r>
        <w:rPr>
          <w:rFonts w:hint="eastAsia" w:ascii="宋体" w:hAnsi="宋体" w:cs="宋体"/>
          <w:sz w:val="24"/>
          <w:lang w:eastAsia="zh-CN"/>
        </w:rPr>
        <w:t>6.</w:t>
      </w:r>
      <w:r>
        <w:rPr>
          <w:rFonts w:hint="eastAsia" w:ascii="宋体" w:hAnsi="宋体" w:cs="宋体"/>
          <w:sz w:val="24"/>
        </w:rPr>
        <w:t>安全、规范、文明、科学作业，不损坏甲方的地上地下各类设施，确保项目实施区域安全有序。</w:t>
      </w:r>
    </w:p>
    <w:p w14:paraId="6EDF90E9">
      <w:pPr>
        <w:spacing w:line="360" w:lineRule="auto"/>
        <w:ind w:firstLine="480" w:firstLineChars="200"/>
        <w:rPr>
          <w:rFonts w:ascii="宋体" w:hAnsi="宋体" w:cs="宋体"/>
          <w:sz w:val="24"/>
        </w:rPr>
      </w:pPr>
      <w:r>
        <w:rPr>
          <w:rFonts w:hint="eastAsia" w:ascii="宋体" w:hAnsi="宋体" w:cs="宋体"/>
          <w:sz w:val="24"/>
        </w:rPr>
        <w:t>7.接受甲方的监督检查。</w:t>
      </w:r>
    </w:p>
    <w:p w14:paraId="167597A3">
      <w:pPr>
        <w:spacing w:line="360" w:lineRule="auto"/>
        <w:ind w:firstLine="482" w:firstLineChars="200"/>
        <w:rPr>
          <w:rFonts w:ascii="宋体" w:hAnsi="宋体" w:cs="宋体"/>
          <w:sz w:val="24"/>
        </w:rPr>
      </w:pPr>
      <w:r>
        <w:rPr>
          <w:rFonts w:hint="eastAsia" w:ascii="宋体" w:hAnsi="宋体" w:cs="宋体"/>
          <w:b/>
          <w:sz w:val="24"/>
        </w:rPr>
        <w:t>四、违约责任</w:t>
      </w:r>
    </w:p>
    <w:p w14:paraId="4970AB59">
      <w:pPr>
        <w:spacing w:line="360" w:lineRule="auto"/>
        <w:ind w:firstLine="480" w:firstLineChars="200"/>
        <w:rPr>
          <w:rFonts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14:paraId="165B67E3">
      <w:pPr>
        <w:spacing w:line="360" w:lineRule="auto"/>
        <w:ind w:firstLine="480" w:firstLineChars="20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14:paraId="540402F3">
      <w:pPr>
        <w:spacing w:line="360" w:lineRule="auto"/>
        <w:ind w:firstLine="480" w:firstLineChars="20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14:paraId="711CF407">
      <w:pPr>
        <w:spacing w:line="360" w:lineRule="auto"/>
        <w:ind w:firstLine="480" w:firstLineChars="20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14:paraId="31089A24">
      <w:pPr>
        <w:spacing w:line="360" w:lineRule="auto"/>
        <w:ind w:firstLine="480" w:firstLineChars="20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14:paraId="6230B23B">
      <w:pPr>
        <w:spacing w:line="360" w:lineRule="auto"/>
        <w:ind w:firstLine="480" w:firstLineChars="20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14:paraId="78FE7988">
      <w:pPr>
        <w:spacing w:line="360" w:lineRule="auto"/>
        <w:ind w:firstLine="480" w:firstLineChars="200"/>
        <w:rPr>
          <w:rFonts w:ascii="宋体" w:hAnsi="宋体" w:cs="宋体"/>
          <w:sz w:val="24"/>
        </w:rPr>
      </w:pPr>
      <w:r>
        <w:rPr>
          <w:rFonts w:hint="eastAsia" w:ascii="宋体" w:hAnsi="宋体" w:cs="宋体"/>
          <w:sz w:val="24"/>
        </w:rPr>
        <w:t>2.乙方在项目服务过程中有下列行为的，扣罚履约保证金5000元/次：</w:t>
      </w:r>
    </w:p>
    <w:p w14:paraId="687B01EC">
      <w:pPr>
        <w:spacing w:line="360" w:lineRule="auto"/>
        <w:ind w:firstLine="480" w:firstLineChars="20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14:paraId="2EF70C21">
      <w:pPr>
        <w:spacing w:line="360" w:lineRule="auto"/>
        <w:ind w:firstLine="480" w:firstLineChars="20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p>
    <w:p w14:paraId="51B36E8C">
      <w:pPr>
        <w:spacing w:line="360" w:lineRule="auto"/>
        <w:ind w:firstLine="480" w:firstLineChars="200"/>
        <w:rPr>
          <w:rFonts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14:paraId="23DF8CF2">
      <w:pPr>
        <w:spacing w:line="360" w:lineRule="auto"/>
        <w:ind w:firstLine="480" w:firstLineChars="200"/>
        <w:rPr>
          <w:rFonts w:ascii="宋体" w:hAnsi="宋体" w:cs="宋体"/>
          <w:sz w:val="24"/>
        </w:rPr>
      </w:pPr>
      <w:r>
        <w:rPr>
          <w:rFonts w:hint="eastAsia" w:ascii="宋体" w:hAnsi="宋体" w:cs="宋体"/>
          <w:sz w:val="24"/>
        </w:rPr>
        <w:t>4.乙方在项目服务过程中，对甲方的设施、绿化道路造成影响，乙方应按甲方要求及时进行原貌恢复或清理，如乙方未能及时进行处理的，甲方有权委托相关部门执行，相应费用在乙方履约保证金中扣除。</w:t>
      </w:r>
    </w:p>
    <w:p w14:paraId="1269CB1C">
      <w:pPr>
        <w:spacing w:line="360" w:lineRule="auto"/>
        <w:ind w:firstLine="480" w:firstLineChars="200"/>
        <w:rPr>
          <w:rFonts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7BA65F61">
      <w:pPr>
        <w:spacing w:line="360" w:lineRule="auto"/>
        <w:ind w:firstLine="480" w:firstLineChars="200"/>
        <w:rPr>
          <w:rFonts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6.发生紧急情况，乙方应及时向上级主管和甲方报告，同时向相关领导或值班人员汇报。如发生人员伤亡应迅速抢救伤员，并在第一时间送往就近医院。</w:t>
      </w:r>
    </w:p>
    <w:p w14:paraId="7DE7D78D">
      <w:pPr>
        <w:spacing w:line="360" w:lineRule="auto"/>
        <w:ind w:firstLine="480" w:firstLineChars="200"/>
        <w:rPr>
          <w:rFonts w:ascii="宋体" w:hAnsi="宋体" w:cs="宋体"/>
          <w:sz w:val="24"/>
        </w:rPr>
      </w:pPr>
      <w:r>
        <w:rPr>
          <w:rFonts w:hint="eastAsia" w:ascii="宋体" w:hAnsi="宋体" w:cs="宋体"/>
          <w:sz w:val="24"/>
        </w:rPr>
        <w:t>7.在项目服务期间，乙方发生的安全事故以及造成的人员或财产损失由乙方全额负责。</w:t>
      </w:r>
    </w:p>
    <w:p w14:paraId="73C53090">
      <w:pPr>
        <w:spacing w:line="360" w:lineRule="auto"/>
        <w:ind w:firstLine="480" w:firstLineChars="200"/>
        <w:rPr>
          <w:rFonts w:ascii="宋体" w:hAnsi="宋体" w:cs="宋体"/>
          <w:sz w:val="24"/>
        </w:rPr>
      </w:pPr>
      <w:r>
        <w:rPr>
          <w:rFonts w:hint="eastAsia" w:ascii="宋体" w:hAnsi="宋体" w:cs="宋体"/>
          <w:sz w:val="24"/>
        </w:rPr>
        <w:t>8.其他违反甲方相关安全规章制度的现象，根据违规情况每次酌情扣罚履约保证金200—1000元。</w:t>
      </w:r>
    </w:p>
    <w:p w14:paraId="4BCEF7D3">
      <w:pPr>
        <w:spacing w:line="360" w:lineRule="auto"/>
        <w:ind w:firstLine="482" w:firstLineChars="200"/>
        <w:rPr>
          <w:rFonts w:ascii="宋体" w:hAnsi="宋体" w:cs="宋体"/>
          <w:b/>
          <w:sz w:val="24"/>
        </w:rPr>
      </w:pPr>
      <w:r>
        <w:rPr>
          <w:rFonts w:hint="eastAsia" w:ascii="宋体" w:hAnsi="宋体" w:cs="宋体"/>
          <w:b/>
          <w:sz w:val="24"/>
        </w:rPr>
        <w:t>五、其他</w:t>
      </w:r>
    </w:p>
    <w:p w14:paraId="3E32D614">
      <w:pPr>
        <w:widowControl/>
        <w:spacing w:line="360" w:lineRule="auto"/>
        <w:rPr>
          <w:rFonts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14:paraId="6E90EDEC">
      <w:pPr>
        <w:pStyle w:val="25"/>
        <w:spacing w:line="560" w:lineRule="exact"/>
        <w:ind w:left="0" w:leftChars="0" w:firstLine="0" w:firstLineChars="0"/>
        <w:jc w:val="center"/>
        <w:rPr>
          <w:rFonts w:ascii="宋体" w:hAnsi="宋体"/>
          <w:b/>
          <w:szCs w:val="24"/>
        </w:rPr>
      </w:pPr>
      <w:r>
        <w:rPr>
          <w:rFonts w:hint="eastAsia" w:ascii="宋体" w:hAnsi="宋体"/>
          <w:b/>
          <w:szCs w:val="24"/>
        </w:rPr>
        <w:br w:type="page"/>
      </w:r>
      <w:r>
        <w:rPr>
          <w:rFonts w:hint="eastAsia" w:ascii="宋体" w:hAnsi="宋体"/>
          <w:b/>
          <w:szCs w:val="24"/>
        </w:rPr>
        <w:t>第四章 廉洁协议</w:t>
      </w:r>
    </w:p>
    <w:p w14:paraId="263590B5">
      <w:pPr>
        <w:pStyle w:val="9"/>
        <w:ind w:firstLine="0" w:firstLineChars="0"/>
      </w:pPr>
    </w:p>
    <w:p w14:paraId="63E3240D">
      <w:pPr>
        <w:spacing w:line="360" w:lineRule="auto"/>
        <w:ind w:left="1" w:right="77" w:firstLine="426"/>
        <w:rPr>
          <w:rFonts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6A21DF3E">
      <w:pPr>
        <w:spacing w:line="360" w:lineRule="auto"/>
        <w:ind w:left="1" w:right="77" w:firstLine="426"/>
        <w:rPr>
          <w:rFonts w:ascii="宋体" w:hAnsi="宋体" w:eastAsia="宋体" w:cs="宋体"/>
          <w:sz w:val="24"/>
          <w:u w:val="single"/>
        </w:rPr>
      </w:pPr>
      <w:r>
        <w:rPr>
          <w:rFonts w:hint="eastAsia" w:ascii="宋体" w:hAnsi="宋体" w:cs="宋体"/>
          <w:sz w:val="24"/>
        </w:rPr>
        <w:t>乙方：</w:t>
      </w:r>
      <w:r>
        <w:rPr>
          <w:rFonts w:hint="eastAsia" w:ascii="宋体" w:hAnsi="宋体" w:cs="宋体"/>
          <w:sz w:val="24"/>
          <w:u w:val="single"/>
        </w:rPr>
        <w:t xml:space="preserve">  ***有限公司 </w:t>
      </w:r>
    </w:p>
    <w:p w14:paraId="515E6AEB">
      <w:pPr>
        <w:spacing w:line="360" w:lineRule="auto"/>
        <w:ind w:left="1" w:right="77" w:firstLine="426"/>
        <w:rPr>
          <w:rFonts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4E53E59B">
      <w:pPr>
        <w:spacing w:line="360" w:lineRule="auto"/>
        <w:ind w:firstLine="489" w:firstLineChars="203"/>
        <w:rPr>
          <w:rFonts w:ascii="宋体" w:hAnsi="宋体" w:cs="宋体"/>
          <w:b/>
          <w:bCs/>
          <w:sz w:val="24"/>
        </w:rPr>
      </w:pPr>
      <w:r>
        <w:rPr>
          <w:rFonts w:hint="eastAsia" w:ascii="宋体" w:hAnsi="宋体" w:cs="宋体"/>
          <w:b/>
          <w:bCs/>
          <w:sz w:val="24"/>
        </w:rPr>
        <w:t>一、甲、乙双方约定</w:t>
      </w:r>
    </w:p>
    <w:p w14:paraId="550AFD71">
      <w:pPr>
        <w:spacing w:line="360" w:lineRule="auto"/>
        <w:ind w:right="115" w:firstLine="480" w:firstLineChars="200"/>
        <w:rPr>
          <w:rFonts w:ascii="宋体" w:hAnsi="宋体" w:cs="宋体"/>
          <w:sz w:val="24"/>
        </w:rPr>
      </w:pPr>
      <w:r>
        <w:rPr>
          <w:rFonts w:hint="eastAsia" w:ascii="宋体" w:hAnsi="宋体" w:cs="宋体"/>
          <w:sz w:val="24"/>
        </w:rPr>
        <w:t>1.甲、乙双方应共同严格遵守国家和省市以及采购人主管部门关于市场准入、项目招标投标、市场经济活动等有关法律法规和相关政策，以及项目廉政建设的各项规定。</w:t>
      </w:r>
    </w:p>
    <w:p w14:paraId="09BE762D">
      <w:pPr>
        <w:spacing w:line="360" w:lineRule="auto"/>
        <w:ind w:firstLine="482" w:firstLineChars="201"/>
        <w:rPr>
          <w:rFonts w:ascii="宋体" w:hAnsi="宋体" w:cs="宋体"/>
          <w:sz w:val="24"/>
        </w:rPr>
      </w:pPr>
      <w:r>
        <w:rPr>
          <w:rFonts w:hint="eastAsia" w:ascii="宋体" w:hAnsi="宋体" w:cs="宋体"/>
          <w:sz w:val="24"/>
        </w:rPr>
        <w:t>2.甲、乙双方应认真执行双方签订的合同文件，  自觉按合同约定履行责任。</w:t>
      </w:r>
    </w:p>
    <w:p w14:paraId="073310C3">
      <w:pPr>
        <w:spacing w:line="360" w:lineRule="auto"/>
        <w:ind w:left="4" w:right="77" w:firstLine="480" w:firstLineChars="200"/>
        <w:rPr>
          <w:rFonts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14:paraId="7A491E0B">
      <w:pPr>
        <w:spacing w:line="360" w:lineRule="auto"/>
        <w:ind w:firstLine="482" w:firstLineChars="201"/>
        <w:rPr>
          <w:rFonts w:ascii="宋体" w:hAnsi="宋体" w:cs="宋体"/>
          <w:sz w:val="24"/>
        </w:rPr>
      </w:pPr>
      <w:r>
        <w:rPr>
          <w:rFonts w:hint="eastAsia" w:ascii="宋体" w:hAnsi="宋体" w:cs="宋体"/>
          <w:sz w:val="24"/>
        </w:rPr>
        <w:t>4.甲、乙双方有对本方人员开展廉政告知、廉政教育和职业道德教育的义务。</w:t>
      </w:r>
    </w:p>
    <w:p w14:paraId="506A57E7">
      <w:pPr>
        <w:spacing w:line="360" w:lineRule="auto"/>
        <w:ind w:left="3" w:right="77" w:firstLine="480" w:firstLineChars="200"/>
        <w:rPr>
          <w:rFonts w:ascii="宋体" w:hAnsi="宋体" w:cs="宋体"/>
          <w:sz w:val="24"/>
        </w:rPr>
      </w:pPr>
      <w:r>
        <w:rPr>
          <w:rFonts w:hint="eastAsia" w:ascii="宋体" w:hAnsi="宋体" w:cs="宋体"/>
          <w:sz w:val="24"/>
        </w:rPr>
        <w:t>5.甲、乙双方应加强对本方人员廉政监督，建立健全廉政制度，认真严肃查处本方人员违法违纪行为。</w:t>
      </w:r>
    </w:p>
    <w:p w14:paraId="7628C038">
      <w:pPr>
        <w:spacing w:line="360" w:lineRule="auto"/>
        <w:ind w:right="77" w:firstLine="482" w:firstLineChars="201"/>
        <w:rPr>
          <w:rFonts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6.甲、乙双方如发现对方人员在业务活动中有违规、违纪、违法行为的，应及时提醒对方并督促其纠正，或直接向对方法定代表人、纪检监察部门及检察机关如实反映情况。</w:t>
      </w:r>
    </w:p>
    <w:p w14:paraId="3A4A8006">
      <w:pPr>
        <w:spacing w:line="360" w:lineRule="auto"/>
        <w:ind w:firstLine="489" w:firstLineChars="203"/>
        <w:rPr>
          <w:rFonts w:ascii="宋体" w:hAnsi="宋体" w:cs="宋体"/>
          <w:b/>
          <w:bCs/>
          <w:sz w:val="24"/>
        </w:rPr>
      </w:pPr>
      <w:r>
        <w:rPr>
          <w:rFonts w:hint="eastAsia" w:ascii="宋体" w:hAnsi="宋体" w:cs="宋体"/>
          <w:b/>
          <w:bCs/>
          <w:sz w:val="24"/>
        </w:rPr>
        <w:t>二、甲方（含甲方人员）廉政责任</w:t>
      </w:r>
    </w:p>
    <w:p w14:paraId="2724EAF7">
      <w:pPr>
        <w:spacing w:line="360" w:lineRule="auto"/>
        <w:ind w:firstLine="482" w:firstLineChars="201"/>
        <w:rPr>
          <w:rFonts w:ascii="宋体" w:hAnsi="宋体" w:cs="宋体"/>
          <w:sz w:val="24"/>
        </w:rPr>
      </w:pPr>
      <w:r>
        <w:rPr>
          <w:rFonts w:hint="eastAsia" w:ascii="宋体" w:hAnsi="宋体" w:cs="宋体"/>
          <w:sz w:val="24"/>
        </w:rPr>
        <w:t>1.不得接受乙方或向乙方索取或以借用为名占用乙方的任何财物；不得接受乙方的礼金、</w:t>
      </w:r>
    </w:p>
    <w:p w14:paraId="491E345E">
      <w:pPr>
        <w:spacing w:line="360" w:lineRule="auto"/>
        <w:ind w:left="4" w:hanging="3"/>
        <w:rPr>
          <w:rFonts w:ascii="宋体" w:hAnsi="宋体" w:cs="宋体"/>
          <w:sz w:val="24"/>
        </w:rPr>
      </w:pPr>
      <w:r>
        <w:rPr>
          <w:rFonts w:hint="eastAsia" w:ascii="宋体" w:hAnsi="宋体" w:cs="宋体"/>
          <w:sz w:val="24"/>
        </w:rPr>
        <w:t>礼品和各种有价证券、支付凭证及其他贵重物品；不得接受</w:t>
      </w:r>
      <w:r>
        <w:rPr>
          <w:rFonts w:hint="eastAsia" w:ascii="宋体" w:hAnsi="宋体" w:cs="宋体"/>
          <w:sz w:val="24"/>
          <w:lang w:eastAsia="zh-CN"/>
        </w:rPr>
        <w:t>乙方</w:t>
      </w:r>
      <w:r>
        <w:rPr>
          <w:rFonts w:hint="eastAsia" w:ascii="宋体" w:hAnsi="宋体" w:cs="宋体"/>
          <w:sz w:val="24"/>
        </w:rPr>
        <w:t>以任何名义支付的回扣、好处费、感谢费或其他经济利益。</w:t>
      </w:r>
    </w:p>
    <w:p w14:paraId="28B75D21">
      <w:pPr>
        <w:spacing w:line="360" w:lineRule="auto"/>
        <w:ind w:right="77" w:firstLine="480" w:firstLineChars="200"/>
        <w:rPr>
          <w:rFonts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0A61F633">
      <w:pPr>
        <w:spacing w:line="360" w:lineRule="auto"/>
        <w:ind w:left="1" w:right="77" w:firstLine="480" w:firstLineChars="200"/>
        <w:rPr>
          <w:rFonts w:ascii="宋体" w:hAnsi="宋体" w:cs="宋体"/>
          <w:sz w:val="24"/>
        </w:rPr>
      </w:pPr>
      <w:r>
        <w:rPr>
          <w:rFonts w:hint="eastAsia" w:ascii="宋体" w:hAnsi="宋体" w:cs="宋体"/>
          <w:sz w:val="24"/>
        </w:rPr>
        <w:t>3.不得利用职务便利向乙方介绍或指定单位（或个人）、物资供应商；不得利用职务便利向乙方推销或指定使用物资设备等。</w:t>
      </w:r>
    </w:p>
    <w:p w14:paraId="7FD68B01">
      <w:pPr>
        <w:spacing w:line="360" w:lineRule="auto"/>
        <w:ind w:firstLine="482" w:firstLineChars="201"/>
        <w:rPr>
          <w:rFonts w:ascii="宋体" w:hAnsi="宋体" w:cs="宋体"/>
          <w:sz w:val="24"/>
        </w:rPr>
      </w:pPr>
      <w:r>
        <w:rPr>
          <w:rFonts w:hint="eastAsia" w:ascii="宋体" w:hAnsi="宋体" w:cs="宋体"/>
          <w:sz w:val="24"/>
        </w:rPr>
        <w:t>4.不得接受乙方购置的或长期提供的通信工具、交通工具等。</w:t>
      </w:r>
    </w:p>
    <w:p w14:paraId="046BB690">
      <w:pPr>
        <w:spacing w:line="360" w:lineRule="auto"/>
        <w:ind w:left="1" w:right="77" w:firstLine="480" w:firstLineChars="200"/>
        <w:rPr>
          <w:rFonts w:ascii="宋体" w:hAnsi="宋体" w:cs="宋体"/>
          <w:sz w:val="24"/>
        </w:rPr>
      </w:pPr>
      <w:r>
        <w:rPr>
          <w:rFonts w:hint="eastAsia" w:ascii="宋体" w:hAnsi="宋体" w:cs="宋体"/>
          <w:sz w:val="24"/>
        </w:rPr>
        <w:t>5.对无法拒绝的乙方及其个人所送的钱物，受礼者自收受之日起一个月内上交至甲方监察审计部门。</w:t>
      </w:r>
    </w:p>
    <w:p w14:paraId="76A75C45">
      <w:pPr>
        <w:spacing w:line="360" w:lineRule="auto"/>
        <w:ind w:left="244" w:leftChars="116" w:right="3503" w:firstLine="475" w:firstLineChars="198"/>
        <w:rPr>
          <w:rFonts w:ascii="宋体" w:hAnsi="宋体" w:cs="宋体"/>
          <w:sz w:val="24"/>
        </w:rPr>
      </w:pPr>
      <w:r>
        <w:rPr>
          <w:rFonts w:hint="eastAsia" w:ascii="宋体" w:hAnsi="宋体" w:cs="宋体"/>
          <w:sz w:val="24"/>
        </w:rPr>
        <w:t>6.对乙方提供的有关信息，应及时调查处理并反馈结果。</w:t>
      </w:r>
    </w:p>
    <w:p w14:paraId="2073816A">
      <w:pPr>
        <w:spacing w:line="360" w:lineRule="auto"/>
        <w:ind w:left="244" w:leftChars="116" w:right="3503" w:firstLine="477" w:firstLineChars="198"/>
        <w:rPr>
          <w:rFonts w:ascii="宋体" w:hAnsi="宋体" w:cs="宋体"/>
          <w:b/>
          <w:bCs/>
          <w:sz w:val="24"/>
        </w:rPr>
      </w:pPr>
      <w:r>
        <w:rPr>
          <w:rFonts w:hint="eastAsia" w:ascii="宋体" w:hAnsi="宋体" w:cs="宋体"/>
          <w:b/>
          <w:bCs/>
          <w:sz w:val="24"/>
        </w:rPr>
        <w:t>三、乙方（含乙方人员）廉政责任</w:t>
      </w:r>
    </w:p>
    <w:p w14:paraId="7B9AF956">
      <w:pPr>
        <w:spacing w:line="360" w:lineRule="auto"/>
        <w:ind w:right="77" w:firstLine="480" w:firstLineChars="200"/>
        <w:rPr>
          <w:rFonts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14:paraId="1094A695">
      <w:pPr>
        <w:spacing w:line="360" w:lineRule="auto"/>
        <w:ind w:left="3" w:right="24" w:firstLine="480" w:firstLineChars="200"/>
        <w:rPr>
          <w:rFonts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w:t>
      </w:r>
      <w:r>
        <w:rPr>
          <w:rFonts w:hint="eastAsia" w:ascii="宋体" w:hAnsi="宋体" w:cs="宋体"/>
          <w:sz w:val="24"/>
          <w:lang w:eastAsia="zh-CN"/>
        </w:rPr>
        <w:t>及其</w:t>
      </w:r>
      <w:r>
        <w:rPr>
          <w:rFonts w:hint="eastAsia" w:ascii="宋体" w:hAnsi="宋体" w:cs="宋体"/>
          <w:sz w:val="24"/>
        </w:rPr>
        <w:t>亲属赠送任何礼金、礼品等；不得向甲方及其工作人员提供个人装修住房、配偶子女的工作安排等方面的便利。</w:t>
      </w:r>
    </w:p>
    <w:p w14:paraId="162BDD61">
      <w:pPr>
        <w:spacing w:line="360" w:lineRule="auto"/>
        <w:ind w:right="24" w:firstLine="480" w:firstLineChars="200"/>
        <w:rPr>
          <w:rFonts w:ascii="宋体" w:hAnsi="宋体" w:cs="宋体"/>
          <w:sz w:val="24"/>
        </w:rPr>
      </w:pPr>
      <w:r>
        <w:rPr>
          <w:rFonts w:hint="eastAsia" w:ascii="宋体" w:hAnsi="宋体" w:cs="宋体"/>
          <w:sz w:val="24"/>
        </w:rPr>
        <w:t>3.不得接受甲方介绍或指定单位和物资供应商；不得接受甲方推销或指定使用的物资设备。</w:t>
      </w:r>
    </w:p>
    <w:p w14:paraId="743B221F">
      <w:pPr>
        <w:spacing w:line="360" w:lineRule="auto"/>
        <w:ind w:firstLine="480" w:firstLineChars="200"/>
        <w:rPr>
          <w:rFonts w:ascii="宋体" w:hAnsi="宋体" w:cs="宋体"/>
          <w:sz w:val="24"/>
        </w:rPr>
      </w:pPr>
      <w:r>
        <w:rPr>
          <w:rFonts w:hint="eastAsia" w:ascii="宋体" w:hAnsi="宋体" w:cs="宋体"/>
          <w:sz w:val="24"/>
        </w:rPr>
        <w:t>4.不得以任何理由为甲方及其工作人员购置或长期提供通信工具、交通工具等。</w:t>
      </w:r>
    </w:p>
    <w:p w14:paraId="04FD0112">
      <w:pPr>
        <w:spacing w:line="360" w:lineRule="auto"/>
        <w:ind w:left="3" w:right="24" w:firstLine="480" w:firstLineChars="200"/>
        <w:rPr>
          <w:rFonts w:ascii="宋体" w:hAnsi="宋体" w:cs="宋体"/>
          <w:sz w:val="24"/>
        </w:rPr>
      </w:pPr>
      <w:r>
        <w:rPr>
          <w:rFonts w:hint="eastAsia" w:ascii="宋体" w:hAnsi="宋体" w:cs="宋体"/>
          <w:sz w:val="24"/>
        </w:rPr>
        <w:t>5.对甲方及其个人索要钱物、介绍或指定单位和物资供应商、推销或指定使用物资设备、借用占用车辆等行为予以拒绝，并及时主动向乙方上级纪检监察组织报告。</w:t>
      </w:r>
    </w:p>
    <w:p w14:paraId="1AABDC2D">
      <w:pPr>
        <w:spacing w:line="360" w:lineRule="auto"/>
        <w:ind w:firstLine="482" w:firstLineChars="201"/>
        <w:rPr>
          <w:rFonts w:ascii="宋体" w:hAnsi="宋体" w:cs="宋体"/>
          <w:sz w:val="24"/>
        </w:rPr>
      </w:pPr>
      <w:r>
        <w:rPr>
          <w:rFonts w:hint="eastAsia" w:ascii="宋体" w:hAnsi="宋体" w:cs="宋体"/>
          <w:sz w:val="24"/>
        </w:rPr>
        <w:t>6.对甲方提供的乙方（含乙方人员）违纪违规有关信息，应及时调查处理并反馈结果。</w:t>
      </w:r>
    </w:p>
    <w:p w14:paraId="07FBABA9">
      <w:pPr>
        <w:spacing w:line="360" w:lineRule="auto"/>
        <w:ind w:left="3" w:right="24" w:firstLine="480" w:firstLineChars="200"/>
        <w:rPr>
          <w:rFonts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14:paraId="3D40A16E">
      <w:pPr>
        <w:spacing w:line="360" w:lineRule="auto"/>
        <w:ind w:left="244" w:leftChars="116" w:right="90" w:firstLine="475" w:firstLineChars="198"/>
        <w:rPr>
          <w:rFonts w:ascii="宋体" w:hAnsi="宋体" w:cs="宋体"/>
          <w:sz w:val="24"/>
        </w:rPr>
      </w:pPr>
      <w:r>
        <w:rPr>
          <w:rFonts w:hint="eastAsia" w:ascii="宋体" w:hAnsi="宋体" w:cs="宋体"/>
          <w:sz w:val="24"/>
        </w:rPr>
        <w:t>8.乙方及其工作人员必须严格按照有关规程办事，不得与其他单位互相串通，损害甲方利益。</w:t>
      </w:r>
    </w:p>
    <w:p w14:paraId="65F52F9D">
      <w:pPr>
        <w:spacing w:line="360" w:lineRule="auto"/>
        <w:ind w:left="244" w:leftChars="116" w:right="90" w:firstLine="477" w:firstLineChars="198"/>
        <w:rPr>
          <w:rFonts w:ascii="宋体" w:hAnsi="宋体" w:cs="宋体"/>
          <w:b/>
          <w:bCs/>
          <w:sz w:val="24"/>
        </w:rPr>
      </w:pPr>
      <w:r>
        <w:rPr>
          <w:rFonts w:hint="eastAsia" w:ascii="宋体" w:hAnsi="宋体" w:cs="宋体"/>
          <w:b/>
          <w:bCs/>
          <w:sz w:val="24"/>
        </w:rPr>
        <w:t>四、违约责任</w:t>
      </w:r>
    </w:p>
    <w:p w14:paraId="25A78269">
      <w:pPr>
        <w:spacing w:line="360" w:lineRule="auto"/>
        <w:ind w:left="3" w:right="24" w:firstLine="506" w:firstLineChars="211"/>
        <w:rPr>
          <w:rFonts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14:paraId="1F6F4E8B">
      <w:pPr>
        <w:spacing w:line="360" w:lineRule="auto"/>
        <w:ind w:left="4" w:right="24" w:firstLine="480" w:firstLineChars="200"/>
        <w:rPr>
          <w:rFonts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w:t>
      </w:r>
      <w:r>
        <w:rPr>
          <w:rFonts w:hint="eastAsia" w:ascii="宋体" w:hAnsi="宋体" w:cs="宋体"/>
          <w:sz w:val="24"/>
          <w:lang w:eastAsia="zh-CN"/>
        </w:rPr>
        <w:t>设的</w:t>
      </w:r>
      <w:r>
        <w:rPr>
          <w:rFonts w:hint="eastAsia" w:ascii="宋体" w:hAnsi="宋体" w:cs="宋体"/>
          <w:sz w:val="24"/>
        </w:rPr>
        <w:t>规定给予当事人批评教育、组织处理或党纪政纪处分；涉嫌犯罪的，移交司法机关追究刑事责任；给甲方单位造成经济损失的，应予以赔偿。</w:t>
      </w:r>
    </w:p>
    <w:p w14:paraId="37C09340">
      <w:pPr>
        <w:spacing w:line="360" w:lineRule="auto"/>
        <w:ind w:left="3" w:right="24" w:firstLine="480" w:firstLineChars="200"/>
        <w:rPr>
          <w:rFonts w:ascii="宋体" w:hAnsi="宋体" w:cs="宋体"/>
          <w:sz w:val="24"/>
        </w:rPr>
      </w:pPr>
      <w:r>
        <w:rPr>
          <w:rFonts w:hint="eastAsia" w:ascii="宋体" w:hAnsi="宋体" w:cs="宋体"/>
          <w:sz w:val="24"/>
        </w:rPr>
        <w:t>2.乙方贿赂甲方人员的，被纪检监察部门或检察机关立案查处的，甲方有权终止项目合同，由此造成甲方的损失以及一切费用均由乙方承担。</w:t>
      </w:r>
    </w:p>
    <w:p w14:paraId="2FAABE4D">
      <w:pPr>
        <w:spacing w:line="360" w:lineRule="auto"/>
        <w:ind w:left="3" w:right="24" w:firstLine="480" w:firstLineChars="200"/>
        <w:rPr>
          <w:rFonts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14:paraId="701C7588">
      <w:pPr>
        <w:spacing w:line="360" w:lineRule="auto"/>
        <w:ind w:left="5" w:right="24" w:firstLine="480" w:firstLineChars="200"/>
        <w:rPr>
          <w:rFonts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3B06D94A">
      <w:pPr>
        <w:spacing w:line="360" w:lineRule="auto"/>
        <w:ind w:firstLine="482" w:firstLineChars="201"/>
        <w:rPr>
          <w:rFonts w:ascii="宋体" w:hAnsi="宋体" w:cs="宋体"/>
          <w:sz w:val="24"/>
        </w:rPr>
      </w:pPr>
      <w:r>
        <w:rPr>
          <w:rFonts w:hint="eastAsia" w:ascii="宋体" w:hAnsi="宋体" w:cs="宋体"/>
          <w:sz w:val="24"/>
        </w:rPr>
        <w:t>5.由于甲乙双方单位或工作人员个人行为造成违约的，双方承担上述违约责任。</w:t>
      </w:r>
    </w:p>
    <w:p w14:paraId="4B3F2956">
      <w:pPr>
        <w:spacing w:line="360" w:lineRule="auto"/>
        <w:ind w:left="3" w:right="24" w:firstLine="480" w:firstLineChars="200"/>
        <w:rPr>
          <w:rFonts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14:paraId="70C8A283">
      <w:pPr>
        <w:spacing w:line="360" w:lineRule="auto"/>
        <w:ind w:firstLine="492" w:firstLineChars="204"/>
        <w:rPr>
          <w:rFonts w:ascii="宋体" w:hAnsi="宋体" w:cs="宋体"/>
          <w:b/>
          <w:bCs/>
          <w:sz w:val="24"/>
        </w:rPr>
      </w:pPr>
      <w:r>
        <w:rPr>
          <w:rFonts w:hint="eastAsia" w:ascii="宋体" w:hAnsi="宋体" w:cs="宋体"/>
          <w:b/>
          <w:bCs/>
          <w:sz w:val="24"/>
        </w:rPr>
        <w:t>五、有效期</w:t>
      </w:r>
    </w:p>
    <w:p w14:paraId="1D6BF1C6">
      <w:pPr>
        <w:spacing w:line="360" w:lineRule="auto"/>
        <w:ind w:firstLine="489" w:firstLineChars="204"/>
        <w:rPr>
          <w:rFonts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14:paraId="579F9AE9">
      <w:pPr>
        <w:spacing w:line="360" w:lineRule="auto"/>
        <w:ind w:firstLine="32"/>
        <w:rPr>
          <w:rFonts w:ascii="宋体" w:hAnsi="宋体" w:cs="宋体"/>
          <w:sz w:val="24"/>
        </w:rPr>
      </w:pPr>
    </w:p>
    <w:p w14:paraId="38774A61"/>
    <w:p w14:paraId="12C81207"/>
    <w:p w14:paraId="1978D477">
      <w:pPr>
        <w:pStyle w:val="6"/>
      </w:pPr>
    </w:p>
    <w:p w14:paraId="7B69D558"/>
    <w:p w14:paraId="5885A4BD"/>
    <w:p w14:paraId="025212D4">
      <w:pPr>
        <w:pStyle w:val="16"/>
        <w:rPr>
          <w:color w:val="auto"/>
        </w:rPr>
      </w:pPr>
    </w:p>
    <w:p w14:paraId="3A8E76C0">
      <w:pPr>
        <w:pStyle w:val="16"/>
      </w:pPr>
    </w:p>
    <w:p w14:paraId="08769777">
      <w:pPr>
        <w:pStyle w:val="7"/>
      </w:pPr>
    </w:p>
    <w:p w14:paraId="7C036739">
      <w:pPr>
        <w:pStyle w:val="8"/>
      </w:pPr>
    </w:p>
    <w:p w14:paraId="423981D0"/>
    <w:p w14:paraId="69D69709">
      <w:pPr>
        <w:pStyle w:val="16"/>
        <w:rPr>
          <w:color w:val="auto"/>
        </w:rPr>
      </w:pPr>
    </w:p>
    <w:p w14:paraId="1171B1F7"/>
    <w:p w14:paraId="483EE363">
      <w:pPr>
        <w:pStyle w:val="16"/>
        <w:rPr>
          <w:color w:val="auto"/>
        </w:rPr>
      </w:pPr>
    </w:p>
    <w:p w14:paraId="1C5CE405"/>
    <w:p w14:paraId="2B44B92B">
      <w:pPr>
        <w:pStyle w:val="16"/>
        <w:rPr>
          <w:color w:val="auto"/>
        </w:rPr>
      </w:pPr>
    </w:p>
    <w:p w14:paraId="6520E001"/>
    <w:p w14:paraId="62D588AF"/>
    <w:p w14:paraId="1BC5B5DB"/>
    <w:p w14:paraId="722F44B5">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6C44F4A6">
      <w:pPr>
        <w:spacing w:line="460" w:lineRule="exact"/>
        <w:jc w:val="center"/>
        <w:outlineLvl w:val="0"/>
        <w:rPr>
          <w:rFonts w:cs="仿宋" w:asciiTheme="minorEastAsia" w:hAnsiTheme="minorEastAsia"/>
          <w:b/>
          <w:kern w:val="0"/>
          <w:sz w:val="24"/>
        </w:rPr>
      </w:pPr>
    </w:p>
    <w:p w14:paraId="69DD62AF">
      <w:pPr>
        <w:pStyle w:val="4"/>
        <w:spacing w:after="120" w:line="700" w:lineRule="exact"/>
        <w:ind w:left="0" w:firstLine="0"/>
        <w:rPr>
          <w:rFonts w:ascii="Times New Roman" w:hAnsi="Times New Roman" w:eastAsia="宋体" w:cs="Times New Roman"/>
          <w:sz w:val="32"/>
        </w:rPr>
      </w:pPr>
    </w:p>
    <w:p w14:paraId="42976614">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Ansi="宋体" w:eastAsia="宋体" w:cs="宋体"/>
          <w:color w:val="FF0000"/>
          <w:kern w:val="0"/>
          <w:sz w:val="46"/>
          <w:szCs w:val="46"/>
        </w:rPr>
        <w:pict>
          <v:shape id="_x0000_s1026" o:spid="_x0000_s1026" o:spt="202" type="#_x0000_t202" style="position:absolute;left:0pt;margin-left:349.15pt;margin-top:-41.55pt;height:38.1pt;width:122pt;z-index:251667456;mso-width-relative:page;mso-height-relative:page;"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path/>
            <v:fill focussize="0,0"/>
            <v:stroke weight="1.5pt" color="#FF0000" joinstyle="miter"/>
            <v:imagedata o:title=""/>
            <o:lock v:ext="edit"/>
            <v:textbox>
              <w:txbxContent>
                <w:p w14:paraId="1335ED44">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w:r>
    </w:p>
    <w:p w14:paraId="566A1EA1">
      <w:pPr>
        <w:spacing w:line="360" w:lineRule="auto"/>
        <w:rPr>
          <w:rFonts w:ascii="Times New Roman" w:hAnsi="Times New Roman" w:eastAsia="Cambria Math" w:cs="Times New Roman"/>
          <w:sz w:val="96"/>
          <w:szCs w:val="22"/>
        </w:rPr>
      </w:pPr>
    </w:p>
    <w:p w14:paraId="24DDCE67">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7E40A547">
      <w:pPr>
        <w:spacing w:line="360" w:lineRule="auto"/>
        <w:jc w:val="center"/>
        <w:rPr>
          <w:rFonts w:ascii="宋体" w:hAnsi="宋体" w:eastAsia="宋体" w:cs="宋体"/>
          <w:sz w:val="44"/>
          <w:szCs w:val="44"/>
        </w:rPr>
      </w:pPr>
      <w:r>
        <w:rPr>
          <w:rFonts w:hint="eastAsia" w:ascii="宋体" w:hAnsi="宋体" w:eastAsia="宋体" w:cs="宋体"/>
          <w:sz w:val="44"/>
          <w:szCs w:val="44"/>
        </w:rPr>
        <w:t>开启时启封</w:t>
      </w:r>
    </w:p>
    <w:p w14:paraId="34E4231F">
      <w:pPr>
        <w:spacing w:line="360" w:lineRule="auto"/>
        <w:rPr>
          <w:rFonts w:ascii="宋体" w:hAnsi="宋体" w:eastAsia="宋体" w:cs="宋体"/>
          <w:sz w:val="44"/>
          <w:szCs w:val="44"/>
        </w:rPr>
      </w:pPr>
    </w:p>
    <w:p w14:paraId="7A5F9AD3">
      <w:pPr>
        <w:spacing w:line="480" w:lineRule="auto"/>
        <w:ind w:left="3918" w:leftChars="399" w:hanging="3080" w:hangingChars="1100"/>
        <w:rPr>
          <w:rFonts w:hint="eastAsia" w:ascii="宋体" w:hAnsi="宋体" w:eastAsia="宋体" w:cs="宋体"/>
          <w:sz w:val="44"/>
          <w:szCs w:val="44"/>
          <w:lang w:eastAsia="zh-CN"/>
        </w:rPr>
      </w:pPr>
      <w:r>
        <w:rPr>
          <w:rFonts w:hint="eastAsia" w:ascii="宋体" w:hAnsi="宋体" w:eastAsia="宋体" w:cs="宋体"/>
          <w:sz w:val="28"/>
          <w:szCs w:val="22"/>
        </w:rPr>
        <w:t>采购项目名称：</w:t>
      </w:r>
      <w:r>
        <w:rPr>
          <w:rFonts w:hint="eastAsia" w:ascii="宋体" w:hAnsi="宋体" w:eastAsia="宋体" w:cs="宋体"/>
          <w:sz w:val="28"/>
          <w:szCs w:val="22"/>
          <w:u w:val="single"/>
          <w:lang w:eastAsia="zh-CN"/>
        </w:rPr>
        <w:t>2025年三固运行中心循环水系统在线化学清洗服务采购项目</w:t>
      </w:r>
    </w:p>
    <w:p w14:paraId="301FCC77">
      <w:pPr>
        <w:spacing w:line="480" w:lineRule="auto"/>
        <w:ind w:firstLine="840" w:firstLineChars="300"/>
        <w:rPr>
          <w:rFonts w:hint="eastAsia" w:eastAsia="宋体"/>
          <w:lang w:eastAsia="zh-CN"/>
        </w:rPr>
      </w:pPr>
      <w:r>
        <w:rPr>
          <w:rFonts w:hint="eastAsia" w:ascii="宋体" w:hAnsi="宋体" w:eastAsia="宋体" w:cs="宋体"/>
          <w:sz w:val="28"/>
          <w:szCs w:val="22"/>
        </w:rPr>
        <w:t>采购项目编号：</w:t>
      </w:r>
      <w:r>
        <w:rPr>
          <w:rFonts w:hint="eastAsia" w:ascii="宋体" w:hAnsi="宋体" w:eastAsia="宋体" w:cs="宋体"/>
          <w:sz w:val="28"/>
          <w:szCs w:val="22"/>
          <w:u w:val="single"/>
          <w:lang w:eastAsia="zh-CN"/>
        </w:rPr>
        <w:t>202509032</w:t>
      </w:r>
    </w:p>
    <w:p w14:paraId="4501F528">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5F76B7A">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p>
    <w:p w14:paraId="78BD2688">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p>
    <w:p w14:paraId="6DF8B9CF">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p>
    <w:p w14:paraId="15D5B62C">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p>
    <w:p w14:paraId="123255D7">
      <w:pPr>
        <w:spacing w:line="360" w:lineRule="auto"/>
        <w:jc w:val="center"/>
        <w:outlineLvl w:val="0"/>
        <w:rPr>
          <w:rFonts w:cs="仿宋" w:asciiTheme="minorEastAsia" w:hAnsiTheme="minorEastAsia"/>
          <w:b/>
          <w:kern w:val="0"/>
          <w:sz w:val="36"/>
          <w:szCs w:val="36"/>
        </w:rPr>
      </w:pPr>
    </w:p>
    <w:p w14:paraId="294592CF">
      <w:pPr>
        <w:spacing w:line="360" w:lineRule="auto"/>
        <w:outlineLvl w:val="0"/>
        <w:rPr>
          <w:rFonts w:cs="仿宋" w:asciiTheme="minorEastAsia" w:hAnsiTheme="minorEastAsia"/>
          <w:b/>
          <w:kern w:val="0"/>
          <w:sz w:val="36"/>
          <w:szCs w:val="36"/>
        </w:rPr>
      </w:pPr>
    </w:p>
    <w:p w14:paraId="27268E8E">
      <w:pPr>
        <w:spacing w:line="360" w:lineRule="auto"/>
        <w:jc w:val="center"/>
        <w:outlineLvl w:val="0"/>
        <w:rPr>
          <w:rFonts w:cs="仿宋" w:asciiTheme="minorEastAsia" w:hAnsiTheme="minorEastAsia"/>
          <w:b/>
          <w:kern w:val="0"/>
          <w:sz w:val="36"/>
          <w:szCs w:val="36"/>
        </w:rPr>
      </w:pPr>
    </w:p>
    <w:p w14:paraId="1A5127CA">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6F27A6FC">
      <w:pPr>
        <w:spacing w:line="360" w:lineRule="auto"/>
        <w:jc w:val="center"/>
        <w:outlineLvl w:val="0"/>
        <w:rPr>
          <w:rFonts w:cs="仿宋" w:asciiTheme="minorEastAsia" w:hAnsiTheme="minorEastAsia"/>
          <w:b/>
          <w:kern w:val="0"/>
          <w:sz w:val="36"/>
          <w:szCs w:val="36"/>
        </w:rPr>
      </w:pPr>
    </w:p>
    <w:p w14:paraId="03339B81">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1AB8B46E">
      <w:pPr>
        <w:spacing w:line="360" w:lineRule="auto"/>
        <w:jc w:val="center"/>
        <w:outlineLvl w:val="0"/>
        <w:rPr>
          <w:rFonts w:cs="仿宋" w:asciiTheme="minorEastAsia" w:hAnsiTheme="minorEastAsia"/>
          <w:b/>
          <w:kern w:val="0"/>
          <w:sz w:val="36"/>
          <w:szCs w:val="36"/>
        </w:rPr>
      </w:pPr>
    </w:p>
    <w:p w14:paraId="6E937481">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3633E157">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31C49EBB">
      <w:pPr>
        <w:snapToGrid w:val="0"/>
        <w:spacing w:line="360" w:lineRule="auto"/>
        <w:rPr>
          <w:rFonts w:cs="仿宋" w:asciiTheme="minorEastAsia" w:hAnsiTheme="minorEastAsia"/>
          <w:sz w:val="24"/>
        </w:rPr>
      </w:pPr>
      <w:r>
        <w:rPr>
          <w:rFonts w:hint="eastAsia" w:cs="仿宋" w:asciiTheme="minorEastAsia" w:hAnsiTheme="minorEastAsia"/>
          <w:sz w:val="24"/>
        </w:rPr>
        <w:t>（3）本项目的</w:t>
      </w:r>
      <w:r>
        <w:rPr>
          <w:rFonts w:hint="eastAsia" w:cs="仿宋" w:asciiTheme="minorEastAsia" w:hAnsiTheme="minorEastAsia"/>
          <w:sz w:val="24"/>
          <w:lang w:val="en-US" w:eastAsia="zh-CN"/>
        </w:rPr>
        <w:t>其他</w:t>
      </w:r>
      <w:r>
        <w:rPr>
          <w:rFonts w:hint="eastAsia" w:cs="仿宋" w:asciiTheme="minorEastAsia" w:hAnsiTheme="minorEastAsia"/>
          <w:sz w:val="24"/>
        </w:rPr>
        <w:t>资格要求（如果有）…………………………………（页码）</w:t>
      </w:r>
    </w:p>
    <w:p w14:paraId="4892B15A">
      <w:pPr>
        <w:snapToGrid w:val="0"/>
        <w:spacing w:line="360" w:lineRule="auto"/>
        <w:rPr>
          <w:rFonts w:cs="仿宋" w:asciiTheme="minorEastAsia" w:hAnsiTheme="minorEastAsia"/>
          <w:sz w:val="24"/>
        </w:rPr>
      </w:pPr>
      <w:r>
        <w:rPr>
          <w:rFonts w:hint="eastAsia" w:cs="仿宋" w:asciiTheme="minorEastAsia" w:hAnsiTheme="minorEastAsia"/>
          <w:sz w:val="24"/>
        </w:rPr>
        <w:t>（4）本项目的询价保证金银行电子回单（如果有）……………………（页码）</w:t>
      </w:r>
    </w:p>
    <w:p w14:paraId="4408FDDF">
      <w:pPr>
        <w:pStyle w:val="6"/>
      </w:pPr>
    </w:p>
    <w:p w14:paraId="0C048432">
      <w:pPr>
        <w:pStyle w:val="7"/>
      </w:pPr>
    </w:p>
    <w:p w14:paraId="635E7CB3"/>
    <w:p w14:paraId="441C242C">
      <w:pPr>
        <w:pStyle w:val="6"/>
      </w:pPr>
    </w:p>
    <w:p w14:paraId="5760658C">
      <w:pPr>
        <w:pStyle w:val="6"/>
      </w:pPr>
    </w:p>
    <w:p w14:paraId="14B7DACA">
      <w:pPr>
        <w:pStyle w:val="7"/>
      </w:pPr>
    </w:p>
    <w:p w14:paraId="331A39A0"/>
    <w:p w14:paraId="6ED15033">
      <w:pPr>
        <w:pStyle w:val="6"/>
      </w:pPr>
    </w:p>
    <w:p w14:paraId="2AD3269E">
      <w:pPr>
        <w:pStyle w:val="7"/>
      </w:pPr>
    </w:p>
    <w:p w14:paraId="6C628C2D"/>
    <w:p w14:paraId="1F8B5739">
      <w:pPr>
        <w:pStyle w:val="6"/>
      </w:pPr>
    </w:p>
    <w:p w14:paraId="717BE020">
      <w:pPr>
        <w:pStyle w:val="7"/>
      </w:pPr>
    </w:p>
    <w:p w14:paraId="2E115884"/>
    <w:p w14:paraId="40F6DF68">
      <w:pPr>
        <w:pStyle w:val="6"/>
      </w:pPr>
    </w:p>
    <w:p w14:paraId="796CCC92">
      <w:pPr>
        <w:pStyle w:val="7"/>
      </w:pPr>
    </w:p>
    <w:p w14:paraId="796FC752">
      <w:pPr>
        <w:pStyle w:val="8"/>
      </w:pPr>
    </w:p>
    <w:p w14:paraId="62303A40"/>
    <w:p w14:paraId="5036C9A1">
      <w:pPr>
        <w:pStyle w:val="16"/>
      </w:pPr>
    </w:p>
    <w:p w14:paraId="1E9E8FDF"/>
    <w:p w14:paraId="4ECCAF9F">
      <w:pPr>
        <w:pStyle w:val="6"/>
      </w:pPr>
    </w:p>
    <w:p w14:paraId="7F6F1BB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3E2296B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1A386555">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2025年三固运行中心循环水系统在线化学清洗服务采购项目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202509032</w:t>
      </w:r>
      <w:r>
        <w:rPr>
          <w:rFonts w:hint="eastAsia" w:cs="仿宋" w:asciiTheme="minorEastAsia" w:hAnsiTheme="minorEastAsia"/>
          <w:sz w:val="24"/>
        </w:rPr>
        <w:t>】采购活动，郑重承诺：</w:t>
      </w:r>
    </w:p>
    <w:p w14:paraId="07AA8A9F">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0786375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lang w:eastAsia="zh-CN"/>
        </w:rPr>
        <w:t>1.</w:t>
      </w:r>
      <w:r>
        <w:rPr>
          <w:rFonts w:hint="eastAsia" w:cs="仿宋" w:asciiTheme="minorEastAsia" w:hAnsiTheme="minorEastAsia"/>
          <w:sz w:val="24"/>
        </w:rPr>
        <w:t>具有独立承担民事责任的能力；</w:t>
      </w:r>
    </w:p>
    <w:p w14:paraId="644644B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lang w:eastAsia="zh-CN"/>
        </w:rPr>
        <w:t>2.</w:t>
      </w:r>
      <w:r>
        <w:rPr>
          <w:rFonts w:hint="eastAsia" w:cs="仿宋" w:asciiTheme="minorEastAsia" w:hAnsiTheme="minorEastAsia"/>
          <w:sz w:val="24"/>
        </w:rPr>
        <w:t xml:space="preserve">具有良好的商业信誉和健全的财务会计制度； </w:t>
      </w:r>
    </w:p>
    <w:p w14:paraId="0FA646C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lang w:eastAsia="zh-CN"/>
        </w:rPr>
        <w:t>3.</w:t>
      </w:r>
      <w:r>
        <w:rPr>
          <w:rFonts w:hint="eastAsia" w:cs="仿宋" w:asciiTheme="minorEastAsia" w:hAnsiTheme="minorEastAsia"/>
          <w:sz w:val="24"/>
        </w:rPr>
        <w:t>具有履行合同所必需的设备和专业技术能力；</w:t>
      </w:r>
    </w:p>
    <w:p w14:paraId="392ACE0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lang w:eastAsia="zh-CN"/>
        </w:rPr>
        <w:t>4.</w:t>
      </w:r>
      <w:r>
        <w:rPr>
          <w:rFonts w:hint="eastAsia" w:cs="仿宋" w:asciiTheme="minorEastAsia" w:hAnsiTheme="minorEastAsia"/>
          <w:sz w:val="24"/>
        </w:rPr>
        <w:t>有依法缴纳税收和社会保障资金的良好记录；</w:t>
      </w:r>
    </w:p>
    <w:p w14:paraId="29EE848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lang w:eastAsia="zh-CN"/>
        </w:rPr>
        <w:t>5.</w:t>
      </w:r>
      <w:r>
        <w:rPr>
          <w:rFonts w:hint="eastAsia" w:cs="仿宋" w:asciiTheme="minorEastAsia" w:hAnsiTheme="minorEastAsia"/>
          <w:sz w:val="24"/>
        </w:rPr>
        <w:t>在经营活动中没有重大违法记录；</w:t>
      </w:r>
    </w:p>
    <w:p w14:paraId="770BA50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lang w:eastAsia="zh-CN"/>
        </w:rPr>
        <w:t>6.</w:t>
      </w:r>
      <w:r>
        <w:rPr>
          <w:rFonts w:hint="eastAsia" w:cs="仿宋" w:asciiTheme="minorEastAsia" w:hAnsiTheme="minorEastAsia"/>
          <w:sz w:val="24"/>
        </w:rPr>
        <w:t>具有法律、行政法规规定的其他条件。</w:t>
      </w:r>
    </w:p>
    <w:p w14:paraId="0EEE294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（二）近三年内，未被“信用中国”</w:t>
      </w:r>
      <w:r>
        <w:rPr>
          <w:rFonts w:hint="eastAsia" w:cs="仿宋" w:asciiTheme="minorEastAsia" w:hAnsiTheme="minorEastAsia"/>
          <w:sz w:val="24"/>
          <w:lang w:eastAsia="zh-CN"/>
        </w:rPr>
        <w:t>（</w:t>
      </w:r>
      <w:r>
        <w:rPr>
          <w:rFonts w:hint="eastAsia" w:cs="仿宋" w:asciiTheme="minorEastAsia" w:hAnsiTheme="minorEastAsia"/>
          <w:sz w:val="24"/>
        </w:rPr>
        <w:t>www.creditchina.gov.cn</w:t>
      </w:r>
      <w:r>
        <w:rPr>
          <w:rFonts w:hint="eastAsia" w:cs="仿宋" w:asciiTheme="minorEastAsia" w:hAnsiTheme="minorEastAsia"/>
          <w:sz w:val="24"/>
          <w:lang w:eastAsia="zh-CN"/>
        </w:rPr>
        <w:t>）</w:t>
      </w:r>
      <w:r>
        <w:rPr>
          <w:rFonts w:hint="eastAsia" w:cs="仿宋" w:asciiTheme="minorEastAsia" w:hAnsiTheme="minorEastAsia"/>
          <w:sz w:val="24"/>
        </w:rPr>
        <w:t>、中国政府采购网</w:t>
      </w:r>
      <w:r>
        <w:rPr>
          <w:rFonts w:hint="eastAsia" w:cs="仿宋" w:asciiTheme="minorEastAsia" w:hAnsiTheme="minorEastAsia"/>
          <w:sz w:val="24"/>
          <w:lang w:eastAsia="zh-CN"/>
        </w:rPr>
        <w:t>（</w:t>
      </w:r>
      <w:r>
        <w:rPr>
          <w:rFonts w:hint="eastAsia" w:cs="仿宋" w:asciiTheme="minorEastAsia" w:hAnsiTheme="minorEastAsia"/>
          <w:sz w:val="24"/>
        </w:rPr>
        <w:t>www.ccgp.gov.cn</w:t>
      </w:r>
      <w:r>
        <w:rPr>
          <w:rFonts w:hint="eastAsia" w:cs="仿宋" w:asciiTheme="minorEastAsia" w:hAnsiTheme="minorEastAsia"/>
          <w:sz w:val="24"/>
          <w:lang w:eastAsia="zh-CN"/>
        </w:rPr>
        <w:t>）</w:t>
      </w:r>
      <w:r>
        <w:rPr>
          <w:rFonts w:hint="eastAsia" w:cs="仿宋" w:asciiTheme="minorEastAsia" w:hAnsiTheme="minorEastAsia"/>
          <w:sz w:val="24"/>
        </w:rPr>
        <w:t>等官方网站列入失信被执行人名单、重大税收违法失信主体名单、政府采购严重违法失信行为名单。</w:t>
      </w:r>
    </w:p>
    <w:p w14:paraId="4CEEF78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10191CB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lang w:eastAsia="zh-CN"/>
        </w:rPr>
        <w:t>1.</w:t>
      </w:r>
      <w:r>
        <w:rPr>
          <w:rFonts w:hint="eastAsia" w:cs="仿宋" w:asciiTheme="minorEastAsia" w:hAnsiTheme="minorEastAsia"/>
          <w:sz w:val="24"/>
        </w:rPr>
        <w:t>单位负责人为同一人或者存在直接控股、管理关系的不同供应商参加同一合同项下的采购活动的；</w:t>
      </w:r>
    </w:p>
    <w:p w14:paraId="5717328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lang w:eastAsia="zh-CN"/>
        </w:rPr>
        <w:t>2.</w:t>
      </w:r>
      <w:r>
        <w:rPr>
          <w:rFonts w:hint="eastAsia" w:cs="仿宋" w:asciiTheme="minorEastAsia" w:hAnsiTheme="minorEastAsia"/>
          <w:sz w:val="24"/>
        </w:rPr>
        <w:t>为采购项目提供整体设计、规范编制或者项目管理、监理、检测等服务后再参加该采购项目的其他采购活动的。</w:t>
      </w:r>
    </w:p>
    <w:p w14:paraId="58C3C3FC">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32F0B9E9">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月日</w:t>
      </w:r>
    </w:p>
    <w:p w14:paraId="4C85F7DA">
      <w:pPr>
        <w:snapToGrid w:val="0"/>
        <w:spacing w:line="360" w:lineRule="auto"/>
        <w:ind w:right="480"/>
        <w:jc w:val="center"/>
        <w:rPr>
          <w:rFonts w:cs="仿宋" w:asciiTheme="minorEastAsia" w:hAnsiTheme="minorEastAsia"/>
          <w:b/>
          <w:kern w:val="0"/>
          <w:sz w:val="32"/>
          <w:szCs w:val="32"/>
        </w:rPr>
      </w:pPr>
    </w:p>
    <w:p w14:paraId="6D339B03"/>
    <w:p w14:paraId="43F7219D">
      <w:pPr>
        <w:pStyle w:val="6"/>
      </w:pPr>
    </w:p>
    <w:p w14:paraId="663FBEFD">
      <w:pPr>
        <w:pStyle w:val="7"/>
      </w:pPr>
    </w:p>
    <w:p w14:paraId="61AAD80E"/>
    <w:p w14:paraId="469932B4">
      <w:pPr>
        <w:pStyle w:val="6"/>
      </w:pPr>
    </w:p>
    <w:p w14:paraId="763AD18D">
      <w:pPr>
        <w:pStyle w:val="7"/>
      </w:pPr>
    </w:p>
    <w:p w14:paraId="17BE5E8F">
      <w:pPr>
        <w:pStyle w:val="7"/>
      </w:pPr>
    </w:p>
    <w:p w14:paraId="67B82440"/>
    <w:p w14:paraId="13818D41">
      <w:pPr>
        <w:shd w:val="clear"/>
        <w:snapToGrid w:val="0"/>
        <w:spacing w:line="360" w:lineRule="auto"/>
        <w:ind w:right="480"/>
        <w:jc w:val="center"/>
      </w:pPr>
      <w:r>
        <w:rPr>
          <w:rFonts w:hint="eastAsia" w:cs="仿宋" w:asciiTheme="minorEastAsia" w:hAnsiTheme="minorEastAsia"/>
          <w:b/>
          <w:color w:val="auto"/>
          <w:kern w:val="0"/>
          <w:sz w:val="32"/>
          <w:szCs w:val="32"/>
          <w:highlight w:val="none"/>
        </w:rPr>
        <w:t>二、营业执照</w:t>
      </w:r>
    </w:p>
    <w:p w14:paraId="2F9B10D4">
      <w:pPr>
        <w:pStyle w:val="6"/>
        <w:shd w:val="clear"/>
        <w:rPr>
          <w:color w:val="auto"/>
          <w:highlight w:val="none"/>
          <w:lang w:val="en-US"/>
        </w:rPr>
      </w:pP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6"/>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225A3EEF">
            <w:pPr>
              <w:pStyle w:val="28"/>
              <w:adjustRightInd w:val="0"/>
              <w:spacing w:line="360" w:lineRule="auto"/>
              <w:rPr>
                <w:rFonts w:cs="仿宋" w:asciiTheme="minorEastAsia" w:hAnsiTheme="minorEastAsia" w:eastAsiaTheme="minorEastAsia"/>
                <w:bCs/>
                <w:color w:val="auto"/>
                <w:sz w:val="24"/>
              </w:rPr>
            </w:pPr>
          </w:p>
        </w:tc>
      </w:tr>
    </w:tbl>
    <w:p w14:paraId="38EAA96F">
      <w:pPr>
        <w:shd w:val="clear"/>
        <w:spacing w:line="360" w:lineRule="auto"/>
        <w:ind w:firstLine="643" w:firstLineChars="200"/>
        <w:rPr>
          <w:rFonts w:cs="仿宋" w:asciiTheme="minorEastAsia" w:hAnsiTheme="minorEastAsia"/>
          <w:b/>
          <w:color w:val="auto"/>
          <w:kern w:val="0"/>
          <w:sz w:val="32"/>
          <w:szCs w:val="32"/>
          <w:highlight w:val="none"/>
        </w:rPr>
      </w:pPr>
    </w:p>
    <w:p w14:paraId="056FCAD5">
      <w:pPr>
        <w:pStyle w:val="16"/>
      </w:pPr>
    </w:p>
    <w:p w14:paraId="01D8D021"/>
    <w:p w14:paraId="05F6361A">
      <w:pPr>
        <w:shd w:val="clea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三、本项目的</w:t>
      </w:r>
      <w:r>
        <w:rPr>
          <w:rFonts w:hint="eastAsia" w:cs="仿宋" w:asciiTheme="minorEastAsia" w:hAnsiTheme="minorEastAsia"/>
          <w:b/>
          <w:color w:val="auto"/>
          <w:kern w:val="0"/>
          <w:sz w:val="32"/>
          <w:szCs w:val="32"/>
          <w:highlight w:val="none"/>
          <w:lang w:val="en-US" w:eastAsia="zh-CN"/>
        </w:rPr>
        <w:t>其他</w:t>
      </w:r>
      <w:r>
        <w:rPr>
          <w:rFonts w:hint="eastAsia" w:cs="仿宋" w:asciiTheme="minorEastAsia" w:hAnsiTheme="minorEastAsia"/>
          <w:b/>
          <w:color w:val="auto"/>
          <w:kern w:val="0"/>
          <w:sz w:val="32"/>
          <w:szCs w:val="32"/>
          <w:highlight w:val="none"/>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69069711">
            <w:pPr>
              <w:pStyle w:val="28"/>
              <w:adjustRightInd w:val="0"/>
              <w:spacing w:line="360" w:lineRule="auto"/>
              <w:rPr>
                <w:rFonts w:hint="eastAsia" w:cs="仿宋" w:asciiTheme="minorEastAsia" w:hAnsiTheme="minorEastAsia"/>
                <w:bCs/>
                <w:color w:val="auto"/>
                <w:sz w:val="24"/>
                <w:u w:val="none"/>
                <w:lang w:eastAsia="zh-CN"/>
              </w:rPr>
            </w:pPr>
          </w:p>
          <w:p w14:paraId="57A42EA2">
            <w:pPr>
              <w:pStyle w:val="28"/>
              <w:adjustRightInd w:val="0"/>
              <w:spacing w:line="360" w:lineRule="auto"/>
              <w:ind w:firstLine="960" w:firstLineChars="400"/>
              <w:rPr>
                <w:rFonts w:cs="仿宋" w:asciiTheme="minorEastAsia" w:hAnsiTheme="minorEastAsia" w:eastAsiaTheme="minorEastAsia"/>
                <w:bCs/>
                <w:color w:val="auto"/>
                <w:sz w:val="24"/>
              </w:rPr>
            </w:pPr>
            <w:r>
              <w:rPr>
                <w:rFonts w:hint="eastAsia" w:cs="仿宋" w:asciiTheme="minorEastAsia" w:hAnsiTheme="minorEastAsia"/>
                <w:bCs/>
                <w:sz w:val="24"/>
                <w:u w:val="single"/>
              </w:rPr>
              <w:t>供应商提供自202</w:t>
            </w:r>
            <w:r>
              <w:rPr>
                <w:rFonts w:hint="eastAsia" w:cs="仿宋" w:asciiTheme="minorEastAsia" w:hAnsiTheme="minorEastAsia"/>
                <w:bCs/>
                <w:sz w:val="24"/>
                <w:u w:val="single"/>
                <w:lang w:val="en-US" w:eastAsia="zh-CN"/>
              </w:rPr>
              <w:t>1</w:t>
            </w:r>
            <w:r>
              <w:rPr>
                <w:rFonts w:hint="eastAsia" w:cs="仿宋" w:asciiTheme="minorEastAsia" w:hAnsiTheme="minorEastAsia"/>
                <w:bCs/>
                <w:sz w:val="24"/>
                <w:u w:val="single"/>
              </w:rPr>
              <w:t>年1月1日起至少</w:t>
            </w:r>
            <w:r>
              <w:rPr>
                <w:rFonts w:hint="eastAsia" w:cs="仿宋" w:asciiTheme="minorEastAsia" w:hAnsiTheme="minorEastAsia"/>
                <w:bCs/>
                <w:sz w:val="24"/>
                <w:u w:val="single"/>
                <w:lang w:val="en-US" w:eastAsia="zh-CN"/>
              </w:rPr>
              <w:t>完成过</w:t>
            </w:r>
            <w:r>
              <w:rPr>
                <w:rFonts w:hint="eastAsia" w:cs="仿宋" w:asciiTheme="minorEastAsia" w:hAnsiTheme="minorEastAsia"/>
                <w:bCs/>
                <w:sz w:val="24"/>
                <w:u w:val="single"/>
              </w:rPr>
              <w:t>1例</w:t>
            </w:r>
            <w:r>
              <w:rPr>
                <w:rFonts w:hint="eastAsia" w:cs="仿宋" w:asciiTheme="minorEastAsia" w:hAnsiTheme="minorEastAsia"/>
                <w:bCs/>
                <w:sz w:val="24"/>
                <w:u w:val="single"/>
                <w:lang w:val="en-US" w:eastAsia="zh-CN"/>
              </w:rPr>
              <w:t>工业循环水的清洗服务</w:t>
            </w:r>
            <w:r>
              <w:rPr>
                <w:rFonts w:hint="eastAsia" w:cs="仿宋" w:asciiTheme="minorEastAsia" w:hAnsiTheme="minorEastAsia"/>
                <w:bCs/>
                <w:sz w:val="24"/>
                <w:u w:val="single"/>
              </w:rPr>
              <w:t>业绩（同时提供合同复印件</w:t>
            </w:r>
            <w:r>
              <w:rPr>
                <w:rFonts w:hint="eastAsia" w:cs="仿宋" w:asciiTheme="minorEastAsia" w:hAnsiTheme="minorEastAsia"/>
                <w:bCs/>
                <w:sz w:val="24"/>
                <w:u w:val="single"/>
                <w:lang w:eastAsia="zh-CN"/>
              </w:rPr>
              <w:t>，</w:t>
            </w:r>
            <w:r>
              <w:rPr>
                <w:rFonts w:hint="eastAsia" w:cs="仿宋" w:asciiTheme="minorEastAsia" w:hAnsiTheme="minorEastAsia"/>
                <w:bCs/>
                <w:sz w:val="24"/>
                <w:u w:val="single"/>
                <w:lang w:val="en-US" w:eastAsia="zh-CN"/>
              </w:rPr>
              <w:t>以合同签订时间为准</w:t>
            </w:r>
            <w:r>
              <w:rPr>
                <w:rFonts w:hint="eastAsia" w:cs="仿宋" w:asciiTheme="minorEastAsia" w:hAnsiTheme="minorEastAsia"/>
                <w:bCs/>
                <w:sz w:val="24"/>
                <w:u w:val="single"/>
              </w:rPr>
              <w:t>）；</w:t>
            </w:r>
          </w:p>
        </w:tc>
      </w:tr>
    </w:tbl>
    <w:p w14:paraId="03F56DE3">
      <w:pPr>
        <w:shd w:val="clear"/>
        <w:rPr>
          <w:color w:val="auto"/>
          <w:highlight w:val="none"/>
        </w:rPr>
      </w:pPr>
    </w:p>
    <w:p w14:paraId="15A21CAF">
      <w:pPr>
        <w:pStyle w:val="6"/>
        <w:shd w:val="clear"/>
        <w:rPr>
          <w:color w:val="auto"/>
          <w:highlight w:val="none"/>
        </w:rPr>
      </w:pPr>
    </w:p>
    <w:p w14:paraId="779B3FE4">
      <w:pPr>
        <w:pStyle w:val="7"/>
        <w:shd w:val="clear"/>
        <w:rPr>
          <w:color w:val="auto"/>
          <w:highlight w:val="none"/>
        </w:rPr>
      </w:pPr>
    </w:p>
    <w:p w14:paraId="24A4B5F2">
      <w:pPr>
        <w:shd w:val="clear"/>
        <w:rPr>
          <w:color w:val="auto"/>
          <w:highlight w:val="none"/>
        </w:rPr>
      </w:pPr>
    </w:p>
    <w:p w14:paraId="6C08DF7B">
      <w:pPr>
        <w:pStyle w:val="7"/>
      </w:pPr>
    </w:p>
    <w:p w14:paraId="28E1E0F2"/>
    <w:p w14:paraId="504BCAC9">
      <w:pPr>
        <w:pStyle w:val="6"/>
        <w:shd w:val="clear"/>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eastAsiaTheme="minorEastAsia"/>
          <w:b/>
          <w:snapToGrid/>
          <w:color w:val="auto"/>
          <w:kern w:val="0"/>
          <w:sz w:val="32"/>
          <w:szCs w:val="32"/>
          <w:highlight w:val="none"/>
          <w:lang w:val="en-US" w:eastAsia="zh-CN" w:bidi="ar-SA"/>
        </w:rPr>
        <w:t>四、询价保证金银行电子回单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F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79FBDF4">
            <w:pPr>
              <w:pStyle w:val="7"/>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3EB5D17">
            <w:pPr>
              <w:pStyle w:val="28"/>
              <w:adjustRightInd w:val="0"/>
              <w:spacing w:line="360" w:lineRule="auto"/>
              <w:rPr>
                <w:rFonts w:cs="仿宋" w:asciiTheme="minorEastAsia" w:hAnsiTheme="minorEastAsia" w:eastAsiaTheme="minorEastAsia"/>
                <w:bCs/>
                <w:color w:val="auto"/>
                <w:sz w:val="24"/>
              </w:rPr>
            </w:pPr>
          </w:p>
        </w:tc>
      </w:tr>
    </w:tbl>
    <w:p w14:paraId="747054CB">
      <w:pPr>
        <w:pStyle w:val="6"/>
      </w:pPr>
    </w:p>
    <w:p w14:paraId="480C2E58">
      <w:pPr>
        <w:pStyle w:val="7"/>
      </w:pPr>
    </w:p>
    <w:p w14:paraId="4BBA94BF"/>
    <w:p w14:paraId="66D8E37A">
      <w:pPr>
        <w:pStyle w:val="6"/>
      </w:pPr>
    </w:p>
    <w:p w14:paraId="150D03D7">
      <w:pPr>
        <w:pStyle w:val="7"/>
      </w:pPr>
    </w:p>
    <w:p w14:paraId="77EDDAB1">
      <w:pPr>
        <w:pStyle w:val="7"/>
      </w:pPr>
    </w:p>
    <w:p w14:paraId="17F69A20">
      <w:pPr>
        <w:pStyle w:val="6"/>
      </w:pPr>
    </w:p>
    <w:p w14:paraId="73F14448">
      <w:pPr>
        <w:pStyle w:val="7"/>
      </w:pPr>
    </w:p>
    <w:p w14:paraId="2B58A97F">
      <w:pPr>
        <w:pStyle w:val="6"/>
      </w:pPr>
    </w:p>
    <w:p w14:paraId="7759D7BB">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1C01983B">
      <w:pPr>
        <w:spacing w:line="360" w:lineRule="auto"/>
        <w:jc w:val="center"/>
        <w:outlineLvl w:val="0"/>
        <w:rPr>
          <w:rFonts w:cs="仿宋" w:asciiTheme="minorEastAsia" w:hAnsiTheme="minorEastAsia"/>
          <w:b/>
          <w:kern w:val="0"/>
          <w:sz w:val="24"/>
        </w:rPr>
      </w:pPr>
    </w:p>
    <w:p w14:paraId="747633A7">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05B59480">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3A5EEFDB">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27A1884D">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5BA900E7">
      <w:pPr>
        <w:snapToGrid w:val="0"/>
        <w:spacing w:line="360" w:lineRule="auto"/>
        <w:rPr>
          <w:rFonts w:cs="仿宋" w:asciiTheme="minorEastAsia" w:hAnsiTheme="minorEastAsia"/>
          <w:sz w:val="24"/>
        </w:rPr>
      </w:pPr>
      <w:r>
        <w:rPr>
          <w:rFonts w:hint="eastAsia" w:cs="仿宋" w:asciiTheme="minorEastAsia" w:hAnsiTheme="minorEastAsia"/>
          <w:sz w:val="24"/>
        </w:rPr>
        <w:t>（4）商务技术偏离表……………………………………………………………（页码）</w:t>
      </w:r>
    </w:p>
    <w:p w14:paraId="5C37B6F7">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4ADDF686">
      <w:pPr>
        <w:snapToGrid w:val="0"/>
        <w:spacing w:line="360" w:lineRule="auto"/>
        <w:rPr>
          <w:rFonts w:cs="仿宋" w:asciiTheme="minorEastAsia" w:hAnsiTheme="minorEastAsia"/>
          <w:sz w:val="24"/>
        </w:rPr>
      </w:pPr>
      <w:r>
        <w:rPr>
          <w:rFonts w:hint="eastAsia" w:cs="仿宋" w:asciiTheme="minorEastAsia" w:hAnsiTheme="minorEastAsia"/>
          <w:sz w:val="24"/>
        </w:rPr>
        <w:t>（6）供应商股东信息及出资比例信息表………………………………………（页码）</w:t>
      </w:r>
    </w:p>
    <w:p w14:paraId="576D012F">
      <w:pPr>
        <w:snapToGrid w:val="0"/>
        <w:spacing w:line="360" w:lineRule="auto"/>
        <w:rPr>
          <w:rFonts w:cs="仿宋" w:asciiTheme="minorEastAsia" w:hAnsiTheme="minorEastAsia"/>
          <w:sz w:val="24"/>
        </w:rPr>
      </w:pPr>
      <w:r>
        <w:rPr>
          <w:rFonts w:hint="eastAsia" w:cs="仿宋" w:asciiTheme="minorEastAsia" w:hAnsiTheme="minorEastAsia"/>
          <w:sz w:val="24"/>
        </w:rPr>
        <w:t>（7）供应商服务质量保证承诺函………………………………………………（页码）</w:t>
      </w:r>
    </w:p>
    <w:p w14:paraId="09FE6952">
      <w:pPr>
        <w:pStyle w:val="7"/>
      </w:pPr>
    </w:p>
    <w:p w14:paraId="5E1E6C13"/>
    <w:p w14:paraId="0C1BF409">
      <w:pPr>
        <w:pStyle w:val="6"/>
      </w:pPr>
    </w:p>
    <w:p w14:paraId="13423A8D">
      <w:pPr>
        <w:pStyle w:val="7"/>
      </w:pPr>
    </w:p>
    <w:p w14:paraId="48F4850E"/>
    <w:p w14:paraId="720ADBDF">
      <w:pPr>
        <w:pStyle w:val="6"/>
      </w:pPr>
    </w:p>
    <w:p w14:paraId="72A2B7DE">
      <w:pPr>
        <w:pStyle w:val="7"/>
      </w:pPr>
    </w:p>
    <w:p w14:paraId="2F175173"/>
    <w:p w14:paraId="7086AD79">
      <w:pPr>
        <w:pStyle w:val="6"/>
      </w:pPr>
    </w:p>
    <w:p w14:paraId="2A2627FD">
      <w:pPr>
        <w:pStyle w:val="7"/>
      </w:pPr>
    </w:p>
    <w:p w14:paraId="2D2C6A25"/>
    <w:p w14:paraId="19ED0EC3">
      <w:pPr>
        <w:pStyle w:val="6"/>
      </w:pPr>
    </w:p>
    <w:p w14:paraId="104241E7">
      <w:pPr>
        <w:pStyle w:val="7"/>
      </w:pPr>
    </w:p>
    <w:p w14:paraId="50936268">
      <w:pPr>
        <w:pStyle w:val="7"/>
      </w:pPr>
    </w:p>
    <w:p w14:paraId="4C7C796F"/>
    <w:p w14:paraId="58812D85">
      <w:pPr>
        <w:pStyle w:val="7"/>
        <w:ind w:firstLine="0"/>
      </w:pPr>
    </w:p>
    <w:p w14:paraId="6BB39880">
      <w:pPr>
        <w:pStyle w:val="7"/>
      </w:pPr>
    </w:p>
    <w:p w14:paraId="4A36DD90">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5CFDD2C6">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1639F251">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2025年三固运行中心循环水系统在线化学清洗服务采购项目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202509032</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3AC4534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90</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51019A60">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14:paraId="102D9875">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5209C6B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30019ABE">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2354DB82">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2.1.3本项目的特定资格要求（未要求的，无需提供）。</w:t>
      </w:r>
    </w:p>
    <w:p w14:paraId="0E5BCA2A">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027C888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1860A34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7BA5FCB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14:paraId="4910DDBC">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15554B50">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p>
    <w:p w14:paraId="1977B0C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2B7D8BF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7DEF9BD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1B6080A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14:paraId="5E56E40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14:paraId="3EDF1714">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4AB14B12">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23DB1203">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7D4CEE49">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5EDD1245">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4.5如我方在响应过程中，发生询价采购文件规定的采购人可以不退还询价保证金的情形的，我方同意采购人不退还我方缴纳的全部询价保证金。</w:t>
      </w:r>
    </w:p>
    <w:p w14:paraId="1B70E711">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6CE6CA67">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14:paraId="34D2F3B8">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24A23493">
      <w:pPr>
        <w:snapToGrid w:val="0"/>
        <w:spacing w:line="360" w:lineRule="auto"/>
        <w:rPr>
          <w:rFonts w:cs="仿宋" w:asciiTheme="minorEastAsia" w:hAnsiTheme="minorEastAsia"/>
          <w:kern w:val="0"/>
          <w:sz w:val="24"/>
        </w:rPr>
      </w:pPr>
    </w:p>
    <w:p w14:paraId="57403512">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70A86016">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2025年三固运行中心循环水系统在线化学清洗服务采购项目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202509032</w:t>
      </w:r>
      <w:r>
        <w:rPr>
          <w:rFonts w:hint="eastAsia" w:cs="仿宋" w:asciiTheme="minorEastAsia" w:hAnsiTheme="minorEastAsia"/>
          <w:sz w:val="24"/>
          <w:u w:val="single"/>
        </w:rPr>
        <w:t>】的</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其在报价、合同签订、合同履行等过程中的一切活动本公司均予承认</w:t>
      </w:r>
      <w:r>
        <w:rPr>
          <w:rFonts w:hint="eastAsia" w:cs="仿宋" w:asciiTheme="minorEastAsia" w:hAnsiTheme="minorEastAsia"/>
          <w:kern w:val="0"/>
          <w:sz w:val="24"/>
          <w:lang w:val="zh-CN"/>
        </w:rPr>
        <w:t>，其法律后果由我方承担。</w:t>
      </w:r>
    </w:p>
    <w:p w14:paraId="58B1C592">
      <w:pPr>
        <w:snapToGrid w:val="0"/>
        <w:spacing w:line="360" w:lineRule="auto"/>
        <w:ind w:firstLine="576"/>
        <w:rPr>
          <w:rFonts w:cs="仿宋" w:asciiTheme="minorEastAsia" w:hAnsiTheme="minorEastAsia"/>
          <w:kern w:val="0"/>
          <w:sz w:val="24"/>
        </w:rPr>
      </w:pPr>
    </w:p>
    <w:p w14:paraId="7DF8EDD6">
      <w:pPr>
        <w:snapToGrid w:val="0"/>
        <w:spacing w:line="360" w:lineRule="auto"/>
        <w:rPr>
          <w:rFonts w:cs="仿宋" w:asciiTheme="minorEastAsia" w:hAnsiTheme="minorEastAsia"/>
          <w:kern w:val="0"/>
          <w:sz w:val="24"/>
          <w:lang w:val="zh-CN"/>
        </w:rPr>
      </w:pPr>
    </w:p>
    <w:p w14:paraId="75A3AF5C">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lang w:val="en-US" w:eastAsia="zh-CN"/>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lang w:val="en-US" w:eastAsia="zh-CN"/>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lang w:val="en-US" w:eastAsia="zh-CN"/>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lang w:val="en-US" w:eastAsia="zh-CN"/>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lang w:val="en-US" w:eastAsia="zh-CN"/>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lang w:val="en-US" w:eastAsia="zh-CN"/>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4A519A0B">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6C1C17E8">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408BAA07">
      <w:pPr>
        <w:snapToGrid w:val="0"/>
        <w:spacing w:line="360" w:lineRule="auto"/>
        <w:rPr>
          <w:rFonts w:cs="仿宋" w:asciiTheme="minorEastAsia" w:hAnsiTheme="minorEastAsia"/>
          <w:kern w:val="0"/>
          <w:sz w:val="24"/>
          <w:lang w:val="zh-CN"/>
        </w:rPr>
      </w:pPr>
    </w:p>
    <w:p w14:paraId="0280AA87">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供应商名称：（公章）</w:t>
      </w:r>
    </w:p>
    <w:p w14:paraId="73BDE626">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法定代表人签字：</w:t>
      </w:r>
    </w:p>
    <w:p w14:paraId="2F269DD0">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6249222F">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326B616C">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7BFB2384">
      <w:pPr>
        <w:jc w:val="center"/>
        <w:rPr>
          <w:rFonts w:cs="仿宋" w:asciiTheme="minorEastAsia" w:hAnsiTheme="minorEastAsia"/>
          <w:b/>
          <w:kern w:val="0"/>
          <w:sz w:val="32"/>
          <w:szCs w:val="32"/>
          <w:lang w:val="zh-CN"/>
        </w:rPr>
      </w:pPr>
    </w:p>
    <w:p w14:paraId="5D105444">
      <w:pPr>
        <w:jc w:val="center"/>
        <w:rPr>
          <w:rFonts w:cs="仿宋" w:asciiTheme="minorEastAsia" w:hAnsiTheme="minorEastAsia"/>
          <w:b/>
          <w:kern w:val="0"/>
          <w:sz w:val="32"/>
          <w:szCs w:val="32"/>
          <w:lang w:val="zh-CN"/>
        </w:rPr>
      </w:pPr>
    </w:p>
    <w:p w14:paraId="3DE302C9">
      <w:pPr>
        <w:jc w:val="center"/>
        <w:rPr>
          <w:rFonts w:cs="仿宋" w:asciiTheme="minorEastAsia" w:hAnsiTheme="minorEastAsia"/>
          <w:b/>
          <w:kern w:val="0"/>
          <w:sz w:val="32"/>
          <w:szCs w:val="32"/>
          <w:lang w:val="zh-CN"/>
        </w:rPr>
      </w:pPr>
    </w:p>
    <w:p w14:paraId="260C80C4">
      <w:pPr>
        <w:jc w:val="center"/>
        <w:rPr>
          <w:rFonts w:cs="仿宋" w:asciiTheme="minorEastAsia" w:hAnsiTheme="minorEastAsia"/>
          <w:b/>
          <w:kern w:val="0"/>
          <w:sz w:val="32"/>
          <w:szCs w:val="32"/>
          <w:lang w:val="zh-CN"/>
        </w:rPr>
      </w:pPr>
    </w:p>
    <w:p w14:paraId="2A4345A5">
      <w:pPr>
        <w:jc w:val="center"/>
        <w:rPr>
          <w:rFonts w:cs="仿宋" w:asciiTheme="minorEastAsia" w:hAnsiTheme="minorEastAsia"/>
          <w:b/>
          <w:kern w:val="0"/>
          <w:sz w:val="32"/>
          <w:szCs w:val="32"/>
          <w:lang w:val="zh-CN"/>
        </w:rPr>
      </w:pPr>
    </w:p>
    <w:p w14:paraId="314DFBCE">
      <w:pPr>
        <w:jc w:val="center"/>
        <w:rPr>
          <w:rFonts w:cs="仿宋" w:asciiTheme="minorEastAsia" w:hAnsiTheme="minorEastAsia"/>
          <w:b/>
          <w:kern w:val="0"/>
          <w:sz w:val="32"/>
          <w:szCs w:val="32"/>
          <w:lang w:val="zh-CN"/>
        </w:rPr>
      </w:pPr>
    </w:p>
    <w:p w14:paraId="1CBB5264">
      <w:pPr>
        <w:jc w:val="center"/>
        <w:rPr>
          <w:rFonts w:cs="仿宋" w:asciiTheme="minorEastAsia" w:hAnsiTheme="minorEastAsia"/>
          <w:b/>
          <w:kern w:val="0"/>
          <w:sz w:val="32"/>
          <w:szCs w:val="32"/>
          <w:lang w:val="zh-CN"/>
        </w:rPr>
      </w:pPr>
    </w:p>
    <w:p w14:paraId="716ACF6F">
      <w:pPr>
        <w:jc w:val="center"/>
        <w:rPr>
          <w:rFonts w:cs="仿宋" w:asciiTheme="minorEastAsia" w:hAnsiTheme="minorEastAsia"/>
          <w:b/>
          <w:kern w:val="0"/>
          <w:sz w:val="32"/>
          <w:szCs w:val="32"/>
          <w:lang w:val="zh-CN"/>
        </w:rPr>
      </w:pPr>
    </w:p>
    <w:p w14:paraId="28DE04BE">
      <w:pPr>
        <w:jc w:val="center"/>
        <w:rPr>
          <w:rFonts w:cs="仿宋" w:asciiTheme="minorEastAsia" w:hAnsiTheme="minorEastAsia"/>
          <w:b/>
          <w:kern w:val="0"/>
          <w:sz w:val="32"/>
          <w:szCs w:val="32"/>
          <w:lang w:val="zh-CN"/>
        </w:rPr>
      </w:pPr>
    </w:p>
    <w:p w14:paraId="3D1F4C1C">
      <w:pPr>
        <w:pStyle w:val="6"/>
        <w:rPr>
          <w:rFonts w:cs="仿宋" w:asciiTheme="minorEastAsia" w:hAnsiTheme="minorEastAsia"/>
          <w:b/>
          <w:kern w:val="0"/>
          <w:sz w:val="32"/>
          <w:szCs w:val="32"/>
        </w:rPr>
      </w:pPr>
    </w:p>
    <w:p w14:paraId="22304FC0">
      <w:pPr>
        <w:pStyle w:val="7"/>
        <w:rPr>
          <w:rFonts w:cs="仿宋" w:asciiTheme="minorEastAsia" w:hAnsiTheme="minorEastAsia"/>
          <w:b/>
          <w:kern w:val="0"/>
          <w:sz w:val="32"/>
          <w:szCs w:val="32"/>
        </w:rPr>
      </w:pPr>
    </w:p>
    <w:p w14:paraId="38AEF45D">
      <w:pPr>
        <w:rPr>
          <w:rFonts w:cs="仿宋" w:asciiTheme="minorEastAsia" w:hAnsiTheme="minorEastAsia"/>
          <w:b/>
          <w:kern w:val="0"/>
          <w:sz w:val="32"/>
          <w:szCs w:val="32"/>
          <w:lang w:val="zh-CN"/>
        </w:rPr>
      </w:pPr>
    </w:p>
    <w:p w14:paraId="2EB11A1C">
      <w:pPr>
        <w:pStyle w:val="6"/>
        <w:rPr>
          <w:rFonts w:cs="仿宋" w:asciiTheme="minorEastAsia" w:hAnsiTheme="minorEastAsia"/>
          <w:b/>
          <w:kern w:val="0"/>
          <w:sz w:val="32"/>
          <w:szCs w:val="32"/>
        </w:rPr>
      </w:pPr>
    </w:p>
    <w:p w14:paraId="065CCE2A">
      <w:pPr>
        <w:pStyle w:val="7"/>
      </w:pPr>
    </w:p>
    <w:p w14:paraId="48EB691D"/>
    <w:p w14:paraId="700FFC41">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07F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978CA81">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38DCCE53">
            <w:pPr>
              <w:pStyle w:val="28"/>
              <w:adjustRightInd w:val="0"/>
              <w:spacing w:line="360" w:lineRule="auto"/>
              <w:rPr>
                <w:rFonts w:cs="仿宋" w:asciiTheme="minorEastAsia" w:hAnsiTheme="minorEastAsia" w:eastAsiaTheme="minorEastAsia"/>
                <w:bCs/>
                <w:sz w:val="24"/>
              </w:rPr>
            </w:pPr>
          </w:p>
        </w:tc>
      </w:tr>
    </w:tbl>
    <w:p w14:paraId="7A5C0133">
      <w:pPr>
        <w:snapToGrid w:val="0"/>
        <w:spacing w:line="360" w:lineRule="auto"/>
        <w:ind w:firstLine="576"/>
        <w:jc w:val="center"/>
        <w:rPr>
          <w:rFonts w:cs="仿宋" w:asciiTheme="minorEastAsia" w:hAnsiTheme="minorEastAsia"/>
          <w:kern w:val="0"/>
          <w:sz w:val="24"/>
          <w:lang w:val="zh-CN"/>
        </w:rPr>
      </w:pPr>
    </w:p>
    <w:p w14:paraId="79597A03">
      <w:pPr>
        <w:snapToGrid w:val="0"/>
        <w:spacing w:line="360" w:lineRule="auto"/>
        <w:ind w:firstLine="576"/>
        <w:jc w:val="center"/>
        <w:rPr>
          <w:rFonts w:cs="仿宋" w:asciiTheme="minorEastAsia" w:hAnsiTheme="minorEastAsia"/>
          <w:kern w:val="0"/>
          <w:sz w:val="24"/>
          <w:lang w:val="zh-CN"/>
        </w:rPr>
      </w:pPr>
    </w:p>
    <w:p w14:paraId="7419994E">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627D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7D116DF">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02E9F2E8">
            <w:pPr>
              <w:pStyle w:val="28"/>
              <w:adjustRightInd w:val="0"/>
              <w:spacing w:line="360" w:lineRule="auto"/>
              <w:rPr>
                <w:rFonts w:cs="仿宋" w:asciiTheme="minorEastAsia" w:hAnsiTheme="minorEastAsia" w:eastAsiaTheme="minorEastAsia"/>
                <w:bCs/>
                <w:sz w:val="24"/>
              </w:rPr>
            </w:pPr>
          </w:p>
        </w:tc>
      </w:tr>
    </w:tbl>
    <w:p w14:paraId="5F64A2D2">
      <w:pPr>
        <w:snapToGrid w:val="0"/>
        <w:spacing w:line="360" w:lineRule="auto"/>
        <w:ind w:firstLine="576"/>
        <w:jc w:val="center"/>
        <w:rPr>
          <w:rFonts w:cs="仿宋" w:asciiTheme="minorEastAsia" w:hAnsiTheme="minorEastAsia"/>
          <w:kern w:val="0"/>
          <w:sz w:val="24"/>
          <w:lang w:val="zh-CN"/>
        </w:rPr>
      </w:pPr>
    </w:p>
    <w:p w14:paraId="07B50C6E">
      <w:pPr>
        <w:snapToGrid w:val="0"/>
        <w:spacing w:line="360" w:lineRule="auto"/>
        <w:ind w:firstLine="576"/>
        <w:rPr>
          <w:rFonts w:cs="仿宋" w:asciiTheme="minorEastAsia" w:hAnsiTheme="minorEastAsia"/>
          <w:kern w:val="0"/>
          <w:sz w:val="24"/>
          <w:lang w:val="zh-CN"/>
        </w:rPr>
      </w:pPr>
    </w:p>
    <w:p w14:paraId="1C37BC73">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2A14407B">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14:paraId="75163CBE">
      <w:pPr>
        <w:rPr>
          <w:rFonts w:cs="仿宋" w:asciiTheme="minorEastAsia" w:hAnsiTheme="minorEastAsia"/>
          <w:b/>
          <w:kern w:val="0"/>
          <w:sz w:val="32"/>
          <w:szCs w:val="32"/>
        </w:rPr>
      </w:pPr>
    </w:p>
    <w:p w14:paraId="20A46DB1">
      <w:pPr>
        <w:jc w:val="center"/>
        <w:rPr>
          <w:rFonts w:cs="仿宋" w:asciiTheme="minorEastAsia" w:hAnsiTheme="minorEastAsia"/>
          <w:b/>
          <w:kern w:val="0"/>
          <w:sz w:val="32"/>
          <w:szCs w:val="32"/>
        </w:rPr>
      </w:pPr>
    </w:p>
    <w:p w14:paraId="1BD2661E">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14:paraId="20F94316">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6F55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397A2861">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5A00327A">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28D97D7D">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427A51C2">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080DDEB3">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40254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4FFBCEF">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127DA519">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6C12C6F0">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51CD5899">
            <w:pPr>
              <w:jc w:val="center"/>
              <w:rPr>
                <w:rFonts w:cs="仿宋" w:asciiTheme="minorEastAsia" w:hAnsiTheme="minorEastAsia"/>
                <w:sz w:val="24"/>
              </w:rPr>
            </w:pPr>
          </w:p>
          <w:p w14:paraId="6CADF14C">
            <w:pPr>
              <w:jc w:val="center"/>
              <w:rPr>
                <w:rFonts w:cs="仿宋" w:asciiTheme="minorEastAsia" w:hAnsiTheme="minorEastAsia"/>
                <w:sz w:val="24"/>
              </w:rPr>
            </w:pPr>
            <w:r>
              <w:rPr>
                <w:rFonts w:hint="eastAsia" w:cs="仿宋" w:asciiTheme="minorEastAsia" w:hAnsiTheme="minorEastAsia"/>
                <w:sz w:val="24"/>
              </w:rPr>
              <w:t>见响应文件</w:t>
            </w:r>
          </w:p>
          <w:p w14:paraId="5DD73B91">
            <w:pPr>
              <w:jc w:val="center"/>
              <w:rPr>
                <w:rFonts w:cs="仿宋" w:asciiTheme="minorEastAsia" w:hAnsiTheme="minorEastAsia"/>
              </w:rPr>
            </w:pPr>
            <w:r>
              <w:rPr>
                <w:rFonts w:hint="eastAsia" w:cs="仿宋" w:asciiTheme="minorEastAsia" w:hAnsiTheme="minorEastAsia"/>
                <w:sz w:val="24"/>
              </w:rPr>
              <w:t>第 页</w:t>
            </w:r>
          </w:p>
        </w:tc>
      </w:tr>
      <w:tr w14:paraId="5BE46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B2988BD">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14756093">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0CA0B84C">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4CBA4DD5">
            <w:pPr>
              <w:jc w:val="center"/>
              <w:rPr>
                <w:rFonts w:cs="仿宋" w:asciiTheme="minorEastAsia" w:hAnsiTheme="minorEastAsia"/>
              </w:rPr>
            </w:pPr>
            <w:r>
              <w:rPr>
                <w:rFonts w:hint="eastAsia" w:cs="仿宋" w:asciiTheme="minorEastAsia" w:hAnsiTheme="minorEastAsia"/>
                <w:sz w:val="24"/>
              </w:rPr>
              <w:t>见响应文件第  页</w:t>
            </w:r>
          </w:p>
        </w:tc>
      </w:tr>
      <w:tr w14:paraId="7E839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1EDEAB6">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581C2CEB">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响应文件满足询价采购文件的其他实质性要求。</w:t>
            </w:r>
          </w:p>
        </w:tc>
        <w:tc>
          <w:tcPr>
            <w:tcW w:w="3395" w:type="dxa"/>
            <w:vAlign w:val="center"/>
          </w:tcPr>
          <w:p w14:paraId="08D77825">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14D7877E">
            <w:pPr>
              <w:jc w:val="center"/>
              <w:rPr>
                <w:rFonts w:cs="仿宋" w:asciiTheme="minorEastAsia" w:hAnsiTheme="minorEastAsia"/>
              </w:rPr>
            </w:pPr>
            <w:r>
              <w:rPr>
                <w:rFonts w:hint="eastAsia" w:cs="仿宋" w:asciiTheme="minorEastAsia" w:hAnsiTheme="minorEastAsia"/>
                <w:sz w:val="24"/>
              </w:rPr>
              <w:t>见响应文件第  页</w:t>
            </w:r>
          </w:p>
        </w:tc>
      </w:tr>
    </w:tbl>
    <w:p w14:paraId="13CD0215">
      <w:pPr>
        <w:jc w:val="center"/>
        <w:rPr>
          <w:rFonts w:cs="仿宋" w:asciiTheme="minorEastAsia" w:hAnsiTheme="minorEastAsia"/>
          <w:b/>
          <w:kern w:val="0"/>
          <w:sz w:val="32"/>
          <w:szCs w:val="32"/>
        </w:rPr>
      </w:pPr>
    </w:p>
    <w:p w14:paraId="3BDA9AFD">
      <w:pPr>
        <w:jc w:val="center"/>
        <w:rPr>
          <w:rFonts w:cs="仿宋" w:asciiTheme="minorEastAsia" w:hAnsiTheme="minorEastAsia"/>
          <w:b/>
          <w:kern w:val="0"/>
          <w:sz w:val="32"/>
          <w:szCs w:val="32"/>
        </w:rPr>
      </w:pPr>
    </w:p>
    <w:p w14:paraId="64F9B716">
      <w:pPr>
        <w:jc w:val="center"/>
        <w:rPr>
          <w:rFonts w:cs="仿宋" w:asciiTheme="minorEastAsia" w:hAnsiTheme="minorEastAsia"/>
          <w:b/>
          <w:kern w:val="0"/>
          <w:sz w:val="32"/>
          <w:szCs w:val="32"/>
        </w:rPr>
      </w:pPr>
    </w:p>
    <w:p w14:paraId="57016981">
      <w:pPr>
        <w:jc w:val="center"/>
        <w:rPr>
          <w:rFonts w:cs="仿宋" w:asciiTheme="minorEastAsia" w:hAnsiTheme="minorEastAsia"/>
          <w:b/>
          <w:kern w:val="0"/>
          <w:sz w:val="32"/>
          <w:szCs w:val="32"/>
        </w:rPr>
      </w:pPr>
    </w:p>
    <w:p w14:paraId="6A7C77F2">
      <w:pPr>
        <w:jc w:val="center"/>
        <w:rPr>
          <w:rFonts w:cs="仿宋" w:asciiTheme="minorEastAsia" w:hAnsiTheme="minorEastAsia"/>
          <w:b/>
          <w:kern w:val="0"/>
          <w:sz w:val="32"/>
          <w:szCs w:val="32"/>
        </w:rPr>
      </w:pPr>
    </w:p>
    <w:p w14:paraId="619EFFBA">
      <w:pPr>
        <w:jc w:val="center"/>
        <w:rPr>
          <w:rFonts w:cs="仿宋" w:asciiTheme="minorEastAsia" w:hAnsiTheme="minorEastAsia"/>
          <w:b/>
          <w:kern w:val="0"/>
          <w:sz w:val="32"/>
          <w:szCs w:val="32"/>
        </w:rPr>
      </w:pPr>
    </w:p>
    <w:p w14:paraId="70A67F3E">
      <w:pPr>
        <w:jc w:val="center"/>
        <w:rPr>
          <w:rFonts w:cs="仿宋" w:asciiTheme="minorEastAsia" w:hAnsiTheme="minorEastAsia"/>
          <w:b/>
          <w:kern w:val="0"/>
          <w:sz w:val="32"/>
          <w:szCs w:val="32"/>
        </w:rPr>
      </w:pPr>
    </w:p>
    <w:p w14:paraId="04820416">
      <w:pPr>
        <w:jc w:val="center"/>
        <w:rPr>
          <w:rFonts w:cs="仿宋" w:asciiTheme="minorEastAsia" w:hAnsiTheme="minorEastAsia"/>
          <w:b/>
          <w:kern w:val="0"/>
          <w:sz w:val="32"/>
          <w:szCs w:val="32"/>
        </w:rPr>
      </w:pPr>
    </w:p>
    <w:p w14:paraId="3D884B8F">
      <w:pPr>
        <w:jc w:val="center"/>
        <w:rPr>
          <w:rFonts w:cs="仿宋" w:asciiTheme="minorEastAsia" w:hAnsiTheme="minorEastAsia"/>
          <w:b/>
          <w:kern w:val="0"/>
          <w:sz w:val="32"/>
          <w:szCs w:val="32"/>
        </w:rPr>
      </w:pPr>
    </w:p>
    <w:p w14:paraId="7C812108">
      <w:pPr>
        <w:jc w:val="center"/>
        <w:rPr>
          <w:rFonts w:cs="仿宋" w:asciiTheme="minorEastAsia" w:hAnsiTheme="minorEastAsia"/>
          <w:b/>
          <w:kern w:val="0"/>
          <w:sz w:val="32"/>
          <w:szCs w:val="32"/>
        </w:rPr>
      </w:pPr>
    </w:p>
    <w:p w14:paraId="3062AA05">
      <w:pPr>
        <w:jc w:val="center"/>
        <w:rPr>
          <w:rFonts w:cs="仿宋" w:asciiTheme="minorEastAsia" w:hAnsiTheme="minorEastAsia"/>
          <w:b/>
          <w:kern w:val="0"/>
          <w:sz w:val="32"/>
          <w:szCs w:val="32"/>
        </w:rPr>
      </w:pPr>
    </w:p>
    <w:p w14:paraId="76329196">
      <w:pPr>
        <w:jc w:val="center"/>
        <w:rPr>
          <w:rFonts w:cs="仿宋" w:asciiTheme="minorEastAsia" w:hAnsiTheme="minorEastAsia"/>
          <w:b/>
          <w:kern w:val="0"/>
          <w:sz w:val="32"/>
          <w:szCs w:val="32"/>
        </w:rPr>
      </w:pPr>
    </w:p>
    <w:p w14:paraId="653C282A">
      <w:pPr>
        <w:jc w:val="center"/>
        <w:rPr>
          <w:rFonts w:cs="仿宋" w:asciiTheme="minorEastAsia" w:hAnsiTheme="minorEastAsia"/>
          <w:b/>
          <w:kern w:val="0"/>
          <w:sz w:val="32"/>
          <w:szCs w:val="32"/>
        </w:rPr>
      </w:pPr>
    </w:p>
    <w:p w14:paraId="76FB471F">
      <w:pPr>
        <w:jc w:val="center"/>
        <w:rPr>
          <w:rFonts w:cs="仿宋" w:asciiTheme="minorEastAsia" w:hAnsiTheme="minorEastAsia"/>
          <w:b/>
          <w:kern w:val="0"/>
          <w:sz w:val="32"/>
          <w:szCs w:val="32"/>
        </w:rPr>
      </w:pPr>
    </w:p>
    <w:p w14:paraId="7AF57521">
      <w:pPr>
        <w:jc w:val="center"/>
        <w:rPr>
          <w:rFonts w:cs="仿宋" w:asciiTheme="minorEastAsia" w:hAnsiTheme="minorEastAsia"/>
          <w:b/>
          <w:kern w:val="0"/>
          <w:sz w:val="32"/>
          <w:szCs w:val="32"/>
        </w:rPr>
      </w:pPr>
    </w:p>
    <w:p w14:paraId="2522086E">
      <w:pPr>
        <w:jc w:val="center"/>
        <w:rPr>
          <w:rFonts w:cs="仿宋" w:asciiTheme="minorEastAsia" w:hAnsiTheme="minorEastAsia"/>
          <w:b/>
          <w:kern w:val="0"/>
          <w:sz w:val="32"/>
          <w:szCs w:val="32"/>
        </w:rPr>
      </w:pPr>
    </w:p>
    <w:p w14:paraId="581F98FE">
      <w:pPr>
        <w:jc w:val="center"/>
        <w:rPr>
          <w:rFonts w:cs="仿宋" w:asciiTheme="minorEastAsia" w:hAnsiTheme="minorEastAsia"/>
          <w:b/>
          <w:kern w:val="0"/>
          <w:sz w:val="32"/>
          <w:szCs w:val="32"/>
        </w:rPr>
      </w:pPr>
    </w:p>
    <w:p w14:paraId="747449BE">
      <w:pPr>
        <w:jc w:val="center"/>
        <w:rPr>
          <w:rFonts w:cs="仿宋" w:asciiTheme="minorEastAsia" w:hAnsiTheme="minorEastAsia"/>
          <w:b/>
          <w:kern w:val="0"/>
          <w:sz w:val="32"/>
          <w:szCs w:val="32"/>
        </w:rPr>
      </w:pPr>
    </w:p>
    <w:p w14:paraId="7466BCF0">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6624A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8B1ECBA">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40242834">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1FBD3F9A">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7840F167">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2C6FC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D8340E0">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5AFC9A56">
            <w:pPr>
              <w:jc w:val="center"/>
              <w:rPr>
                <w:rFonts w:cs="仿宋" w:asciiTheme="minorEastAsia" w:hAnsiTheme="minorEastAsia"/>
                <w:b/>
                <w:kern w:val="0"/>
                <w:sz w:val="32"/>
                <w:szCs w:val="32"/>
              </w:rPr>
            </w:pPr>
          </w:p>
        </w:tc>
        <w:tc>
          <w:tcPr>
            <w:tcW w:w="3546" w:type="dxa"/>
          </w:tcPr>
          <w:p w14:paraId="2144061E">
            <w:pPr>
              <w:jc w:val="center"/>
              <w:rPr>
                <w:rFonts w:cs="仿宋" w:asciiTheme="minorEastAsia" w:hAnsiTheme="minorEastAsia"/>
                <w:b/>
                <w:kern w:val="0"/>
                <w:sz w:val="32"/>
                <w:szCs w:val="32"/>
              </w:rPr>
            </w:pPr>
          </w:p>
        </w:tc>
        <w:tc>
          <w:tcPr>
            <w:tcW w:w="1276" w:type="dxa"/>
          </w:tcPr>
          <w:p w14:paraId="7E19FB92">
            <w:pPr>
              <w:jc w:val="center"/>
              <w:rPr>
                <w:rFonts w:cs="仿宋" w:asciiTheme="minorEastAsia" w:hAnsiTheme="minorEastAsia"/>
                <w:b/>
                <w:kern w:val="0"/>
                <w:sz w:val="32"/>
                <w:szCs w:val="32"/>
              </w:rPr>
            </w:pPr>
          </w:p>
        </w:tc>
      </w:tr>
      <w:tr w14:paraId="20B00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3E076EF">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409C65E1">
            <w:pPr>
              <w:jc w:val="center"/>
              <w:rPr>
                <w:rFonts w:cs="仿宋" w:asciiTheme="minorEastAsia" w:hAnsiTheme="minorEastAsia"/>
                <w:b/>
                <w:kern w:val="0"/>
                <w:sz w:val="32"/>
                <w:szCs w:val="32"/>
              </w:rPr>
            </w:pPr>
          </w:p>
        </w:tc>
        <w:tc>
          <w:tcPr>
            <w:tcW w:w="3546" w:type="dxa"/>
          </w:tcPr>
          <w:p w14:paraId="30F19AA3">
            <w:pPr>
              <w:jc w:val="center"/>
              <w:rPr>
                <w:rFonts w:cs="仿宋" w:asciiTheme="minorEastAsia" w:hAnsiTheme="minorEastAsia"/>
                <w:b/>
                <w:kern w:val="0"/>
                <w:sz w:val="32"/>
                <w:szCs w:val="32"/>
              </w:rPr>
            </w:pPr>
          </w:p>
        </w:tc>
        <w:tc>
          <w:tcPr>
            <w:tcW w:w="1276" w:type="dxa"/>
          </w:tcPr>
          <w:p w14:paraId="1D98DDA9">
            <w:pPr>
              <w:jc w:val="center"/>
              <w:rPr>
                <w:rFonts w:cs="仿宋" w:asciiTheme="minorEastAsia" w:hAnsiTheme="minorEastAsia"/>
                <w:b/>
                <w:kern w:val="0"/>
                <w:sz w:val="32"/>
                <w:szCs w:val="32"/>
              </w:rPr>
            </w:pPr>
          </w:p>
        </w:tc>
      </w:tr>
      <w:tr w14:paraId="631F6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4B92F2F">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3E700847">
            <w:pPr>
              <w:jc w:val="center"/>
              <w:rPr>
                <w:rFonts w:cs="仿宋" w:asciiTheme="minorEastAsia" w:hAnsiTheme="minorEastAsia"/>
                <w:b/>
                <w:kern w:val="0"/>
                <w:sz w:val="32"/>
                <w:szCs w:val="32"/>
              </w:rPr>
            </w:pPr>
          </w:p>
        </w:tc>
        <w:tc>
          <w:tcPr>
            <w:tcW w:w="3546" w:type="dxa"/>
          </w:tcPr>
          <w:p w14:paraId="1D98DE0C">
            <w:pPr>
              <w:jc w:val="center"/>
              <w:rPr>
                <w:rFonts w:cs="仿宋" w:asciiTheme="minorEastAsia" w:hAnsiTheme="minorEastAsia"/>
                <w:b/>
                <w:kern w:val="0"/>
                <w:sz w:val="32"/>
                <w:szCs w:val="32"/>
              </w:rPr>
            </w:pPr>
          </w:p>
        </w:tc>
        <w:tc>
          <w:tcPr>
            <w:tcW w:w="1276" w:type="dxa"/>
          </w:tcPr>
          <w:p w14:paraId="02951BB3">
            <w:pPr>
              <w:jc w:val="center"/>
              <w:rPr>
                <w:rFonts w:cs="仿宋" w:asciiTheme="minorEastAsia" w:hAnsiTheme="minorEastAsia"/>
                <w:b/>
                <w:kern w:val="0"/>
                <w:sz w:val="32"/>
                <w:szCs w:val="32"/>
              </w:rPr>
            </w:pPr>
          </w:p>
        </w:tc>
      </w:tr>
    </w:tbl>
    <w:p w14:paraId="7C41FC1A">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67D5FC97">
      <w:pPr>
        <w:jc w:val="center"/>
        <w:rPr>
          <w:rFonts w:cs="仿宋" w:asciiTheme="minorEastAsia" w:hAnsiTheme="minorEastAsia"/>
          <w:b/>
          <w:kern w:val="0"/>
          <w:sz w:val="32"/>
          <w:szCs w:val="32"/>
        </w:rPr>
      </w:pPr>
    </w:p>
    <w:p w14:paraId="7D6628A1">
      <w:pPr>
        <w:jc w:val="center"/>
        <w:rPr>
          <w:rFonts w:cs="仿宋" w:asciiTheme="minorEastAsia" w:hAnsiTheme="minorEastAsia"/>
          <w:b/>
          <w:kern w:val="0"/>
          <w:sz w:val="32"/>
          <w:szCs w:val="32"/>
        </w:rPr>
      </w:pPr>
    </w:p>
    <w:p w14:paraId="08B59363">
      <w:pPr>
        <w:jc w:val="center"/>
        <w:rPr>
          <w:rFonts w:cs="仿宋" w:asciiTheme="minorEastAsia" w:hAnsiTheme="minorEastAsia"/>
          <w:b/>
          <w:kern w:val="0"/>
          <w:sz w:val="32"/>
          <w:szCs w:val="32"/>
        </w:rPr>
      </w:pPr>
    </w:p>
    <w:p w14:paraId="0AB4C99F">
      <w:pPr>
        <w:jc w:val="center"/>
        <w:rPr>
          <w:rFonts w:cs="仿宋" w:asciiTheme="minorEastAsia" w:hAnsiTheme="minorEastAsia"/>
          <w:b/>
          <w:kern w:val="0"/>
          <w:sz w:val="32"/>
          <w:szCs w:val="32"/>
        </w:rPr>
      </w:pPr>
    </w:p>
    <w:p w14:paraId="4635D3BF">
      <w:pPr>
        <w:jc w:val="center"/>
        <w:rPr>
          <w:rFonts w:cs="仿宋" w:asciiTheme="minorEastAsia" w:hAnsiTheme="minorEastAsia"/>
          <w:b/>
          <w:kern w:val="0"/>
          <w:sz w:val="32"/>
          <w:szCs w:val="32"/>
        </w:rPr>
      </w:pPr>
    </w:p>
    <w:p w14:paraId="1125850B">
      <w:pPr>
        <w:jc w:val="center"/>
        <w:rPr>
          <w:rFonts w:cs="仿宋" w:asciiTheme="minorEastAsia" w:hAnsiTheme="minorEastAsia"/>
          <w:b/>
          <w:kern w:val="0"/>
          <w:sz w:val="32"/>
          <w:szCs w:val="32"/>
        </w:rPr>
      </w:pPr>
    </w:p>
    <w:p w14:paraId="0EF3A1A3">
      <w:pPr>
        <w:jc w:val="center"/>
        <w:rPr>
          <w:rFonts w:cs="仿宋" w:asciiTheme="minorEastAsia" w:hAnsiTheme="minorEastAsia"/>
          <w:b/>
          <w:kern w:val="0"/>
          <w:sz w:val="32"/>
          <w:szCs w:val="32"/>
        </w:rPr>
      </w:pPr>
    </w:p>
    <w:p w14:paraId="264CFB7E">
      <w:pPr>
        <w:jc w:val="center"/>
        <w:rPr>
          <w:rFonts w:cs="仿宋" w:asciiTheme="minorEastAsia" w:hAnsiTheme="minorEastAsia"/>
          <w:b/>
          <w:kern w:val="0"/>
          <w:sz w:val="32"/>
          <w:szCs w:val="32"/>
        </w:rPr>
      </w:pPr>
    </w:p>
    <w:p w14:paraId="6AACA289">
      <w:pPr>
        <w:jc w:val="center"/>
        <w:rPr>
          <w:rFonts w:cs="仿宋" w:asciiTheme="minorEastAsia" w:hAnsiTheme="minorEastAsia"/>
          <w:b/>
          <w:kern w:val="0"/>
          <w:sz w:val="32"/>
          <w:szCs w:val="32"/>
        </w:rPr>
      </w:pPr>
    </w:p>
    <w:p w14:paraId="4DDA1DBF">
      <w:pPr>
        <w:jc w:val="center"/>
        <w:rPr>
          <w:rFonts w:cs="仿宋" w:asciiTheme="minorEastAsia" w:hAnsiTheme="minorEastAsia"/>
          <w:b/>
          <w:kern w:val="0"/>
          <w:sz w:val="32"/>
          <w:szCs w:val="32"/>
        </w:rPr>
      </w:pPr>
    </w:p>
    <w:p w14:paraId="6109C9B4">
      <w:pPr>
        <w:jc w:val="center"/>
        <w:rPr>
          <w:rFonts w:cs="仿宋" w:asciiTheme="minorEastAsia" w:hAnsiTheme="minorEastAsia"/>
          <w:b/>
          <w:kern w:val="0"/>
          <w:sz w:val="32"/>
          <w:szCs w:val="32"/>
        </w:rPr>
      </w:pPr>
    </w:p>
    <w:p w14:paraId="1F9C060C">
      <w:pPr>
        <w:jc w:val="center"/>
        <w:rPr>
          <w:rFonts w:cs="仿宋" w:asciiTheme="minorEastAsia" w:hAnsiTheme="minorEastAsia"/>
          <w:b/>
          <w:kern w:val="0"/>
          <w:sz w:val="32"/>
          <w:szCs w:val="32"/>
        </w:rPr>
      </w:pPr>
    </w:p>
    <w:p w14:paraId="772C10C6">
      <w:pPr>
        <w:jc w:val="center"/>
        <w:rPr>
          <w:rFonts w:cs="仿宋" w:asciiTheme="minorEastAsia" w:hAnsiTheme="minorEastAsia"/>
          <w:b/>
          <w:kern w:val="0"/>
          <w:sz w:val="32"/>
          <w:szCs w:val="32"/>
        </w:rPr>
      </w:pPr>
    </w:p>
    <w:p w14:paraId="050CC1E8">
      <w:pPr>
        <w:jc w:val="center"/>
        <w:rPr>
          <w:rFonts w:cs="仿宋" w:asciiTheme="minorEastAsia" w:hAnsiTheme="minorEastAsia"/>
          <w:b/>
          <w:kern w:val="0"/>
          <w:sz w:val="32"/>
          <w:szCs w:val="32"/>
        </w:rPr>
      </w:pPr>
    </w:p>
    <w:p w14:paraId="4E46A062">
      <w:pPr>
        <w:jc w:val="center"/>
        <w:rPr>
          <w:rFonts w:cs="仿宋" w:asciiTheme="minorEastAsia" w:hAnsiTheme="minorEastAsia"/>
          <w:b/>
          <w:kern w:val="0"/>
          <w:sz w:val="32"/>
          <w:szCs w:val="32"/>
        </w:rPr>
      </w:pPr>
    </w:p>
    <w:p w14:paraId="4671CD8E">
      <w:pPr>
        <w:jc w:val="center"/>
        <w:rPr>
          <w:rFonts w:cs="仿宋" w:asciiTheme="minorEastAsia" w:hAnsiTheme="minorEastAsia"/>
          <w:b/>
          <w:kern w:val="0"/>
          <w:sz w:val="32"/>
          <w:szCs w:val="32"/>
        </w:rPr>
      </w:pPr>
    </w:p>
    <w:p w14:paraId="700B011A">
      <w:pPr>
        <w:jc w:val="center"/>
        <w:rPr>
          <w:rFonts w:cs="仿宋" w:asciiTheme="minorEastAsia" w:hAnsiTheme="minorEastAsia"/>
          <w:b/>
          <w:kern w:val="0"/>
          <w:sz w:val="32"/>
          <w:szCs w:val="32"/>
        </w:rPr>
      </w:pPr>
    </w:p>
    <w:p w14:paraId="0C60FE39">
      <w:pPr>
        <w:jc w:val="center"/>
        <w:rPr>
          <w:rFonts w:cs="仿宋" w:asciiTheme="minorEastAsia" w:hAnsiTheme="minorEastAsia"/>
          <w:b/>
          <w:kern w:val="0"/>
          <w:sz w:val="32"/>
          <w:szCs w:val="32"/>
        </w:rPr>
      </w:pPr>
    </w:p>
    <w:p w14:paraId="54CC19CD">
      <w:pPr>
        <w:jc w:val="center"/>
        <w:rPr>
          <w:rFonts w:cs="仿宋" w:asciiTheme="minorEastAsia" w:hAnsiTheme="minorEastAsia"/>
          <w:b/>
          <w:kern w:val="0"/>
          <w:sz w:val="32"/>
          <w:szCs w:val="32"/>
        </w:rPr>
      </w:pPr>
    </w:p>
    <w:p w14:paraId="0C6AE45C">
      <w:pPr>
        <w:jc w:val="center"/>
        <w:rPr>
          <w:rFonts w:cs="仿宋" w:asciiTheme="minorEastAsia" w:hAnsiTheme="minorEastAsia"/>
          <w:b/>
          <w:kern w:val="0"/>
          <w:sz w:val="32"/>
          <w:szCs w:val="32"/>
        </w:rPr>
      </w:pPr>
    </w:p>
    <w:p w14:paraId="2E91AE16">
      <w:pPr>
        <w:jc w:val="center"/>
        <w:rPr>
          <w:rFonts w:cs="仿宋" w:asciiTheme="minorEastAsia" w:hAnsiTheme="minorEastAsia"/>
          <w:b/>
          <w:kern w:val="0"/>
          <w:sz w:val="32"/>
          <w:szCs w:val="32"/>
        </w:rPr>
      </w:pPr>
    </w:p>
    <w:p w14:paraId="05191362">
      <w:pPr>
        <w:jc w:val="center"/>
        <w:rPr>
          <w:rFonts w:cs="仿宋" w:asciiTheme="minorEastAsia" w:hAnsiTheme="minorEastAsia"/>
          <w:b/>
          <w:kern w:val="0"/>
          <w:sz w:val="32"/>
          <w:szCs w:val="32"/>
        </w:rPr>
      </w:pPr>
    </w:p>
    <w:p w14:paraId="6D2D0B6D">
      <w:pPr>
        <w:jc w:val="center"/>
        <w:rPr>
          <w:rFonts w:cs="仿宋" w:asciiTheme="minorEastAsia" w:hAnsiTheme="minorEastAsia"/>
          <w:b/>
          <w:kern w:val="0"/>
          <w:sz w:val="32"/>
          <w:szCs w:val="32"/>
        </w:rPr>
      </w:pPr>
    </w:p>
    <w:p w14:paraId="0CF724FF">
      <w:pPr>
        <w:jc w:val="center"/>
        <w:rPr>
          <w:rFonts w:cs="仿宋" w:asciiTheme="minorEastAsia" w:hAnsiTheme="minorEastAsia"/>
          <w:b/>
          <w:kern w:val="0"/>
          <w:sz w:val="32"/>
          <w:szCs w:val="32"/>
        </w:rPr>
      </w:pPr>
    </w:p>
    <w:p w14:paraId="798AE5DE">
      <w:pPr>
        <w:jc w:val="center"/>
        <w:rPr>
          <w:rFonts w:cs="仿宋" w:asciiTheme="minorEastAsia" w:hAnsiTheme="minorEastAsia"/>
          <w:b/>
          <w:kern w:val="0"/>
          <w:sz w:val="32"/>
          <w:szCs w:val="32"/>
        </w:rPr>
      </w:pPr>
    </w:p>
    <w:p w14:paraId="7BBA514A">
      <w:pPr>
        <w:jc w:val="center"/>
        <w:rPr>
          <w:rFonts w:cs="仿宋" w:asciiTheme="minorEastAsia" w:hAnsiTheme="minorEastAsia"/>
          <w:b/>
          <w:kern w:val="0"/>
          <w:sz w:val="32"/>
          <w:szCs w:val="32"/>
        </w:rPr>
      </w:pPr>
    </w:p>
    <w:p w14:paraId="78289046">
      <w:pPr>
        <w:jc w:val="center"/>
        <w:rPr>
          <w:rFonts w:cs="仿宋" w:asciiTheme="minorEastAsia" w:hAnsiTheme="minorEastAsia"/>
          <w:b/>
          <w:kern w:val="0"/>
          <w:sz w:val="32"/>
          <w:szCs w:val="32"/>
        </w:rPr>
      </w:pPr>
    </w:p>
    <w:p w14:paraId="10ED8254">
      <w:pPr>
        <w:jc w:val="center"/>
        <w:rPr>
          <w:rFonts w:cs="仿宋" w:asciiTheme="minorEastAsia" w:hAnsiTheme="minorEastAsia"/>
          <w:b/>
          <w:kern w:val="0"/>
          <w:sz w:val="32"/>
          <w:szCs w:val="32"/>
        </w:rPr>
      </w:pPr>
    </w:p>
    <w:p w14:paraId="475FB628">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五、</w:t>
      </w:r>
      <w:r>
        <w:rPr>
          <w:rFonts w:hint="eastAsia" w:cs="仿宋" w:asciiTheme="minorEastAsia" w:hAnsiTheme="minorEastAsia"/>
          <w:b/>
          <w:kern w:val="0"/>
          <w:sz w:val="32"/>
          <w:szCs w:val="32"/>
          <w:lang w:val="zh-CN"/>
        </w:rPr>
        <w:t>供应商廉洁自律承诺书</w:t>
      </w:r>
    </w:p>
    <w:p w14:paraId="22DC4AF7">
      <w:pPr>
        <w:snapToGrid w:val="0"/>
        <w:spacing w:line="360" w:lineRule="auto"/>
        <w:rPr>
          <w:rFonts w:cs="仿宋" w:asciiTheme="minorEastAsia" w:hAnsiTheme="minorEastAsia"/>
          <w:sz w:val="24"/>
        </w:rPr>
      </w:pPr>
    </w:p>
    <w:p w14:paraId="03449163">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66378FFD">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261863D8">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33660BC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628B5B5A">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1CA22A0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201B7671">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71C10BC6">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7EF8929D">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2DA08708">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53DF880C">
      <w:pPr>
        <w:autoSpaceDE w:val="0"/>
        <w:autoSpaceDN w:val="0"/>
        <w:spacing w:line="360" w:lineRule="auto"/>
        <w:ind w:left="2"/>
        <w:jc w:val="left"/>
        <w:rPr>
          <w:rFonts w:cs="仿宋" w:asciiTheme="minorEastAsia" w:hAnsiTheme="minorEastAsia"/>
          <w:kern w:val="0"/>
          <w:sz w:val="24"/>
          <w:lang w:val="zh-CN"/>
        </w:rPr>
      </w:pPr>
    </w:p>
    <w:p w14:paraId="38847D26">
      <w:pPr>
        <w:autoSpaceDE w:val="0"/>
        <w:autoSpaceDN w:val="0"/>
        <w:spacing w:line="360" w:lineRule="auto"/>
        <w:ind w:left="2"/>
        <w:jc w:val="left"/>
        <w:rPr>
          <w:rFonts w:cs="仿宋" w:asciiTheme="minorEastAsia" w:hAnsiTheme="minorEastAsia"/>
          <w:kern w:val="0"/>
          <w:sz w:val="24"/>
          <w:lang w:val="zh-CN"/>
        </w:rPr>
      </w:pPr>
    </w:p>
    <w:p w14:paraId="6EF35244">
      <w:pPr>
        <w:autoSpaceDE w:val="0"/>
        <w:autoSpaceDN w:val="0"/>
        <w:spacing w:line="360" w:lineRule="auto"/>
        <w:ind w:left="2"/>
        <w:jc w:val="left"/>
        <w:rPr>
          <w:rFonts w:cs="仿宋" w:asciiTheme="minorEastAsia" w:hAnsiTheme="minorEastAsia"/>
          <w:kern w:val="0"/>
          <w:sz w:val="24"/>
          <w:lang w:val="zh-CN"/>
        </w:rPr>
      </w:pPr>
    </w:p>
    <w:p w14:paraId="73181875">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54BBF38B">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01B186F7">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5AE06BB2">
      <w:pPr>
        <w:pStyle w:val="6"/>
        <w:sectPr>
          <w:pgSz w:w="11906" w:h="16838"/>
          <w:pgMar w:top="1276" w:right="1418" w:bottom="1247" w:left="1418" w:header="851" w:footer="992" w:gutter="0"/>
          <w:cols w:space="720" w:num="1"/>
          <w:titlePg/>
          <w:docGrid w:linePitch="312" w:charSpace="0"/>
        </w:sectPr>
      </w:pPr>
    </w:p>
    <w:p w14:paraId="3FCCA766">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六</w:t>
      </w:r>
      <w:r>
        <w:rPr>
          <w:rFonts w:hint="eastAsia" w:cs="仿宋" w:asciiTheme="minorEastAsia" w:hAnsiTheme="minorEastAsia"/>
          <w:b/>
          <w:kern w:val="0"/>
          <w:sz w:val="32"/>
          <w:szCs w:val="32"/>
          <w:lang w:val="zh-CN"/>
        </w:rPr>
        <w:t>、供应商股东信息及出资比例信息表</w:t>
      </w:r>
    </w:p>
    <w:p w14:paraId="0B68CFAD">
      <w:pPr>
        <w:pStyle w:val="14"/>
        <w:rPr>
          <w:lang w:val="zh-CN"/>
        </w:rPr>
      </w:pPr>
    </w:p>
    <w:p w14:paraId="4A89E508">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842E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131D613">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2E7005F5">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12B7359E">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4A383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5C275B1F">
            <w:pPr>
              <w:spacing w:line="360" w:lineRule="auto"/>
              <w:rPr>
                <w:rFonts w:ascii="宋体" w:hAnsi="宋体" w:eastAsia="宋体" w:cs="宋体"/>
                <w:b/>
                <w:kern w:val="0"/>
                <w:sz w:val="24"/>
              </w:rPr>
            </w:pPr>
          </w:p>
        </w:tc>
        <w:tc>
          <w:tcPr>
            <w:tcW w:w="2482" w:type="dxa"/>
          </w:tcPr>
          <w:p w14:paraId="68683DF8">
            <w:pPr>
              <w:spacing w:line="360" w:lineRule="auto"/>
              <w:rPr>
                <w:rFonts w:ascii="宋体" w:hAnsi="宋体" w:eastAsia="宋体" w:cs="宋体"/>
                <w:b/>
                <w:kern w:val="0"/>
                <w:sz w:val="24"/>
              </w:rPr>
            </w:pPr>
          </w:p>
        </w:tc>
        <w:tc>
          <w:tcPr>
            <w:tcW w:w="2881" w:type="dxa"/>
          </w:tcPr>
          <w:p w14:paraId="096D9D90">
            <w:pPr>
              <w:spacing w:line="360" w:lineRule="auto"/>
              <w:rPr>
                <w:rFonts w:ascii="宋体" w:hAnsi="宋体" w:eastAsia="宋体" w:cs="宋体"/>
                <w:b/>
                <w:kern w:val="0"/>
                <w:sz w:val="24"/>
              </w:rPr>
            </w:pPr>
          </w:p>
        </w:tc>
      </w:tr>
      <w:tr w14:paraId="5380D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47F36DA">
            <w:pPr>
              <w:spacing w:line="360" w:lineRule="auto"/>
              <w:rPr>
                <w:rFonts w:ascii="宋体" w:hAnsi="宋体" w:eastAsia="宋体" w:cs="宋体"/>
                <w:b/>
                <w:kern w:val="0"/>
                <w:sz w:val="24"/>
              </w:rPr>
            </w:pPr>
          </w:p>
        </w:tc>
        <w:tc>
          <w:tcPr>
            <w:tcW w:w="2482" w:type="dxa"/>
          </w:tcPr>
          <w:p w14:paraId="289D00D7">
            <w:pPr>
              <w:spacing w:line="360" w:lineRule="auto"/>
              <w:rPr>
                <w:rFonts w:ascii="宋体" w:hAnsi="宋体" w:eastAsia="宋体" w:cs="宋体"/>
                <w:b/>
                <w:kern w:val="0"/>
                <w:sz w:val="24"/>
              </w:rPr>
            </w:pPr>
          </w:p>
        </w:tc>
        <w:tc>
          <w:tcPr>
            <w:tcW w:w="2881" w:type="dxa"/>
          </w:tcPr>
          <w:p w14:paraId="7E26A7C9">
            <w:pPr>
              <w:spacing w:line="360" w:lineRule="auto"/>
              <w:rPr>
                <w:rFonts w:ascii="宋体" w:hAnsi="宋体" w:eastAsia="宋体" w:cs="宋体"/>
                <w:b/>
                <w:kern w:val="0"/>
                <w:sz w:val="24"/>
              </w:rPr>
            </w:pPr>
          </w:p>
        </w:tc>
      </w:tr>
      <w:tr w14:paraId="1DFE5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2C2D05F5">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62F9BA3F">
            <w:pPr>
              <w:spacing w:line="360" w:lineRule="auto"/>
              <w:rPr>
                <w:rFonts w:ascii="宋体" w:hAnsi="宋体" w:eastAsia="宋体" w:cs="宋体"/>
                <w:b/>
                <w:kern w:val="0"/>
                <w:sz w:val="24"/>
              </w:rPr>
            </w:pPr>
          </w:p>
        </w:tc>
        <w:tc>
          <w:tcPr>
            <w:tcW w:w="2881" w:type="dxa"/>
          </w:tcPr>
          <w:p w14:paraId="0F03EDA3">
            <w:pPr>
              <w:spacing w:line="360" w:lineRule="auto"/>
              <w:rPr>
                <w:rFonts w:ascii="宋体" w:hAnsi="宋体" w:eastAsia="宋体" w:cs="宋体"/>
                <w:b/>
                <w:kern w:val="0"/>
                <w:sz w:val="24"/>
              </w:rPr>
            </w:pPr>
          </w:p>
        </w:tc>
      </w:tr>
    </w:tbl>
    <w:p w14:paraId="1C6BE5B5">
      <w:pPr>
        <w:spacing w:line="360" w:lineRule="auto"/>
        <w:rPr>
          <w:rFonts w:ascii="宋体" w:hAnsi="宋体" w:eastAsia="宋体" w:cs="宋体"/>
          <w:kern w:val="0"/>
          <w:sz w:val="24"/>
        </w:rPr>
      </w:pPr>
    </w:p>
    <w:p w14:paraId="5C8BF8F2">
      <w:pPr>
        <w:spacing w:line="360" w:lineRule="auto"/>
        <w:rPr>
          <w:rFonts w:ascii="宋体" w:hAnsi="宋体" w:eastAsia="宋体" w:cs="宋体"/>
          <w:kern w:val="0"/>
          <w:sz w:val="24"/>
        </w:rPr>
      </w:pPr>
    </w:p>
    <w:p w14:paraId="1611F957">
      <w:pPr>
        <w:spacing w:line="360" w:lineRule="auto"/>
        <w:rPr>
          <w:rFonts w:ascii="宋体" w:hAnsi="宋体" w:eastAsia="宋体" w:cs="宋体"/>
          <w:kern w:val="0"/>
          <w:sz w:val="24"/>
        </w:rPr>
      </w:pPr>
      <w:r>
        <w:rPr>
          <w:rFonts w:hint="eastAsia" w:ascii="宋体" w:hAnsi="宋体" w:eastAsia="宋体" w:cs="宋体"/>
          <w:kern w:val="0"/>
          <w:sz w:val="24"/>
        </w:rPr>
        <w:t>供应商（公章）：</w:t>
      </w:r>
    </w:p>
    <w:p w14:paraId="1DA7EF95">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p>
    <w:p w14:paraId="59883331">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lang w:val="zh-CN"/>
        </w:rPr>
        <w:t>年月</w:t>
      </w:r>
      <w:r>
        <w:rPr>
          <w:rFonts w:hint="eastAsia" w:ascii="宋体" w:hAnsi="宋体" w:eastAsia="宋体" w:cs="宋体"/>
          <w:kern w:val="0"/>
          <w:sz w:val="24"/>
          <w:u w:val="single"/>
        </w:rPr>
        <w:tab/>
      </w:r>
      <w:r>
        <w:rPr>
          <w:rFonts w:hint="eastAsia" w:ascii="宋体" w:hAnsi="宋体" w:eastAsia="宋体" w:cs="宋体"/>
          <w:kern w:val="0"/>
          <w:sz w:val="24"/>
          <w:lang w:val="zh-CN"/>
        </w:rPr>
        <w:t>日</w:t>
      </w:r>
    </w:p>
    <w:p w14:paraId="61EF7798">
      <w:pPr>
        <w:spacing w:line="360" w:lineRule="auto"/>
        <w:rPr>
          <w:rFonts w:ascii="宋体" w:hAnsi="宋体" w:eastAsia="宋体" w:cs="宋体"/>
          <w:b/>
          <w:bCs/>
          <w:sz w:val="24"/>
        </w:rPr>
      </w:pPr>
    </w:p>
    <w:p w14:paraId="34131CFF">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31984165">
      <w:pPr>
        <w:pStyle w:val="14"/>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19E31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6E10333">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2526E76D">
            <w:pPr>
              <w:spacing w:line="360" w:lineRule="auto"/>
              <w:jc w:val="center"/>
              <w:rPr>
                <w:rFonts w:ascii="宋体" w:hAnsi="宋体" w:eastAsia="宋体" w:cs="宋体"/>
                <w:sz w:val="24"/>
              </w:rPr>
            </w:pPr>
            <w:r>
              <w:rPr>
                <w:rFonts w:hint="eastAsia" w:ascii="宋体" w:hAnsi="宋体" w:eastAsia="宋体" w:cs="宋体"/>
                <w:sz w:val="24"/>
              </w:rPr>
              <w:t>存在管理关系的单位全称</w:t>
            </w:r>
          </w:p>
        </w:tc>
      </w:tr>
      <w:tr w14:paraId="39F59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61E672B">
            <w:pPr>
              <w:spacing w:line="360" w:lineRule="auto"/>
              <w:rPr>
                <w:rFonts w:ascii="宋体" w:hAnsi="宋体" w:eastAsia="宋体" w:cs="宋体"/>
                <w:b/>
                <w:kern w:val="0"/>
                <w:sz w:val="24"/>
              </w:rPr>
            </w:pPr>
          </w:p>
        </w:tc>
        <w:tc>
          <w:tcPr>
            <w:tcW w:w="5387" w:type="dxa"/>
            <w:vAlign w:val="center"/>
          </w:tcPr>
          <w:p w14:paraId="75CFD677">
            <w:pPr>
              <w:spacing w:line="360" w:lineRule="auto"/>
              <w:rPr>
                <w:rFonts w:ascii="宋体" w:hAnsi="宋体" w:eastAsia="宋体" w:cs="宋体"/>
                <w:b/>
                <w:kern w:val="0"/>
                <w:sz w:val="24"/>
              </w:rPr>
            </w:pPr>
          </w:p>
        </w:tc>
      </w:tr>
      <w:tr w14:paraId="5E5AA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4AE7527">
            <w:pPr>
              <w:spacing w:line="360" w:lineRule="auto"/>
              <w:rPr>
                <w:rFonts w:ascii="宋体" w:hAnsi="宋体" w:eastAsia="宋体" w:cs="宋体"/>
                <w:b/>
                <w:kern w:val="0"/>
                <w:sz w:val="24"/>
              </w:rPr>
            </w:pPr>
          </w:p>
        </w:tc>
        <w:tc>
          <w:tcPr>
            <w:tcW w:w="5387" w:type="dxa"/>
            <w:vAlign w:val="center"/>
          </w:tcPr>
          <w:p w14:paraId="1EAAF047">
            <w:pPr>
              <w:spacing w:line="360" w:lineRule="auto"/>
              <w:rPr>
                <w:rFonts w:ascii="宋体" w:hAnsi="宋体" w:eastAsia="宋体" w:cs="宋体"/>
                <w:b/>
                <w:kern w:val="0"/>
                <w:sz w:val="24"/>
              </w:rPr>
            </w:pPr>
          </w:p>
        </w:tc>
      </w:tr>
      <w:tr w14:paraId="7FA6C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44B2572">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60D7F065">
            <w:pPr>
              <w:spacing w:line="360" w:lineRule="auto"/>
              <w:rPr>
                <w:rFonts w:ascii="宋体" w:hAnsi="宋体" w:eastAsia="宋体" w:cs="宋体"/>
                <w:b/>
                <w:kern w:val="0"/>
                <w:sz w:val="24"/>
              </w:rPr>
            </w:pPr>
          </w:p>
        </w:tc>
      </w:tr>
    </w:tbl>
    <w:p w14:paraId="2C81F3D8">
      <w:pPr>
        <w:spacing w:line="360" w:lineRule="auto"/>
        <w:rPr>
          <w:rFonts w:ascii="宋体" w:hAnsi="宋体" w:eastAsia="宋体" w:cs="宋体"/>
          <w:kern w:val="0"/>
          <w:sz w:val="24"/>
        </w:rPr>
      </w:pPr>
    </w:p>
    <w:p w14:paraId="6DBC07DE">
      <w:pPr>
        <w:spacing w:line="360" w:lineRule="auto"/>
        <w:rPr>
          <w:rFonts w:ascii="宋体" w:hAnsi="宋体" w:eastAsia="宋体" w:cs="宋体"/>
          <w:kern w:val="0"/>
          <w:sz w:val="24"/>
        </w:rPr>
      </w:pPr>
    </w:p>
    <w:p w14:paraId="42A979B2">
      <w:pPr>
        <w:spacing w:line="360" w:lineRule="auto"/>
        <w:rPr>
          <w:rFonts w:ascii="宋体" w:hAnsi="宋体" w:eastAsia="宋体" w:cs="宋体"/>
          <w:kern w:val="0"/>
          <w:sz w:val="24"/>
        </w:rPr>
      </w:pPr>
      <w:r>
        <w:rPr>
          <w:rFonts w:hint="eastAsia" w:ascii="宋体" w:hAnsi="宋体" w:eastAsia="宋体" w:cs="宋体"/>
          <w:kern w:val="0"/>
          <w:sz w:val="24"/>
        </w:rPr>
        <w:t>供应商（公章）：</w:t>
      </w:r>
    </w:p>
    <w:p w14:paraId="202C5847">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p>
    <w:p w14:paraId="54E072B9">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lang w:val="zh-CN"/>
        </w:rPr>
        <w:t>年月</w:t>
      </w:r>
      <w:r>
        <w:rPr>
          <w:rFonts w:hint="eastAsia" w:ascii="宋体" w:hAnsi="宋体" w:eastAsia="宋体" w:cs="宋体"/>
          <w:kern w:val="0"/>
          <w:sz w:val="24"/>
          <w:u w:val="single"/>
        </w:rPr>
        <w:tab/>
      </w:r>
      <w:r>
        <w:rPr>
          <w:rFonts w:hint="eastAsia" w:ascii="宋体" w:hAnsi="宋体" w:eastAsia="宋体" w:cs="宋体"/>
          <w:kern w:val="0"/>
          <w:sz w:val="24"/>
          <w:lang w:val="zh-CN"/>
        </w:rPr>
        <w:t>日</w:t>
      </w:r>
    </w:p>
    <w:p w14:paraId="7E71F1CD">
      <w:pPr>
        <w:spacing w:line="360" w:lineRule="auto"/>
        <w:rPr>
          <w:rFonts w:ascii="宋体" w:hAnsi="宋体" w:eastAsia="宋体" w:cs="宋体"/>
          <w:b/>
          <w:kern w:val="0"/>
          <w:sz w:val="24"/>
        </w:rPr>
      </w:pPr>
    </w:p>
    <w:p w14:paraId="3E46D3DA">
      <w:pPr>
        <w:spacing w:line="360" w:lineRule="auto"/>
        <w:rPr>
          <w:rFonts w:ascii="宋体" w:hAnsi="宋体" w:eastAsia="宋体" w:cs="宋体"/>
          <w:b/>
          <w:kern w:val="0"/>
          <w:sz w:val="24"/>
        </w:rPr>
      </w:pPr>
    </w:p>
    <w:p w14:paraId="3A3293A4">
      <w:pPr>
        <w:spacing w:line="360" w:lineRule="auto"/>
        <w:rPr>
          <w:rFonts w:ascii="宋体" w:hAnsi="宋体" w:eastAsia="宋体" w:cs="宋体"/>
          <w:b/>
          <w:kern w:val="0"/>
          <w:sz w:val="24"/>
        </w:rPr>
      </w:pPr>
      <w:r>
        <w:rPr>
          <w:rFonts w:hint="eastAsia" w:ascii="宋体" w:hAnsi="宋体" w:eastAsia="宋体" w:cs="宋体"/>
          <w:b/>
          <w:kern w:val="0"/>
          <w:sz w:val="24"/>
        </w:rPr>
        <w:t>注：</w:t>
      </w:r>
    </w:p>
    <w:p w14:paraId="5D3B8CB8">
      <w:pPr>
        <w:spacing w:line="360" w:lineRule="auto"/>
        <w:rPr>
          <w:rFonts w:ascii="宋体" w:hAnsi="宋体" w:eastAsia="宋体" w:cs="宋体"/>
          <w:b/>
          <w:kern w:val="0"/>
          <w:sz w:val="24"/>
        </w:rPr>
      </w:pPr>
      <w:r>
        <w:rPr>
          <w:rFonts w:hint="eastAsia" w:ascii="宋体" w:hAnsi="宋体" w:eastAsia="宋体" w:cs="宋体"/>
          <w:b/>
          <w:kern w:val="0"/>
          <w:sz w:val="24"/>
          <w:lang w:eastAsia="zh-CN"/>
        </w:rPr>
        <w:t>1.</w:t>
      </w:r>
      <w:r>
        <w:rPr>
          <w:rFonts w:hint="eastAsia" w:ascii="宋体" w:hAnsi="宋体" w:eastAsia="宋体" w:cs="宋体"/>
          <w:b/>
          <w:kern w:val="0"/>
          <w:sz w:val="24"/>
        </w:rPr>
        <w:t>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30CE82AE">
      <w:pPr>
        <w:spacing w:line="360" w:lineRule="auto"/>
        <w:rPr>
          <w:rFonts w:ascii="宋体" w:hAnsi="宋体" w:eastAsia="宋体" w:cs="宋体"/>
          <w:b/>
          <w:kern w:val="0"/>
          <w:sz w:val="24"/>
        </w:rPr>
      </w:pPr>
      <w:r>
        <w:rPr>
          <w:rFonts w:hint="eastAsia" w:ascii="宋体" w:hAnsi="宋体" w:eastAsia="宋体" w:cs="宋体"/>
          <w:b/>
          <w:kern w:val="0"/>
          <w:sz w:val="24"/>
          <w:lang w:eastAsia="zh-CN"/>
        </w:rPr>
        <w:t>2.</w:t>
      </w:r>
      <w:r>
        <w:rPr>
          <w:rFonts w:hint="eastAsia" w:ascii="宋体" w:hAnsi="宋体" w:eastAsia="宋体" w:cs="宋体"/>
          <w:b/>
          <w:kern w:val="0"/>
          <w:sz w:val="24"/>
        </w:rPr>
        <w:t>若供应商未按实际情况填写或填写虚假信息或漏填错填，经询价评审小组讨论后，应作无效响应文件处理。</w:t>
      </w:r>
    </w:p>
    <w:p w14:paraId="559FF5FB">
      <w:pPr>
        <w:jc w:val="center"/>
        <w:rPr>
          <w:rFonts w:cs="仿宋" w:asciiTheme="minorEastAsia" w:hAnsiTheme="minorEastAsia"/>
          <w:b/>
          <w:kern w:val="0"/>
          <w:sz w:val="32"/>
          <w:szCs w:val="32"/>
        </w:rPr>
        <w:sectPr>
          <w:footerReference r:id="rId18" w:type="first"/>
          <w:footerReference r:id="rId17" w:type="default"/>
          <w:pgSz w:w="11906" w:h="16838"/>
          <w:pgMar w:top="1276" w:right="1418" w:bottom="1247" w:left="1418" w:header="851" w:footer="992" w:gutter="0"/>
          <w:cols w:space="720" w:num="1"/>
          <w:titlePg/>
          <w:docGrid w:linePitch="312" w:charSpace="0"/>
        </w:sectPr>
      </w:pPr>
    </w:p>
    <w:p w14:paraId="6F8E5D9F">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供应商服务质量保证承诺函</w:t>
      </w:r>
    </w:p>
    <w:p w14:paraId="24E244E1">
      <w:pPr>
        <w:snapToGrid w:val="0"/>
        <w:spacing w:line="360" w:lineRule="auto"/>
        <w:rPr>
          <w:rFonts w:ascii="宋体" w:hAnsi="宋体" w:eastAsia="宋体" w:cs="宋体"/>
          <w:sz w:val="24"/>
        </w:rPr>
      </w:pPr>
    </w:p>
    <w:p w14:paraId="28FCC771">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3448BBCF">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2025年三固运行中心循环水系统在线化学清洗服务采购项目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202509032</w:t>
      </w:r>
      <w:r>
        <w:rPr>
          <w:rFonts w:hint="eastAsia" w:cs="仿宋" w:asciiTheme="minorEastAsia" w:hAnsiTheme="minorEastAsia"/>
          <w:sz w:val="24"/>
          <w:u w:val="single"/>
        </w:rPr>
        <w:t>】的</w:t>
      </w:r>
      <w:r>
        <w:rPr>
          <w:rFonts w:hint="eastAsia" w:ascii="宋体" w:hAnsi="宋体" w:eastAsia="宋体" w:cs="宋体"/>
          <w:sz w:val="24"/>
        </w:rPr>
        <w:t>采购活动，并作如下承诺：</w:t>
      </w:r>
    </w:p>
    <w:p w14:paraId="60ECABBC">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1.我公司所供产品均为生产合格产品或正规销售渠道进货。如采购人需要，可以提供生产厂家到我公司的完整供应链销售凭证。</w:t>
      </w:r>
    </w:p>
    <w:p w14:paraId="66757E49">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38822B9">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6B396F81">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4.我公司保证提供满足采购人要求的服务，若提供的服务和采购人要求的不一致，我公司保证于3日内提供予以及时调整。若采购人不同意，则我公司愿意承担相关违约责任。</w:t>
      </w:r>
    </w:p>
    <w:p w14:paraId="2B5C705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5.我公司对提供的服务进行质量保证，若因我公司服务质量问题，造成贵公司损失的，我公司承担相应责任。</w:t>
      </w:r>
    </w:p>
    <w:p w14:paraId="6F7C0500">
      <w:pPr>
        <w:snapToGrid w:val="0"/>
        <w:spacing w:line="360" w:lineRule="auto"/>
        <w:rPr>
          <w:rFonts w:ascii="宋体" w:hAnsi="宋体" w:eastAsia="宋体" w:cs="宋体"/>
          <w:sz w:val="24"/>
        </w:rPr>
      </w:pPr>
    </w:p>
    <w:p w14:paraId="1DB63A61">
      <w:pPr>
        <w:snapToGrid w:val="0"/>
        <w:spacing w:line="360" w:lineRule="auto"/>
        <w:rPr>
          <w:rFonts w:ascii="宋体" w:hAnsi="宋体" w:eastAsia="宋体" w:cs="宋体"/>
          <w:sz w:val="24"/>
        </w:rPr>
      </w:pPr>
    </w:p>
    <w:p w14:paraId="08C53089">
      <w:pPr>
        <w:snapToGrid w:val="0"/>
        <w:spacing w:line="360" w:lineRule="auto"/>
        <w:rPr>
          <w:rFonts w:ascii="宋体" w:hAnsi="宋体" w:eastAsia="宋体" w:cs="宋体"/>
          <w:sz w:val="24"/>
        </w:rPr>
      </w:pPr>
    </w:p>
    <w:p w14:paraId="6D92F9FA">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4DC14FC3">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2023年月日</w:t>
      </w:r>
    </w:p>
    <w:p w14:paraId="4840DF99">
      <w:pPr>
        <w:spacing w:line="360" w:lineRule="auto"/>
        <w:jc w:val="center"/>
        <w:outlineLvl w:val="0"/>
        <w:rPr>
          <w:rFonts w:cs="仿宋" w:asciiTheme="minorEastAsia" w:hAnsiTheme="minorEastAsia"/>
          <w:b/>
          <w:kern w:val="0"/>
          <w:sz w:val="36"/>
          <w:szCs w:val="36"/>
        </w:rPr>
      </w:pPr>
    </w:p>
    <w:p w14:paraId="6C88E203">
      <w:pPr>
        <w:spacing w:line="360" w:lineRule="auto"/>
        <w:jc w:val="center"/>
        <w:outlineLvl w:val="0"/>
        <w:rPr>
          <w:rFonts w:cs="仿宋" w:asciiTheme="minorEastAsia" w:hAnsiTheme="minorEastAsia"/>
          <w:b/>
          <w:kern w:val="0"/>
          <w:sz w:val="36"/>
          <w:szCs w:val="36"/>
        </w:rPr>
      </w:pPr>
    </w:p>
    <w:p w14:paraId="4CD580ED">
      <w:pPr>
        <w:spacing w:line="360" w:lineRule="auto"/>
        <w:jc w:val="center"/>
        <w:outlineLvl w:val="0"/>
        <w:rPr>
          <w:rFonts w:cs="仿宋" w:asciiTheme="minorEastAsia" w:hAnsiTheme="minorEastAsia"/>
          <w:b/>
          <w:kern w:val="0"/>
          <w:sz w:val="36"/>
          <w:szCs w:val="36"/>
        </w:rPr>
      </w:pPr>
    </w:p>
    <w:p w14:paraId="1A5EBA7F">
      <w:pPr>
        <w:spacing w:line="360" w:lineRule="auto"/>
        <w:jc w:val="center"/>
        <w:outlineLvl w:val="0"/>
        <w:rPr>
          <w:rFonts w:cs="仿宋" w:asciiTheme="minorEastAsia" w:hAnsiTheme="minorEastAsia"/>
          <w:b/>
          <w:kern w:val="0"/>
          <w:sz w:val="36"/>
          <w:szCs w:val="36"/>
        </w:rPr>
      </w:pPr>
    </w:p>
    <w:p w14:paraId="537F0887">
      <w:pPr>
        <w:spacing w:line="360" w:lineRule="auto"/>
        <w:jc w:val="center"/>
        <w:outlineLvl w:val="0"/>
        <w:rPr>
          <w:rFonts w:cs="仿宋" w:asciiTheme="minorEastAsia" w:hAnsiTheme="minorEastAsia"/>
          <w:b/>
          <w:kern w:val="0"/>
          <w:sz w:val="36"/>
          <w:szCs w:val="36"/>
        </w:rPr>
      </w:pPr>
    </w:p>
    <w:p w14:paraId="53D40BA9">
      <w:pPr>
        <w:spacing w:line="360" w:lineRule="auto"/>
        <w:jc w:val="center"/>
        <w:outlineLvl w:val="0"/>
        <w:rPr>
          <w:rFonts w:cs="仿宋" w:asciiTheme="minorEastAsia" w:hAnsiTheme="minorEastAsia"/>
          <w:b/>
          <w:kern w:val="0"/>
          <w:sz w:val="36"/>
          <w:szCs w:val="36"/>
        </w:rPr>
      </w:pPr>
    </w:p>
    <w:p w14:paraId="00B1DC6F">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7A6B8F36">
      <w:pPr>
        <w:pStyle w:val="4"/>
        <w:jc w:val="center"/>
        <w:rPr>
          <w:sz w:val="32"/>
          <w:szCs w:val="32"/>
        </w:rPr>
      </w:pPr>
      <w:r>
        <w:rPr>
          <w:rFonts w:hint="eastAsia"/>
          <w:sz w:val="32"/>
          <w:szCs w:val="32"/>
        </w:rPr>
        <w:t>一 、 报价函</w:t>
      </w:r>
    </w:p>
    <w:p w14:paraId="1ABDD9EE">
      <w:pPr>
        <w:pStyle w:val="6"/>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021C3858">
      <w:pPr>
        <w:pStyle w:val="30"/>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lang w:eastAsia="zh-CN"/>
        </w:rPr>
        <w:t>2025年三固运行中心循环水系统在线化学清洗服务采购项目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202509032</w:t>
      </w:r>
      <w:r>
        <w:rPr>
          <w:rFonts w:hint="eastAsia" w:cs="仿宋" w:asciiTheme="minorEastAsia" w:hAnsiTheme="minorEastAsia"/>
          <w:sz w:val="24"/>
          <w:u w:val="single"/>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w:t>
      </w:r>
      <w:r>
        <w:rPr>
          <w:rFonts w:hint="eastAsia" w:ascii="宋体" w:hAnsi="宋体" w:eastAsia="宋体" w:cs="宋体"/>
          <w:sz w:val="24"/>
          <w:lang w:val="en-US" w:eastAsia="zh-CN"/>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lang w:val="en-US" w:eastAsia="zh-CN"/>
        </w:rPr>
        <w:t>税率</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4563F71F">
      <w:pPr>
        <w:pStyle w:val="30"/>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14:paraId="78F6095C">
      <w:pPr>
        <w:pStyle w:val="30"/>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0D41DE8A">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4.如我方在响应过程中，发生询价文件规定的采购人可以没收询价保证金的情形的，我方同意采购人没收我方缴纳的全部询价保证金。</w:t>
      </w:r>
    </w:p>
    <w:p w14:paraId="23913F23">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pacing w:val="-3"/>
          <w:sz w:val="24"/>
        </w:rPr>
        <w:t>（其他补充说明</w:t>
      </w:r>
      <w:r>
        <w:rPr>
          <w:rFonts w:hint="eastAsia" w:ascii="宋体" w:hAnsi="宋体" w:eastAsia="宋体" w:cs="宋体"/>
          <w:sz w:val="24"/>
        </w:rPr>
        <w:t>）。</w:t>
      </w:r>
    </w:p>
    <w:p w14:paraId="7238A91F">
      <w:pPr>
        <w:pStyle w:val="6"/>
        <w:ind w:firstLine="480" w:firstLineChars="200"/>
        <w:jc w:val="left"/>
        <w:rPr>
          <w:rFonts w:hAnsi="宋体" w:cs="宋体"/>
        </w:rPr>
      </w:pPr>
    </w:p>
    <w:p w14:paraId="5FB43669">
      <w:pPr>
        <w:pStyle w:val="6"/>
        <w:ind w:firstLine="480" w:firstLineChars="200"/>
        <w:jc w:val="left"/>
        <w:rPr>
          <w:rFonts w:hAnsi="宋体" w:cs="宋体"/>
        </w:rPr>
      </w:pPr>
    </w:p>
    <w:p w14:paraId="4F836838">
      <w:pPr>
        <w:pStyle w:val="6"/>
        <w:jc w:val="left"/>
        <w:rPr>
          <w:rFonts w:hAnsi="宋体" w:cs="宋体"/>
        </w:rPr>
      </w:pPr>
      <w:r>
        <w:rPr>
          <w:rFonts w:hint="eastAsia" w:hAnsi="宋体" w:cs="宋体"/>
        </w:rPr>
        <w:t>供应商名称：（盖单位公章）</w:t>
      </w:r>
    </w:p>
    <w:p w14:paraId="6BF88EE5">
      <w:pPr>
        <w:pStyle w:val="6"/>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1883B91B">
      <w:pPr>
        <w:pStyle w:val="6"/>
        <w:tabs>
          <w:tab w:val="left" w:pos="4101"/>
        </w:tabs>
        <w:jc w:val="left"/>
        <w:rPr>
          <w:rFonts w:hAnsi="宋体" w:cs="宋体"/>
        </w:rPr>
      </w:pPr>
      <w:r>
        <w:rPr>
          <w:rFonts w:hint="eastAsia" w:hAnsi="宋体" w:cs="宋体"/>
        </w:rPr>
        <w:t>地址：</w:t>
      </w:r>
    </w:p>
    <w:p w14:paraId="264D248C">
      <w:pPr>
        <w:pStyle w:val="6"/>
        <w:tabs>
          <w:tab w:val="left" w:pos="4101"/>
        </w:tabs>
        <w:jc w:val="left"/>
        <w:rPr>
          <w:rFonts w:hAnsi="宋体" w:cs="宋体"/>
        </w:rPr>
      </w:pPr>
      <w:r>
        <w:rPr>
          <w:rFonts w:hint="eastAsia" w:hAnsi="宋体" w:cs="宋体"/>
        </w:rPr>
        <w:t>电话</w:t>
      </w:r>
      <w:r>
        <w:rPr>
          <w:rFonts w:hint="eastAsia" w:hAnsi="宋体" w:cs="宋体"/>
          <w:spacing w:val="-17"/>
        </w:rPr>
        <w:t>：</w:t>
      </w:r>
    </w:p>
    <w:p w14:paraId="35C13316">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14:paraId="4CDBC13C">
      <w:pPr>
        <w:pStyle w:val="31"/>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28CE10BB">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41F93C26">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hint="eastAsia" w:cs="仿宋" w:asciiTheme="minorEastAsia" w:hAnsiTheme="minorEastAsia"/>
          <w:sz w:val="24"/>
          <w:u w:val="single"/>
          <w:lang w:eastAsia="zh-CN"/>
        </w:rPr>
        <w:t>2025年三固运行中心循环水系统在线化学清洗服务采购项目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202509032</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31A6AF53">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7"/>
        <w:tblW w:w="14298" w:type="dxa"/>
        <w:tblInd w:w="93" w:type="dxa"/>
        <w:tblLayout w:type="fixed"/>
        <w:tblCellMar>
          <w:top w:w="0" w:type="dxa"/>
          <w:left w:w="108" w:type="dxa"/>
          <w:bottom w:w="0" w:type="dxa"/>
          <w:right w:w="108" w:type="dxa"/>
        </w:tblCellMar>
      </w:tblPr>
      <w:tblGrid>
        <w:gridCol w:w="1234"/>
        <w:gridCol w:w="2541"/>
        <w:gridCol w:w="6029"/>
        <w:gridCol w:w="2565"/>
        <w:gridCol w:w="1929"/>
      </w:tblGrid>
      <w:tr w14:paraId="6F335652">
        <w:tblPrEx>
          <w:tblCellMar>
            <w:top w:w="0" w:type="dxa"/>
            <w:left w:w="108" w:type="dxa"/>
            <w:bottom w:w="0" w:type="dxa"/>
            <w:right w:w="108" w:type="dxa"/>
          </w:tblCellMar>
        </w:tblPrEx>
        <w:trPr>
          <w:trHeight w:val="257" w:hRule="atLeast"/>
        </w:trPr>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1DBF5">
            <w:pPr>
              <w:spacing w:line="360" w:lineRule="auto"/>
              <w:jc w:val="center"/>
              <w:rPr>
                <w:rFonts w:hint="eastAsia" w:cs="仿宋" w:asciiTheme="minorEastAsia" w:hAnsiTheme="minorEastAsia"/>
                <w:b/>
                <w:sz w:val="24"/>
              </w:rPr>
            </w:pPr>
            <w:r>
              <w:rPr>
                <w:rFonts w:hint="eastAsia" w:cs="仿宋" w:asciiTheme="minorEastAsia" w:hAnsiTheme="minorEastAsia"/>
                <w:b/>
                <w:sz w:val="24"/>
              </w:rPr>
              <w:t>序号</w:t>
            </w: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2F693">
            <w:pPr>
              <w:spacing w:line="360" w:lineRule="auto"/>
              <w:jc w:val="center"/>
              <w:rPr>
                <w:rFonts w:hint="eastAsia" w:cs="仿宋" w:asciiTheme="minorEastAsia" w:hAnsiTheme="minorEastAsia"/>
                <w:b/>
                <w:sz w:val="24"/>
              </w:rPr>
            </w:pPr>
            <w:r>
              <w:rPr>
                <w:rFonts w:hint="eastAsia" w:cs="仿宋" w:asciiTheme="minorEastAsia" w:hAnsiTheme="minorEastAsia"/>
                <w:b/>
                <w:sz w:val="24"/>
              </w:rPr>
              <w:t>名称</w:t>
            </w:r>
          </w:p>
        </w:tc>
        <w:tc>
          <w:tcPr>
            <w:tcW w:w="6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C7BA8">
            <w:pPr>
              <w:spacing w:line="360" w:lineRule="auto"/>
              <w:jc w:val="center"/>
              <w:rPr>
                <w:rFonts w:hint="eastAsia" w:cs="仿宋" w:asciiTheme="minorEastAsia" w:hAnsiTheme="minorEastAsia"/>
                <w:b/>
                <w:sz w:val="24"/>
              </w:rPr>
            </w:pPr>
            <w:r>
              <w:rPr>
                <w:rFonts w:hint="eastAsia" w:cs="仿宋" w:asciiTheme="minorEastAsia" w:hAnsiTheme="minorEastAsia"/>
                <w:b/>
                <w:sz w:val="24"/>
              </w:rPr>
              <w:t>要求</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81E3C">
            <w:pPr>
              <w:spacing w:line="360" w:lineRule="auto"/>
              <w:jc w:val="center"/>
              <w:rPr>
                <w:rFonts w:hint="eastAsia" w:cs="仿宋" w:asciiTheme="minorEastAsia" w:hAnsiTheme="minorEastAsia" w:eastAsiaTheme="minorEastAsia"/>
                <w:b/>
                <w:sz w:val="24"/>
                <w:lang w:eastAsia="zh-CN"/>
              </w:rPr>
            </w:pPr>
            <w:r>
              <w:rPr>
                <w:rFonts w:hint="eastAsia" w:cs="仿宋" w:asciiTheme="minorEastAsia" w:hAnsiTheme="minorEastAsia"/>
                <w:b/>
                <w:sz w:val="24"/>
                <w:lang w:val="en-US" w:eastAsia="zh-CN"/>
              </w:rPr>
              <w:t>金额</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32C03">
            <w:pPr>
              <w:spacing w:line="360" w:lineRule="auto"/>
              <w:jc w:val="center"/>
              <w:rPr>
                <w:rFonts w:hint="eastAsia" w:cs="仿宋" w:asciiTheme="minorEastAsia" w:hAnsiTheme="minorEastAsia" w:eastAsiaTheme="minorEastAsia"/>
                <w:b/>
                <w:sz w:val="24"/>
                <w:lang w:eastAsia="zh-CN"/>
              </w:rPr>
            </w:pPr>
            <w:r>
              <w:rPr>
                <w:rFonts w:hint="eastAsia" w:cs="仿宋" w:asciiTheme="minorEastAsia" w:hAnsiTheme="minorEastAsia"/>
                <w:b/>
                <w:sz w:val="24"/>
                <w:lang w:val="en-US" w:eastAsia="zh-CN"/>
              </w:rPr>
              <w:t>备注</w:t>
            </w:r>
          </w:p>
        </w:tc>
      </w:tr>
      <w:tr w14:paraId="4B03F839">
        <w:tblPrEx>
          <w:tblCellMar>
            <w:top w:w="0" w:type="dxa"/>
            <w:left w:w="108" w:type="dxa"/>
            <w:bottom w:w="0" w:type="dxa"/>
            <w:right w:w="108" w:type="dxa"/>
          </w:tblCellMar>
        </w:tblPrEx>
        <w:trPr>
          <w:trHeight w:val="326" w:hRule="atLeast"/>
        </w:trPr>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F372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2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2BB42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rPr>
              <w:t>化学清洗服务</w:t>
            </w:r>
          </w:p>
        </w:tc>
        <w:tc>
          <w:tcPr>
            <w:tcW w:w="60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9375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详见采购需求</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6494D7">
            <w:pPr>
              <w:widowControl/>
              <w:jc w:val="center"/>
              <w:textAlignment w:val="center"/>
              <w:rPr>
                <w:rFonts w:ascii="宋体" w:hAnsi="宋体" w:eastAsia="宋体" w:cs="宋体"/>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6AF7CF">
            <w:pPr>
              <w:widowControl/>
              <w:jc w:val="center"/>
              <w:textAlignment w:val="center"/>
              <w:rPr>
                <w:rFonts w:ascii="宋体" w:hAnsi="宋体" w:eastAsia="宋体" w:cs="宋体"/>
                <w:color w:val="000000"/>
                <w:kern w:val="0"/>
                <w:sz w:val="18"/>
                <w:szCs w:val="18"/>
              </w:rPr>
            </w:pPr>
          </w:p>
        </w:tc>
      </w:tr>
      <w:tr w14:paraId="2034679D">
        <w:tblPrEx>
          <w:tblCellMar>
            <w:top w:w="0" w:type="dxa"/>
            <w:left w:w="108" w:type="dxa"/>
            <w:bottom w:w="0" w:type="dxa"/>
            <w:right w:w="108" w:type="dxa"/>
          </w:tblCellMar>
        </w:tblPrEx>
        <w:trPr>
          <w:trHeight w:val="233" w:hRule="atLeast"/>
        </w:trPr>
        <w:tc>
          <w:tcPr>
            <w:tcW w:w="3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8A7304">
            <w:pPr>
              <w:spacing w:line="360" w:lineRule="auto"/>
              <w:jc w:val="center"/>
              <w:rPr>
                <w:rFonts w:ascii="宋体" w:hAnsi="宋体" w:eastAsia="宋体" w:cs="宋体"/>
                <w:color w:val="000000"/>
                <w:kern w:val="0"/>
                <w:sz w:val="18"/>
                <w:szCs w:val="18"/>
              </w:rPr>
            </w:pPr>
            <w:r>
              <w:rPr>
                <w:rFonts w:hint="eastAsia" w:cs="仿宋" w:asciiTheme="minorEastAsia" w:hAnsiTheme="minorEastAsia"/>
                <w:b/>
                <w:sz w:val="24"/>
              </w:rPr>
              <w:t>响应报价合计（小写）</w:t>
            </w:r>
          </w:p>
        </w:tc>
        <w:tc>
          <w:tcPr>
            <w:tcW w:w="1052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43F46BD">
            <w:pPr>
              <w:spacing w:line="360" w:lineRule="auto"/>
              <w:jc w:val="center"/>
              <w:rPr>
                <w:rFonts w:ascii="宋体" w:hAnsi="宋体" w:eastAsia="宋体" w:cs="宋体"/>
                <w:color w:val="000000"/>
                <w:kern w:val="0"/>
                <w:sz w:val="18"/>
                <w:szCs w:val="18"/>
              </w:rPr>
            </w:pPr>
          </w:p>
        </w:tc>
      </w:tr>
      <w:tr w14:paraId="5C6C38CC">
        <w:tblPrEx>
          <w:tblCellMar>
            <w:top w:w="0" w:type="dxa"/>
            <w:left w:w="108" w:type="dxa"/>
            <w:bottom w:w="0" w:type="dxa"/>
            <w:right w:w="108" w:type="dxa"/>
          </w:tblCellMar>
        </w:tblPrEx>
        <w:trPr>
          <w:trHeight w:val="233" w:hRule="atLeast"/>
        </w:trPr>
        <w:tc>
          <w:tcPr>
            <w:tcW w:w="3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375857">
            <w:pPr>
              <w:spacing w:line="360" w:lineRule="auto"/>
              <w:jc w:val="center"/>
              <w:rPr>
                <w:rFonts w:ascii="宋体" w:hAnsi="宋体" w:eastAsia="宋体" w:cs="宋体"/>
                <w:color w:val="000000"/>
                <w:kern w:val="0"/>
                <w:sz w:val="18"/>
                <w:szCs w:val="18"/>
              </w:rPr>
            </w:pPr>
            <w:r>
              <w:rPr>
                <w:rFonts w:hint="eastAsia" w:cs="仿宋" w:asciiTheme="minorEastAsia" w:hAnsiTheme="minorEastAsia"/>
                <w:b/>
                <w:sz w:val="24"/>
              </w:rPr>
              <w:t>响应报价合计（大写）</w:t>
            </w:r>
          </w:p>
        </w:tc>
        <w:tc>
          <w:tcPr>
            <w:tcW w:w="1052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8591DC7">
            <w:pPr>
              <w:spacing w:line="360" w:lineRule="auto"/>
              <w:jc w:val="center"/>
              <w:rPr>
                <w:rFonts w:ascii="宋体" w:hAnsi="宋体" w:eastAsia="宋体" w:cs="宋体"/>
                <w:color w:val="000000"/>
                <w:kern w:val="0"/>
                <w:sz w:val="18"/>
                <w:szCs w:val="18"/>
              </w:rPr>
            </w:pPr>
          </w:p>
        </w:tc>
      </w:tr>
      <w:tr w14:paraId="3D6324AE">
        <w:tblPrEx>
          <w:tblCellMar>
            <w:top w:w="0" w:type="dxa"/>
            <w:left w:w="108" w:type="dxa"/>
            <w:bottom w:w="0" w:type="dxa"/>
            <w:right w:w="108" w:type="dxa"/>
          </w:tblCellMar>
        </w:tblPrEx>
        <w:trPr>
          <w:trHeight w:val="238" w:hRule="atLeast"/>
        </w:trPr>
        <w:tc>
          <w:tcPr>
            <w:tcW w:w="3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1EC95A">
            <w:pPr>
              <w:spacing w:line="360" w:lineRule="auto"/>
              <w:jc w:val="center"/>
              <w:rPr>
                <w:rFonts w:hint="eastAsia" w:cs="仿宋" w:asciiTheme="minorEastAsia" w:hAnsiTheme="minorEastAsia" w:eastAsiaTheme="minorEastAsia"/>
                <w:b/>
                <w:sz w:val="24"/>
                <w:lang w:val="en-US" w:eastAsia="zh-CN"/>
              </w:rPr>
            </w:pPr>
            <w:r>
              <w:rPr>
                <w:rFonts w:hint="eastAsia" w:cs="仿宋" w:asciiTheme="minorEastAsia" w:hAnsiTheme="minorEastAsia"/>
                <w:b/>
                <w:sz w:val="24"/>
                <w:lang w:val="en-US" w:eastAsia="zh-CN"/>
              </w:rPr>
              <w:t>税率</w:t>
            </w:r>
          </w:p>
        </w:tc>
        <w:tc>
          <w:tcPr>
            <w:tcW w:w="1052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DF92E7E">
            <w:pPr>
              <w:spacing w:line="360" w:lineRule="auto"/>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u w:val="single"/>
                <w:lang w:val="en-US" w:eastAsia="zh-CN"/>
              </w:rPr>
              <w:t xml:space="preserve">    </w:t>
            </w:r>
            <w:r>
              <w:rPr>
                <w:rFonts w:hint="eastAsia" w:ascii="宋体" w:hAnsi="宋体" w:eastAsia="宋体" w:cs="宋体"/>
                <w:color w:val="000000"/>
                <w:kern w:val="0"/>
                <w:sz w:val="18"/>
                <w:szCs w:val="18"/>
                <w:lang w:val="en-US" w:eastAsia="zh-CN"/>
              </w:rPr>
              <w:t>%</w:t>
            </w:r>
          </w:p>
        </w:tc>
      </w:tr>
    </w:tbl>
    <w:p w14:paraId="3B88089B">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1DECD033">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564F5607">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5232ED33">
      <w:pPr>
        <w:snapToGrid w:val="0"/>
        <w:spacing w:line="360" w:lineRule="auto"/>
        <w:ind w:firstLine="480" w:firstLineChars="200"/>
        <w:jc w:val="left"/>
      </w:pPr>
      <w:r>
        <w:rPr>
          <w:rFonts w:hint="eastAsia" w:ascii="宋体" w:hAnsi="宋体" w:cs="宋体"/>
          <w:kern w:val="0"/>
          <w:sz w:val="24"/>
          <w:lang w:val="zh-CN"/>
        </w:rPr>
        <w:t>3.特别提示：采购人将对项目名称和项目编号，成交供应商名称、成交金额予以公示。</w:t>
      </w:r>
    </w:p>
    <w:p w14:paraId="0F71572F">
      <w:pPr>
        <w:sectPr>
          <w:pgSz w:w="16838" w:h="11906" w:orient="landscape"/>
          <w:pgMar w:top="1803" w:right="1440" w:bottom="1803" w:left="1440" w:header="851" w:footer="992" w:gutter="0"/>
          <w:cols w:space="0" w:num="1"/>
          <w:docGrid w:type="lines" w:linePitch="319" w:charSpace="0"/>
        </w:sectPr>
      </w:pPr>
    </w:p>
    <w:p w14:paraId="11803FD7">
      <w:pPr>
        <w:pStyle w:val="10"/>
        <w:spacing w:before="100" w:beforeAutospacing="1" w:after="100" w:afterAutospacing="1" w:line="360" w:lineRule="auto"/>
        <w:rPr>
          <w:rFonts w:hAnsi="宋体" w:cs="宋体"/>
          <w:b/>
          <w:sz w:val="32"/>
          <w:szCs w:val="32"/>
        </w:rPr>
      </w:pPr>
      <w:r>
        <w:rPr>
          <w:rFonts w:hint="eastAsia" w:hAnsi="宋体" w:cs="宋体"/>
          <w:b/>
          <w:sz w:val="32"/>
          <w:szCs w:val="32"/>
        </w:rPr>
        <w:t xml:space="preserve">附件1          </w:t>
      </w:r>
    </w:p>
    <w:p w14:paraId="636797A9">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6262E3D7">
      <w:pPr>
        <w:snapToGrid w:val="0"/>
        <w:spacing w:beforeLines="100" w:line="360" w:lineRule="auto"/>
        <w:rPr>
          <w:rFonts w:ascii="宋体" w:hAnsi="宋体" w:cs="宋体"/>
          <w:bCs/>
          <w:sz w:val="24"/>
        </w:rPr>
      </w:pPr>
      <w:r>
        <w:rPr>
          <w:rFonts w:hint="eastAsia" w:ascii="宋体" w:hAnsi="宋体" w:cs="宋体"/>
          <w:bCs/>
          <w:sz w:val="24"/>
        </w:rPr>
        <w:t>一、质疑供应商基本信息</w:t>
      </w:r>
    </w:p>
    <w:p w14:paraId="6B9BD187">
      <w:pPr>
        <w:snapToGrid w:val="0"/>
        <w:spacing w:line="360" w:lineRule="auto"/>
        <w:rPr>
          <w:rFonts w:ascii="宋体" w:hAnsi="宋体" w:cs="宋体"/>
          <w:sz w:val="24"/>
          <w:u w:val="dotted"/>
        </w:rPr>
      </w:pPr>
      <w:r>
        <w:rPr>
          <w:rFonts w:hint="eastAsia" w:ascii="宋体" w:hAnsi="宋体" w:cs="宋体"/>
          <w:sz w:val="24"/>
        </w:rPr>
        <w:t>质疑供应商：</w:t>
      </w:r>
    </w:p>
    <w:p w14:paraId="6379C021">
      <w:pPr>
        <w:snapToGrid w:val="0"/>
        <w:spacing w:line="360" w:lineRule="auto"/>
        <w:rPr>
          <w:rFonts w:ascii="宋体" w:hAnsi="宋体" w:cs="宋体"/>
          <w:sz w:val="24"/>
        </w:rPr>
      </w:pPr>
      <w:r>
        <w:rPr>
          <w:rFonts w:hint="eastAsia" w:ascii="宋体" w:hAnsi="宋体" w:cs="宋体"/>
          <w:sz w:val="24"/>
        </w:rPr>
        <w:t>地址：邮编：</w:t>
      </w:r>
    </w:p>
    <w:p w14:paraId="6DFEA541">
      <w:pPr>
        <w:snapToGrid w:val="0"/>
        <w:spacing w:line="360" w:lineRule="auto"/>
        <w:rPr>
          <w:rFonts w:ascii="宋体" w:hAnsi="宋体" w:cs="宋体"/>
          <w:sz w:val="24"/>
        </w:rPr>
      </w:pPr>
      <w:r>
        <w:rPr>
          <w:rFonts w:hint="eastAsia" w:ascii="宋体" w:hAnsi="宋体" w:cs="宋体"/>
          <w:sz w:val="24"/>
        </w:rPr>
        <w:t>联系人：联系电话：</w:t>
      </w:r>
    </w:p>
    <w:p w14:paraId="21DF5F63">
      <w:pPr>
        <w:snapToGrid w:val="0"/>
        <w:spacing w:line="360" w:lineRule="auto"/>
        <w:rPr>
          <w:rFonts w:ascii="宋体" w:hAnsi="宋体" w:cs="宋体"/>
          <w:sz w:val="24"/>
          <w:u w:val="dotted"/>
        </w:rPr>
      </w:pPr>
      <w:r>
        <w:rPr>
          <w:rFonts w:hint="eastAsia" w:ascii="宋体" w:hAnsi="宋体" w:cs="宋体"/>
          <w:sz w:val="24"/>
        </w:rPr>
        <w:t>授权代表：</w:t>
      </w:r>
    </w:p>
    <w:p w14:paraId="416F04EF">
      <w:pPr>
        <w:snapToGrid w:val="0"/>
        <w:spacing w:line="360" w:lineRule="auto"/>
        <w:rPr>
          <w:rFonts w:ascii="宋体" w:hAnsi="宋体" w:cs="宋体"/>
          <w:sz w:val="24"/>
        </w:rPr>
      </w:pPr>
      <w:r>
        <w:rPr>
          <w:rFonts w:hint="eastAsia" w:ascii="宋体" w:hAnsi="宋体" w:cs="宋体"/>
          <w:sz w:val="24"/>
        </w:rPr>
        <w:t>联系电话：</w:t>
      </w:r>
    </w:p>
    <w:p w14:paraId="0DFE7CDA">
      <w:pPr>
        <w:snapToGrid w:val="0"/>
        <w:spacing w:line="360" w:lineRule="auto"/>
        <w:rPr>
          <w:rFonts w:ascii="宋体" w:hAnsi="宋体" w:cs="宋体"/>
          <w:sz w:val="24"/>
        </w:rPr>
      </w:pPr>
      <w:r>
        <w:rPr>
          <w:rFonts w:hint="eastAsia" w:ascii="宋体" w:hAnsi="宋体" w:cs="宋体"/>
          <w:sz w:val="24"/>
        </w:rPr>
        <w:t>地址： 邮编：</w:t>
      </w:r>
    </w:p>
    <w:p w14:paraId="701469B7">
      <w:pPr>
        <w:snapToGrid w:val="0"/>
        <w:spacing w:line="360" w:lineRule="auto"/>
        <w:rPr>
          <w:rFonts w:ascii="宋体" w:hAnsi="宋体" w:cs="宋体"/>
          <w:bCs/>
          <w:sz w:val="24"/>
        </w:rPr>
      </w:pPr>
      <w:r>
        <w:rPr>
          <w:rFonts w:hint="eastAsia" w:ascii="宋体" w:hAnsi="宋体" w:cs="宋体"/>
          <w:bCs/>
          <w:sz w:val="24"/>
        </w:rPr>
        <w:t>二、质疑项目基本情况</w:t>
      </w:r>
    </w:p>
    <w:p w14:paraId="7D37429B">
      <w:pPr>
        <w:snapToGrid w:val="0"/>
        <w:spacing w:line="360" w:lineRule="auto"/>
        <w:rPr>
          <w:rFonts w:ascii="宋体" w:hAnsi="宋体" w:cs="宋体"/>
          <w:sz w:val="24"/>
        </w:rPr>
      </w:pPr>
      <w:r>
        <w:rPr>
          <w:rFonts w:hint="eastAsia" w:ascii="宋体" w:hAnsi="宋体" w:cs="宋体"/>
          <w:sz w:val="24"/>
        </w:rPr>
        <w:t>质疑项目的名称：</w:t>
      </w:r>
    </w:p>
    <w:p w14:paraId="228AFFD3">
      <w:pPr>
        <w:snapToGrid w:val="0"/>
        <w:spacing w:line="360" w:lineRule="auto"/>
        <w:rPr>
          <w:rFonts w:ascii="宋体" w:hAnsi="宋体" w:cs="宋体"/>
          <w:sz w:val="24"/>
        </w:rPr>
      </w:pPr>
      <w:r>
        <w:rPr>
          <w:rFonts w:hint="eastAsia" w:ascii="宋体" w:hAnsi="宋体" w:cs="宋体"/>
          <w:sz w:val="24"/>
        </w:rPr>
        <w:t>质疑项目的编号：包号：</w:t>
      </w:r>
    </w:p>
    <w:p w14:paraId="4D510A14">
      <w:pPr>
        <w:snapToGrid w:val="0"/>
        <w:spacing w:line="360" w:lineRule="auto"/>
        <w:rPr>
          <w:rFonts w:ascii="宋体" w:hAnsi="宋体" w:cs="宋体"/>
          <w:sz w:val="24"/>
          <w:u w:val="dotted"/>
        </w:rPr>
      </w:pPr>
      <w:r>
        <w:rPr>
          <w:rFonts w:hint="eastAsia" w:ascii="宋体" w:hAnsi="宋体" w:cs="宋体"/>
          <w:sz w:val="24"/>
        </w:rPr>
        <w:t>采购人名称：</w:t>
      </w:r>
    </w:p>
    <w:p w14:paraId="04C0147B">
      <w:pPr>
        <w:snapToGrid w:val="0"/>
        <w:spacing w:line="360" w:lineRule="auto"/>
        <w:rPr>
          <w:rFonts w:ascii="宋体" w:hAnsi="宋体" w:cs="宋体"/>
          <w:sz w:val="24"/>
        </w:rPr>
      </w:pPr>
      <w:r>
        <w:rPr>
          <w:rFonts w:hint="eastAsia" w:ascii="宋体" w:hAnsi="宋体" w:cs="宋体"/>
          <w:sz w:val="24"/>
        </w:rPr>
        <w:t>询价采购文件获取日期：</w:t>
      </w:r>
    </w:p>
    <w:p w14:paraId="146F743B">
      <w:pPr>
        <w:snapToGrid w:val="0"/>
        <w:spacing w:line="360" w:lineRule="auto"/>
        <w:rPr>
          <w:rFonts w:ascii="宋体" w:hAnsi="宋体" w:cs="宋体"/>
          <w:bCs/>
          <w:sz w:val="24"/>
        </w:rPr>
      </w:pPr>
      <w:r>
        <w:rPr>
          <w:rFonts w:hint="eastAsia" w:ascii="宋体" w:hAnsi="宋体" w:cs="宋体"/>
          <w:bCs/>
          <w:sz w:val="24"/>
        </w:rPr>
        <w:t>三、质疑事项具体内容</w:t>
      </w:r>
    </w:p>
    <w:p w14:paraId="5A1AB985">
      <w:pPr>
        <w:snapToGrid w:val="0"/>
        <w:spacing w:line="360" w:lineRule="auto"/>
        <w:rPr>
          <w:rFonts w:ascii="宋体" w:hAnsi="宋体" w:cs="宋体"/>
          <w:sz w:val="24"/>
          <w:u w:val="dotted"/>
        </w:rPr>
      </w:pPr>
      <w:r>
        <w:rPr>
          <w:rFonts w:hint="eastAsia" w:ascii="宋体" w:hAnsi="宋体" w:cs="宋体"/>
          <w:sz w:val="24"/>
        </w:rPr>
        <w:t>质疑事项1：</w:t>
      </w:r>
    </w:p>
    <w:p w14:paraId="5013860C">
      <w:pPr>
        <w:snapToGrid w:val="0"/>
        <w:spacing w:line="360" w:lineRule="auto"/>
        <w:rPr>
          <w:rFonts w:ascii="宋体" w:hAnsi="宋体" w:cs="宋体"/>
          <w:sz w:val="24"/>
          <w:u w:val="dotted"/>
        </w:rPr>
      </w:pPr>
      <w:r>
        <w:rPr>
          <w:rFonts w:hint="eastAsia" w:ascii="宋体" w:hAnsi="宋体" w:cs="宋体"/>
          <w:sz w:val="24"/>
        </w:rPr>
        <w:t>事实依据：</w:t>
      </w:r>
    </w:p>
    <w:p w14:paraId="1EE6CCA4">
      <w:pPr>
        <w:snapToGrid w:val="0"/>
        <w:spacing w:line="360" w:lineRule="auto"/>
        <w:rPr>
          <w:rFonts w:ascii="宋体" w:hAnsi="宋体" w:cs="宋体"/>
          <w:sz w:val="24"/>
        </w:rPr>
      </w:pPr>
    </w:p>
    <w:p w14:paraId="51BA4D32">
      <w:pPr>
        <w:snapToGrid w:val="0"/>
        <w:spacing w:line="360" w:lineRule="auto"/>
        <w:rPr>
          <w:rFonts w:ascii="宋体" w:hAnsi="宋体" w:cs="宋体"/>
          <w:sz w:val="24"/>
          <w:u w:val="dotted"/>
        </w:rPr>
      </w:pPr>
      <w:r>
        <w:rPr>
          <w:rFonts w:hint="eastAsia" w:ascii="宋体" w:hAnsi="宋体" w:cs="宋体"/>
          <w:sz w:val="24"/>
        </w:rPr>
        <w:t>法律依据：</w:t>
      </w:r>
    </w:p>
    <w:p w14:paraId="62529889">
      <w:pPr>
        <w:snapToGrid w:val="0"/>
        <w:spacing w:line="360" w:lineRule="auto"/>
        <w:rPr>
          <w:rFonts w:ascii="宋体" w:hAnsi="宋体" w:cs="宋体"/>
          <w:sz w:val="24"/>
          <w:u w:val="dotted"/>
        </w:rPr>
      </w:pPr>
    </w:p>
    <w:p w14:paraId="62CBDDEF">
      <w:pPr>
        <w:snapToGrid w:val="0"/>
        <w:spacing w:line="360" w:lineRule="auto"/>
        <w:rPr>
          <w:rFonts w:ascii="宋体" w:hAnsi="宋体" w:cs="宋体"/>
          <w:sz w:val="24"/>
          <w:u w:val="dotted"/>
        </w:rPr>
      </w:pPr>
      <w:r>
        <w:rPr>
          <w:rFonts w:hint="eastAsia" w:ascii="宋体" w:hAnsi="宋体" w:cs="宋体"/>
          <w:sz w:val="24"/>
        </w:rPr>
        <w:t>质疑事项2</w:t>
      </w:r>
    </w:p>
    <w:p w14:paraId="7F2234AA">
      <w:pPr>
        <w:snapToGrid w:val="0"/>
        <w:spacing w:line="360" w:lineRule="auto"/>
        <w:rPr>
          <w:rFonts w:ascii="宋体" w:hAnsi="宋体" w:cs="宋体"/>
          <w:sz w:val="24"/>
        </w:rPr>
      </w:pPr>
      <w:r>
        <w:rPr>
          <w:rFonts w:hint="eastAsia" w:ascii="宋体" w:hAnsi="宋体" w:cs="宋体"/>
          <w:sz w:val="24"/>
        </w:rPr>
        <w:t>……</w:t>
      </w:r>
    </w:p>
    <w:p w14:paraId="596690A2">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05879F59">
      <w:pPr>
        <w:snapToGrid w:val="0"/>
        <w:spacing w:line="360" w:lineRule="auto"/>
        <w:rPr>
          <w:rFonts w:ascii="宋体" w:hAnsi="宋体" w:cs="宋体"/>
          <w:sz w:val="24"/>
          <w:u w:val="dotted"/>
        </w:rPr>
      </w:pPr>
      <w:r>
        <w:rPr>
          <w:rFonts w:hint="eastAsia" w:ascii="宋体" w:hAnsi="宋体" w:cs="宋体"/>
          <w:sz w:val="24"/>
        </w:rPr>
        <w:t>请求：</w:t>
      </w:r>
    </w:p>
    <w:p w14:paraId="0B68699E">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14:paraId="68993133">
      <w:pPr>
        <w:spacing w:line="360" w:lineRule="auto"/>
        <w:rPr>
          <w:rFonts w:ascii="宋体" w:hAnsi="宋体" w:cs="宋体"/>
          <w:sz w:val="24"/>
        </w:rPr>
      </w:pPr>
      <w:r>
        <w:rPr>
          <w:rFonts w:hint="eastAsia" w:ascii="宋体" w:hAnsi="宋体" w:cs="宋体"/>
          <w:sz w:val="24"/>
        </w:rPr>
        <w:t xml:space="preserve">日期：    </w:t>
      </w:r>
    </w:p>
    <w:p w14:paraId="02BC1607">
      <w:pPr>
        <w:spacing w:line="360" w:lineRule="auto"/>
        <w:jc w:val="center"/>
        <w:rPr>
          <w:rFonts w:ascii="宋体" w:hAnsi="宋体" w:cs="宋体"/>
          <w:b/>
          <w:bCs/>
          <w:sz w:val="24"/>
        </w:rPr>
      </w:pPr>
    </w:p>
    <w:p w14:paraId="6ACA53E0">
      <w:pPr>
        <w:spacing w:line="360" w:lineRule="auto"/>
        <w:rPr>
          <w:rFonts w:ascii="宋体" w:hAnsi="宋体" w:cs="宋体"/>
          <w:b/>
          <w:sz w:val="24"/>
        </w:rPr>
        <w:sectPr>
          <w:footerReference r:id="rId19" w:type="default"/>
          <w:pgSz w:w="11906" w:h="16838"/>
          <w:pgMar w:top="1440" w:right="1800" w:bottom="1440" w:left="1800" w:header="930" w:footer="992" w:gutter="0"/>
          <w:cols w:space="425" w:num="1"/>
          <w:docGrid w:type="lines" w:linePitch="312" w:charSpace="0"/>
        </w:sectPr>
      </w:pPr>
    </w:p>
    <w:p w14:paraId="62EF2295">
      <w:pPr>
        <w:pStyle w:val="14"/>
      </w:pPr>
    </w:p>
    <w:p w14:paraId="25B77B36">
      <w:pPr>
        <w:spacing w:line="360" w:lineRule="auto"/>
        <w:rPr>
          <w:rFonts w:ascii="宋体" w:hAnsi="宋体" w:cs="宋体"/>
          <w:b/>
          <w:sz w:val="24"/>
        </w:rPr>
      </w:pPr>
      <w:r>
        <w:rPr>
          <w:rFonts w:hint="eastAsia" w:ascii="宋体" w:hAnsi="宋体" w:cs="宋体"/>
          <w:b/>
          <w:sz w:val="24"/>
        </w:rPr>
        <w:t>质疑函制作说明：</w:t>
      </w:r>
    </w:p>
    <w:p w14:paraId="3F1B1A2B">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1F64024C">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5FBE49BB">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14:paraId="3534C7B4">
      <w:pPr>
        <w:widowControl/>
        <w:spacing w:line="360" w:lineRule="auto"/>
        <w:ind w:firstLine="480" w:firstLineChars="200"/>
        <w:jc w:val="left"/>
        <w:rPr>
          <w:rFonts w:ascii="宋体" w:hAnsi="宋体" w:cs="宋体"/>
          <w:sz w:val="24"/>
        </w:rPr>
      </w:pPr>
      <w:r>
        <w:rPr>
          <w:rFonts w:hint="eastAsia" w:ascii="宋体" w:hAnsi="宋体" w:cs="宋体"/>
          <w:sz w:val="24"/>
        </w:rPr>
        <w:t>4.质疑函的质疑请求应与质疑事项相关。</w:t>
      </w:r>
    </w:p>
    <w:p w14:paraId="05416C85">
      <w:pPr>
        <w:widowControl/>
        <w:spacing w:line="360" w:lineRule="auto"/>
        <w:ind w:firstLine="480" w:firstLineChars="200"/>
        <w:jc w:val="left"/>
        <w:rPr>
          <w:rFonts w:ascii="宋体" w:hAnsi="宋体" w:cs="宋体"/>
          <w:sz w:val="24"/>
        </w:rPr>
      </w:pPr>
      <w:r>
        <w:rPr>
          <w:rFonts w:hint="eastAsia" w:ascii="宋体" w:hAnsi="宋体" w:cs="宋体"/>
          <w:sz w:val="24"/>
        </w:rPr>
        <w:t>5.质疑供应商为法人或者其他组织的，质疑函应由法定代表人、主要负责人，或者其授权代表签字或者盖章，并加盖公章。</w:t>
      </w:r>
    </w:p>
    <w:p w14:paraId="225C51FD">
      <w:pPr>
        <w:widowControl/>
        <w:spacing w:line="360" w:lineRule="auto"/>
        <w:ind w:firstLine="600" w:firstLineChars="200"/>
        <w:jc w:val="left"/>
        <w:rPr>
          <w:rFonts w:ascii="宋体" w:hAnsi="宋体" w:cs="宋体"/>
          <w:sz w:val="30"/>
          <w:szCs w:val="30"/>
        </w:rPr>
      </w:pPr>
    </w:p>
    <w:p w14:paraId="25CFB353">
      <w:pPr>
        <w:spacing w:line="360" w:lineRule="auto"/>
        <w:jc w:val="center"/>
        <w:rPr>
          <w:rFonts w:ascii="宋体" w:hAnsi="宋体" w:cs="宋体"/>
          <w:b/>
          <w:spacing w:val="6"/>
          <w:sz w:val="32"/>
          <w:szCs w:val="32"/>
        </w:rPr>
      </w:pPr>
    </w:p>
    <w:p w14:paraId="303E5A3D">
      <w:pPr>
        <w:spacing w:line="360" w:lineRule="auto"/>
        <w:jc w:val="center"/>
        <w:rPr>
          <w:rFonts w:ascii="宋体" w:hAnsi="宋体" w:cs="宋体"/>
          <w:b/>
          <w:spacing w:val="6"/>
          <w:sz w:val="32"/>
          <w:szCs w:val="32"/>
        </w:rPr>
      </w:pPr>
    </w:p>
    <w:p w14:paraId="09A45484">
      <w:pPr>
        <w:spacing w:line="360" w:lineRule="auto"/>
        <w:jc w:val="center"/>
        <w:rPr>
          <w:rFonts w:ascii="宋体" w:hAnsi="宋体" w:cs="宋体"/>
          <w:b/>
          <w:spacing w:val="6"/>
          <w:sz w:val="32"/>
          <w:szCs w:val="32"/>
        </w:rPr>
      </w:pPr>
    </w:p>
    <w:p w14:paraId="22F38175">
      <w:pPr>
        <w:spacing w:line="360" w:lineRule="auto"/>
        <w:jc w:val="center"/>
        <w:rPr>
          <w:rFonts w:ascii="宋体" w:hAnsi="宋体" w:cs="宋体"/>
          <w:b/>
          <w:spacing w:val="6"/>
          <w:sz w:val="32"/>
          <w:szCs w:val="32"/>
        </w:rPr>
      </w:pPr>
    </w:p>
    <w:p w14:paraId="7B351617">
      <w:pPr>
        <w:spacing w:line="360" w:lineRule="auto"/>
        <w:jc w:val="center"/>
        <w:rPr>
          <w:rFonts w:ascii="宋体" w:hAnsi="宋体" w:cs="宋体"/>
          <w:b/>
          <w:spacing w:val="6"/>
          <w:sz w:val="32"/>
          <w:szCs w:val="32"/>
        </w:rPr>
      </w:pPr>
    </w:p>
    <w:p w14:paraId="32718169">
      <w:pPr>
        <w:spacing w:line="360" w:lineRule="auto"/>
        <w:jc w:val="center"/>
        <w:rPr>
          <w:rFonts w:ascii="宋体" w:hAnsi="宋体" w:cs="宋体"/>
          <w:b/>
          <w:spacing w:val="6"/>
          <w:sz w:val="32"/>
          <w:szCs w:val="32"/>
        </w:rPr>
      </w:pPr>
    </w:p>
    <w:p w14:paraId="78F9A68C">
      <w:pPr>
        <w:spacing w:line="360" w:lineRule="auto"/>
        <w:jc w:val="center"/>
        <w:rPr>
          <w:rFonts w:ascii="宋体" w:hAnsi="宋体" w:cs="宋体"/>
          <w:b/>
          <w:spacing w:val="6"/>
          <w:sz w:val="32"/>
          <w:szCs w:val="32"/>
        </w:rPr>
      </w:pPr>
    </w:p>
    <w:p w14:paraId="01ABC243">
      <w:pPr>
        <w:spacing w:line="360" w:lineRule="auto"/>
        <w:jc w:val="center"/>
        <w:rPr>
          <w:rFonts w:ascii="宋体" w:hAnsi="宋体" w:cs="宋体"/>
          <w:b/>
          <w:spacing w:val="6"/>
          <w:sz w:val="32"/>
          <w:szCs w:val="32"/>
        </w:rPr>
      </w:pPr>
    </w:p>
    <w:sectPr>
      <w:footerReference r:id="rId20"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2119B">
    <w:pPr>
      <w:pStyle w:val="12"/>
    </w:pPr>
    <w:r>
      <w:pict>
        <v:shape id="_x0000_s2056" o:spid="_x0000_s205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joinstyle="miter"/>
          <v:imagedata o:title=""/>
          <o:lock v:ext="edit"/>
          <v:textbox inset="0mm,0mm,0mm,0mm" style="mso-fit-shape-to-text:t;">
            <w:txbxContent>
              <w:p w14:paraId="51D76DC2">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15265">
    <w:pPr>
      <w:pStyle w:val="12"/>
      <w:jc w:val="center"/>
      <w:rPr>
        <w:rFonts w:ascii="仿宋_GB2312" w:eastAsia="仿宋_GB2312" w:cs="Times New Roman"/>
      </w:rPr>
    </w:pPr>
    <w:r>
      <w:pict>
        <v:shape id="_x0000_s2051" o:spid="_x0000_s2051"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path/>
          <v:fill on="f" focussize="0,0"/>
          <v:stroke on="f" joinstyle="miter"/>
          <v:imagedata o:title=""/>
          <o:lock v:ext="edit"/>
          <v:textbox inset="0mm,0mm,0mm,0mm" style="mso-fit-shape-to-text:t;">
            <w:txbxContent>
              <w:p w14:paraId="2E67DAE8">
                <w:pPr>
                  <w:pStyle w:val="12"/>
                </w:pPr>
                <w:r>
                  <w:t xml:space="preserve">第 </w:t>
                </w:r>
                <w:r>
                  <w:fldChar w:fldCharType="begin"/>
                </w:r>
                <w:r>
                  <w:instrText xml:space="preserve"> PAGE  \* MERGEFORMAT </w:instrText>
                </w:r>
                <w:r>
                  <w:fldChar w:fldCharType="separate"/>
                </w:r>
                <w:r>
                  <w:t>61</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w:r>
  </w:p>
  <w:p w14:paraId="304C489F">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4235D">
    <w:pPr>
      <w:pStyle w:val="12"/>
      <w:jc w:val="center"/>
      <w:rPr>
        <w:rFonts w:ascii="仿宋_GB2312" w:eastAsia="仿宋_GB2312" w:cs="Times New Roman"/>
      </w:rPr>
    </w:pPr>
    <w:r>
      <w:pict>
        <v:shape id="_x0000_s2049" o:spid="_x0000_s2049"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path/>
          <v:fill on="f" focussize="0,0"/>
          <v:stroke on="f" joinstyle="miter"/>
          <v:imagedata o:title=""/>
          <o:lock v:ext="edit"/>
          <v:textbox inset="0mm,0mm,0mm,0mm" style="mso-fit-shape-to-text:t;">
            <w:txbxContent>
              <w:p w14:paraId="5B8B66D2">
                <w:pPr>
                  <w:pStyle w:val="12"/>
                </w:pPr>
                <w:r>
                  <w:t xml:space="preserve">第 </w:t>
                </w:r>
                <w:r>
                  <w:fldChar w:fldCharType="begin"/>
                </w:r>
                <w:r>
                  <w:instrText xml:space="preserve"> PAGE  \* MERGEFORMAT </w:instrText>
                </w:r>
                <w:r>
                  <w:fldChar w:fldCharType="separate"/>
                </w:r>
                <w:r>
                  <w:t>63</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w:r>
  </w:p>
  <w:p w14:paraId="746AC3E1">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B7556">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751E0">
    <w:pPr>
      <w:pStyle w:val="12"/>
    </w:pPr>
    <w:r>
      <w:pict>
        <v:shape id="_x0000_s2057" o:spid="_x0000_s205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joinstyle="miter"/>
          <v:imagedata o:title=""/>
          <o:lock v:ext="edit"/>
          <v:textbox inset="0mm,0mm,0mm,0mm" style="mso-fit-shape-to-text:t;">
            <w:txbxContent>
              <w:p w14:paraId="4D14201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B8C7C">
    <w:pPr>
      <w:pStyle w:val="12"/>
    </w:pPr>
    <w:r>
      <w:pict>
        <v:shape id="_x0000_s2055" o:spid="_x0000_s2055"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joinstyle="miter"/>
          <v:imagedata o:title=""/>
          <o:lock v:ext="edit"/>
          <v:textbox inset="0mm,0mm,0mm,0mm" style="mso-fit-shape-to-text:t;">
            <w:txbxContent>
              <w:p w14:paraId="30DD1A59">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0F701">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D3164">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19624">
    <w:pPr>
      <w:pStyle w:val="12"/>
      <w:jc w:val="center"/>
    </w:pPr>
    <w:r>
      <w:pict>
        <v:shape id="_x0000_s2054" o:spid="_x0000_s2054"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path/>
          <v:fill on="f" focussize="0,0"/>
          <v:stroke on="f" joinstyle="miter"/>
          <v:imagedata o:title=""/>
          <o:lock v:ext="edit"/>
          <v:textbox inset="0mm,0mm,0mm,0mm" style="mso-fit-shape-to-text:t;">
            <w:txbxContent>
              <w:p w14:paraId="40CF3EE8">
                <w:pPr>
                  <w:pStyle w:val="12"/>
                </w:pPr>
                <w:r>
                  <w:t xml:space="preserve">第 </w:t>
                </w:r>
                <w:r>
                  <w:fldChar w:fldCharType="begin"/>
                </w:r>
                <w:r>
                  <w:instrText xml:space="preserve"> PAGE  \* MERGEFORMAT </w:instrText>
                </w:r>
                <w:r>
                  <w:fldChar w:fldCharType="separate"/>
                </w:r>
                <w:r>
                  <w:t>54</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w:r>
  </w:p>
  <w:p w14:paraId="05257679">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B4FB1">
    <w:pPr>
      <w:pStyle w:val="12"/>
      <w:jc w:val="center"/>
      <w:rPr>
        <w:rFonts w:ascii="仿宋_GB2312" w:eastAsia="仿宋_GB2312"/>
      </w:rPr>
    </w:pPr>
    <w:r>
      <w:pict>
        <v:shape id="_x0000_s2052" o:spid="_x0000_s2052"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path/>
          <v:fill on="f" focussize="0,0"/>
          <v:stroke on="f" joinstyle="miter"/>
          <v:imagedata o:title=""/>
          <o:lock v:ext="edit"/>
          <v:textbox inset="0mm,0mm,0mm,0mm" style="mso-fit-shape-to-text:t;">
            <w:txbxContent>
              <w:p w14:paraId="367823FD">
                <w:pPr>
                  <w:pStyle w:val="12"/>
                </w:pPr>
                <w:r>
                  <w:t xml:space="preserve">第 </w:t>
                </w:r>
                <w:r>
                  <w:fldChar w:fldCharType="begin"/>
                </w:r>
                <w:r>
                  <w:instrText xml:space="preserve"> PAGE  \* MERGEFORMAT </w:instrText>
                </w:r>
                <w:r>
                  <w:fldChar w:fldCharType="separate"/>
                </w:r>
                <w:r>
                  <w:t>60</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w:r>
  </w:p>
  <w:p w14:paraId="3DD9C916">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1794">
    <w:pPr>
      <w:pStyle w:val="12"/>
      <w:jc w:val="center"/>
      <w:rPr>
        <w:rFonts w:ascii="仿宋_GB2312" w:eastAsia="仿宋_GB2312"/>
      </w:rPr>
    </w:pPr>
    <w:r>
      <w:pict>
        <v:shape id="_x0000_s2053" o:spid="_x0000_s2053"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path/>
          <v:fill on="f" focussize="0,0"/>
          <v:stroke on="f" joinstyle="miter"/>
          <v:imagedata o:title=""/>
          <o:lock v:ext="edit"/>
          <v:textbox inset="0mm,0mm,0mm,0mm" style="mso-fit-shape-to-text:t;">
            <w:txbxContent>
              <w:p w14:paraId="1DEFFD56">
                <w:pPr>
                  <w:pStyle w:val="12"/>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w:r>
  </w:p>
  <w:p w14:paraId="11DE6A3A">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69DA3">
    <w:pPr>
      <w:pStyle w:val="13"/>
      <w:jc w:val="right"/>
      <w:rPr>
        <w:rFonts w:ascii="仿宋" w:hAnsi="仿宋" w:eastAsia="仿宋" w:cs="仿宋"/>
        <w:i/>
        <w:iCs/>
      </w:rPr>
    </w:pPr>
  </w:p>
  <w:p w14:paraId="419D7158">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0E47F">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34761">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A607A">
    <w:pPr>
      <w:pStyle w:val="13"/>
      <w:tabs>
        <w:tab w:val="left" w:pos="705"/>
        <w:tab w:val="left" w:pos="5565"/>
        <w:tab w:val="right" w:pos="8426"/>
      </w:tabs>
      <w:jc w:val="right"/>
      <w:rPr>
        <w:u w:val="single"/>
      </w:rPr>
    </w:pPr>
    <w:r>
      <w:rPr>
        <w:rFonts w:hint="eastAsia"/>
      </w:rPr>
      <w:tab/>
    </w:r>
    <w:r>
      <w:rPr>
        <w:rFonts w:hint="eastAsia"/>
      </w:rPr>
      <w:tab/>
    </w:r>
    <w:r>
      <w:rPr>
        <w:rFonts w:hint="eastAsia"/>
      </w:rPr>
      <w:t>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2869D">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E4BAE">
    <w:pPr>
      <w:pStyle w:val="13"/>
      <w:jc w:val="right"/>
    </w:pPr>
    <w:r>
      <w:rPr>
        <w:rFonts w:hint="eastAsia"/>
        <w:u w:val="single"/>
      </w:rPr>
      <w:t>杭州</w:t>
    </w:r>
    <w:r>
      <w:rPr>
        <w:rFonts w:hint="eastAsia"/>
        <w:u w:val="single"/>
        <w:lang w:val="zh-CN"/>
      </w:rPr>
      <w:t>临江环境能源有限公司询价采购文件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185E0">
    <w:pPr>
      <w:pStyle w:val="1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documentProtection w:enforcement="0"/>
  <w:defaultTabStop w:val="420"/>
  <w:drawingGridVerticalSpacing w:val="159"/>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EyMzZkZjM2MDJhYjY1OWNjZDE1ZDE1YjY1MWQ5MjAifQ=="/>
  </w:docVars>
  <w:rsids>
    <w:rsidRoot w:val="009A7E73"/>
    <w:rsid w:val="00326C4E"/>
    <w:rsid w:val="00333245"/>
    <w:rsid w:val="009A7E73"/>
    <w:rsid w:val="013D6280"/>
    <w:rsid w:val="023E1286"/>
    <w:rsid w:val="02691505"/>
    <w:rsid w:val="03237D85"/>
    <w:rsid w:val="03272182"/>
    <w:rsid w:val="0373117D"/>
    <w:rsid w:val="04291C5B"/>
    <w:rsid w:val="046A1781"/>
    <w:rsid w:val="04E634F4"/>
    <w:rsid w:val="05150472"/>
    <w:rsid w:val="05171224"/>
    <w:rsid w:val="051B17AF"/>
    <w:rsid w:val="0639003F"/>
    <w:rsid w:val="06FC0970"/>
    <w:rsid w:val="0805754C"/>
    <w:rsid w:val="08322A8C"/>
    <w:rsid w:val="08670640"/>
    <w:rsid w:val="08850322"/>
    <w:rsid w:val="08E37A2F"/>
    <w:rsid w:val="09452F50"/>
    <w:rsid w:val="09545F70"/>
    <w:rsid w:val="09946F9F"/>
    <w:rsid w:val="09D74B85"/>
    <w:rsid w:val="09DC2A3C"/>
    <w:rsid w:val="09EC7123"/>
    <w:rsid w:val="09ED56C9"/>
    <w:rsid w:val="0A1D0FFF"/>
    <w:rsid w:val="0A7C1006"/>
    <w:rsid w:val="0AD025A1"/>
    <w:rsid w:val="0B796626"/>
    <w:rsid w:val="0BD07B44"/>
    <w:rsid w:val="0C492847"/>
    <w:rsid w:val="0C554576"/>
    <w:rsid w:val="0CD17C85"/>
    <w:rsid w:val="0D2A374A"/>
    <w:rsid w:val="0F095788"/>
    <w:rsid w:val="0F5C736A"/>
    <w:rsid w:val="0F5E496A"/>
    <w:rsid w:val="0F81598B"/>
    <w:rsid w:val="0FD065E8"/>
    <w:rsid w:val="10146177"/>
    <w:rsid w:val="10947BCD"/>
    <w:rsid w:val="109F18AA"/>
    <w:rsid w:val="10BE08E9"/>
    <w:rsid w:val="1157552B"/>
    <w:rsid w:val="11B62492"/>
    <w:rsid w:val="13064D3F"/>
    <w:rsid w:val="1399374C"/>
    <w:rsid w:val="13FF5068"/>
    <w:rsid w:val="14521AA0"/>
    <w:rsid w:val="146C41CB"/>
    <w:rsid w:val="15BE749A"/>
    <w:rsid w:val="15E02F18"/>
    <w:rsid w:val="166F3635"/>
    <w:rsid w:val="17DF606D"/>
    <w:rsid w:val="185A544F"/>
    <w:rsid w:val="18890233"/>
    <w:rsid w:val="18963CC4"/>
    <w:rsid w:val="198737C7"/>
    <w:rsid w:val="19BA0F13"/>
    <w:rsid w:val="19DC04D6"/>
    <w:rsid w:val="19DC6BDA"/>
    <w:rsid w:val="1AA56FDE"/>
    <w:rsid w:val="1B7913A6"/>
    <w:rsid w:val="1C6F7740"/>
    <w:rsid w:val="1C742A28"/>
    <w:rsid w:val="1CAA3340"/>
    <w:rsid w:val="1CD34128"/>
    <w:rsid w:val="1CDE6781"/>
    <w:rsid w:val="1D987ACC"/>
    <w:rsid w:val="1DEB283E"/>
    <w:rsid w:val="1E6179BE"/>
    <w:rsid w:val="1ECE2E9B"/>
    <w:rsid w:val="1F457921"/>
    <w:rsid w:val="21577510"/>
    <w:rsid w:val="21677697"/>
    <w:rsid w:val="227237DB"/>
    <w:rsid w:val="229536BA"/>
    <w:rsid w:val="22A244DC"/>
    <w:rsid w:val="2378337E"/>
    <w:rsid w:val="23AE001C"/>
    <w:rsid w:val="246B7683"/>
    <w:rsid w:val="251A0B90"/>
    <w:rsid w:val="25251AF7"/>
    <w:rsid w:val="25C26B32"/>
    <w:rsid w:val="272E083D"/>
    <w:rsid w:val="284A39BF"/>
    <w:rsid w:val="28A354BE"/>
    <w:rsid w:val="293A0513"/>
    <w:rsid w:val="29677F56"/>
    <w:rsid w:val="298D0BC4"/>
    <w:rsid w:val="2A1060BE"/>
    <w:rsid w:val="2A6366FF"/>
    <w:rsid w:val="2A6807FA"/>
    <w:rsid w:val="2B32649C"/>
    <w:rsid w:val="2B9B5E5B"/>
    <w:rsid w:val="2BDA5141"/>
    <w:rsid w:val="2C270527"/>
    <w:rsid w:val="2C4141D8"/>
    <w:rsid w:val="2C4C4A4F"/>
    <w:rsid w:val="2D4C5940"/>
    <w:rsid w:val="2EA152A3"/>
    <w:rsid w:val="2F1F33A8"/>
    <w:rsid w:val="2F520F27"/>
    <w:rsid w:val="2F5836E9"/>
    <w:rsid w:val="2F7610B9"/>
    <w:rsid w:val="30123142"/>
    <w:rsid w:val="302169BE"/>
    <w:rsid w:val="304A7E50"/>
    <w:rsid w:val="314B6E80"/>
    <w:rsid w:val="31BF0628"/>
    <w:rsid w:val="32843E96"/>
    <w:rsid w:val="32D33460"/>
    <w:rsid w:val="346671FA"/>
    <w:rsid w:val="347E631A"/>
    <w:rsid w:val="351F7AFD"/>
    <w:rsid w:val="352F03C1"/>
    <w:rsid w:val="36162BCB"/>
    <w:rsid w:val="363646DC"/>
    <w:rsid w:val="36412810"/>
    <w:rsid w:val="36BD312A"/>
    <w:rsid w:val="37514AF4"/>
    <w:rsid w:val="377C0298"/>
    <w:rsid w:val="37F61CA1"/>
    <w:rsid w:val="39C31C6C"/>
    <w:rsid w:val="3B480711"/>
    <w:rsid w:val="3C283344"/>
    <w:rsid w:val="3C3420E0"/>
    <w:rsid w:val="3C485F9D"/>
    <w:rsid w:val="3C4E2A76"/>
    <w:rsid w:val="3C7C70D7"/>
    <w:rsid w:val="3CB84BBF"/>
    <w:rsid w:val="3D263D34"/>
    <w:rsid w:val="3D3879AE"/>
    <w:rsid w:val="3E0C6463"/>
    <w:rsid w:val="3E564C85"/>
    <w:rsid w:val="3F4F566F"/>
    <w:rsid w:val="3F8142B1"/>
    <w:rsid w:val="3FA13295"/>
    <w:rsid w:val="403E57B7"/>
    <w:rsid w:val="40532D51"/>
    <w:rsid w:val="40533552"/>
    <w:rsid w:val="4179370E"/>
    <w:rsid w:val="41C41CD8"/>
    <w:rsid w:val="41D016DB"/>
    <w:rsid w:val="42043E37"/>
    <w:rsid w:val="42112513"/>
    <w:rsid w:val="42E9077C"/>
    <w:rsid w:val="43140575"/>
    <w:rsid w:val="433F2D12"/>
    <w:rsid w:val="43496F4C"/>
    <w:rsid w:val="435518AD"/>
    <w:rsid w:val="437A2DA4"/>
    <w:rsid w:val="44873A1C"/>
    <w:rsid w:val="4491515E"/>
    <w:rsid w:val="470471FE"/>
    <w:rsid w:val="472961BF"/>
    <w:rsid w:val="487713B7"/>
    <w:rsid w:val="49105C83"/>
    <w:rsid w:val="4992263D"/>
    <w:rsid w:val="499917D4"/>
    <w:rsid w:val="49A53D97"/>
    <w:rsid w:val="4A595408"/>
    <w:rsid w:val="4AE27CAC"/>
    <w:rsid w:val="4BAC48C9"/>
    <w:rsid w:val="4E191EC4"/>
    <w:rsid w:val="4EA9254B"/>
    <w:rsid w:val="4F251D5C"/>
    <w:rsid w:val="4FD65994"/>
    <w:rsid w:val="4FEB08B0"/>
    <w:rsid w:val="4FEE7038"/>
    <w:rsid w:val="50772E11"/>
    <w:rsid w:val="50886E1D"/>
    <w:rsid w:val="513B5867"/>
    <w:rsid w:val="51454B8D"/>
    <w:rsid w:val="514563A8"/>
    <w:rsid w:val="523875F5"/>
    <w:rsid w:val="52506204"/>
    <w:rsid w:val="52B35FD7"/>
    <w:rsid w:val="52BE405A"/>
    <w:rsid w:val="533B163F"/>
    <w:rsid w:val="53FA1DF3"/>
    <w:rsid w:val="54204352"/>
    <w:rsid w:val="545F2611"/>
    <w:rsid w:val="54AB2D04"/>
    <w:rsid w:val="55AE66AC"/>
    <w:rsid w:val="56EA7DD1"/>
    <w:rsid w:val="56F563A5"/>
    <w:rsid w:val="571F3A0C"/>
    <w:rsid w:val="57DB66AC"/>
    <w:rsid w:val="57F2034A"/>
    <w:rsid w:val="58235318"/>
    <w:rsid w:val="58354DBE"/>
    <w:rsid w:val="586E6522"/>
    <w:rsid w:val="58BE2D14"/>
    <w:rsid w:val="59121C77"/>
    <w:rsid w:val="59DD570D"/>
    <w:rsid w:val="59DE0E09"/>
    <w:rsid w:val="5A283DD0"/>
    <w:rsid w:val="5A2E5F69"/>
    <w:rsid w:val="5A6F2C36"/>
    <w:rsid w:val="5ACD76EE"/>
    <w:rsid w:val="5B021A05"/>
    <w:rsid w:val="5B3D7F5F"/>
    <w:rsid w:val="5B6C2D6A"/>
    <w:rsid w:val="5E4A026A"/>
    <w:rsid w:val="5EA617F0"/>
    <w:rsid w:val="5EFD2476"/>
    <w:rsid w:val="5F0279C4"/>
    <w:rsid w:val="5F944466"/>
    <w:rsid w:val="5FF13A8E"/>
    <w:rsid w:val="609A624E"/>
    <w:rsid w:val="6139287F"/>
    <w:rsid w:val="61F56B7E"/>
    <w:rsid w:val="62121B84"/>
    <w:rsid w:val="63AE2340"/>
    <w:rsid w:val="63CF15A0"/>
    <w:rsid w:val="64CD2ABF"/>
    <w:rsid w:val="657B7ADB"/>
    <w:rsid w:val="660E4A3F"/>
    <w:rsid w:val="673E5F91"/>
    <w:rsid w:val="679754A0"/>
    <w:rsid w:val="67D649B5"/>
    <w:rsid w:val="67F51E74"/>
    <w:rsid w:val="6879398A"/>
    <w:rsid w:val="689618A9"/>
    <w:rsid w:val="68C66552"/>
    <w:rsid w:val="69345B52"/>
    <w:rsid w:val="69482477"/>
    <w:rsid w:val="69D037DF"/>
    <w:rsid w:val="6A4E3ABD"/>
    <w:rsid w:val="6A9D6924"/>
    <w:rsid w:val="6ABD4230"/>
    <w:rsid w:val="6AE63D7E"/>
    <w:rsid w:val="6B462C2B"/>
    <w:rsid w:val="6BD746DF"/>
    <w:rsid w:val="6BDC6E7B"/>
    <w:rsid w:val="6C083424"/>
    <w:rsid w:val="6CE13383"/>
    <w:rsid w:val="6CEB080D"/>
    <w:rsid w:val="6D893D5F"/>
    <w:rsid w:val="6EAC75B8"/>
    <w:rsid w:val="6ED12496"/>
    <w:rsid w:val="6F502166"/>
    <w:rsid w:val="700D088C"/>
    <w:rsid w:val="700E4F44"/>
    <w:rsid w:val="70173239"/>
    <w:rsid w:val="708F687C"/>
    <w:rsid w:val="70FC24C5"/>
    <w:rsid w:val="71A36DE5"/>
    <w:rsid w:val="721A5B23"/>
    <w:rsid w:val="72B931C1"/>
    <w:rsid w:val="738D03F5"/>
    <w:rsid w:val="73916EA4"/>
    <w:rsid w:val="740A6CA7"/>
    <w:rsid w:val="7414018E"/>
    <w:rsid w:val="7420296E"/>
    <w:rsid w:val="7431692A"/>
    <w:rsid w:val="74435A84"/>
    <w:rsid w:val="763764BB"/>
    <w:rsid w:val="767E5B01"/>
    <w:rsid w:val="779944AF"/>
    <w:rsid w:val="78160310"/>
    <w:rsid w:val="785A54C0"/>
    <w:rsid w:val="78D32916"/>
    <w:rsid w:val="78FD6DDA"/>
    <w:rsid w:val="793E3302"/>
    <w:rsid w:val="79DF4732"/>
    <w:rsid w:val="79EB254B"/>
    <w:rsid w:val="7AF4716D"/>
    <w:rsid w:val="7B2031F9"/>
    <w:rsid w:val="7B7B39F2"/>
    <w:rsid w:val="7BA82ABD"/>
    <w:rsid w:val="7C662D96"/>
    <w:rsid w:val="7CFD5C38"/>
    <w:rsid w:val="7D797C2B"/>
    <w:rsid w:val="7D810EAC"/>
    <w:rsid w:val="7D955BFE"/>
    <w:rsid w:val="7DAC6A56"/>
    <w:rsid w:val="7E0230E5"/>
    <w:rsid w:val="7E1A3F8B"/>
    <w:rsid w:val="7E545869"/>
    <w:rsid w:val="7E600661"/>
    <w:rsid w:val="7FC75086"/>
    <w:rsid w:val="7FE272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Balloon Text"/>
    <w:basedOn w:val="1"/>
    <w:link w:val="33"/>
    <w:qFormat/>
    <w:uiPriority w:val="0"/>
    <w:rPr>
      <w:sz w:val="18"/>
      <w:szCs w:val="18"/>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Normal (Web)"/>
    <w:basedOn w:val="1"/>
    <w:qFormat/>
    <w:uiPriority w:val="0"/>
    <w:rPr>
      <w:sz w:val="24"/>
    </w:rPr>
  </w:style>
  <w:style w:type="paragraph" w:styleId="16">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样式 标题 1 + 四号 加粗"/>
    <w:basedOn w:val="2"/>
    <w:autoRedefine/>
    <w:qFormat/>
    <w:uiPriority w:val="0"/>
  </w:style>
  <w:style w:type="character" w:customStyle="1" w:styleId="33">
    <w:name w:val="批注框文本 Char"/>
    <w:basedOn w:val="19"/>
    <w:link w:val="11"/>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2056"/>
    <customShpInfo spid="_x0000_s2057"/>
    <customShpInfo spid="_x0000_s2055"/>
    <customShpInfo spid="_x0000_s2054"/>
    <customShpInfo spid="_x0000_s2052"/>
    <customShpInfo spid="_x0000_s2053"/>
    <customShpInfo spid="_x0000_s2051"/>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6609</Words>
  <Characters>7229</Characters>
  <Lines>237</Lines>
  <Paragraphs>66</Paragraphs>
  <TotalTime>37</TotalTime>
  <ScaleCrop>false</ScaleCrop>
  <LinksUpToDate>false</LinksUpToDate>
  <CharactersWithSpaces>7360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hl</cp:lastModifiedBy>
  <dcterms:modified xsi:type="dcterms:W3CDTF">2025-09-29T02:53:17Z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A1ED29D5195F42DC88B15D6E555041E6</vt:lpwstr>
  </property>
  <property fmtid="{D5CDD505-2E9C-101B-9397-08002B2CF9AE}" pid="4" name="KSOTemplateDocerSaveRecord">
    <vt:lpwstr>eyJoZGlkIjoiNjkxYzBlMWM5MmQ4YTg5MjNmOTgyNWE1ODY2ZmJkNmIiLCJ1c2VySWQiOiI2NjM1OTQ2NjkifQ==</vt:lpwstr>
  </property>
</Properties>
</file>