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2025年SCR催化剂再生前性能检测服务采购项目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202508016</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28359002"/>
      <w:bookmarkStart w:id="3" w:name="_Toc35393790"/>
      <w:bookmarkStart w:id="4" w:name="_Toc35393621"/>
      <w:bookmarkStart w:id="5" w:name="_Hlk24379207"/>
      <w:r>
        <w:rPr>
          <w:rFonts w:hint="eastAsia" w:ascii="宋体" w:hAnsi="宋体" w:eastAsia="宋体" w:cs="宋体"/>
          <w:b/>
          <w:bCs/>
          <w:sz w:val="24"/>
        </w:rPr>
        <w:t>项目概况:</w:t>
      </w:r>
    </w:p>
    <w:p w14:paraId="32831225">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202508016</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2025年SCR催化剂再生前性能检测服务采购项目</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054DE81B">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cs="仿宋" w:asciiTheme="minorEastAsia" w:hAnsiTheme="minorEastAsia"/>
          <w:b/>
          <w:bCs/>
          <w:color w:val="auto"/>
          <w:sz w:val="24"/>
          <w:u w:val="single"/>
          <w:lang w:val="en-US" w:eastAsia="zh-CN"/>
        </w:rPr>
        <w:t>8万元。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1EF18C2A">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临江公司需采购能源运行中心SCR催化剂再生前性能检测服务。具体</w:t>
      </w:r>
      <w:r>
        <w:rPr>
          <w:rFonts w:hint="eastAsia" w:cs="仿宋" w:asciiTheme="minorEastAsia" w:hAnsiTheme="minorEastAsia"/>
          <w:color w:val="auto"/>
          <w:sz w:val="24"/>
        </w:rPr>
        <w:t>要求以询价通知书第三部分采购需求为准。</w:t>
      </w:r>
    </w:p>
    <w:p w14:paraId="36A9213A">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至采购人收到加盖CNAS章的正式检测报告</w:t>
      </w:r>
      <w:r>
        <w:rPr>
          <w:rFonts w:hint="eastAsia" w:ascii="宋体" w:hAnsi="宋体"/>
          <w:color w:val="auto"/>
          <w:sz w:val="24"/>
          <w:u w:val="single"/>
          <w:lang w:val="en-US" w:eastAsia="zh-CN"/>
        </w:rPr>
        <w:t>后终止</w:t>
      </w:r>
      <w:r>
        <w:rPr>
          <w:rFonts w:hint="eastAsia" w:hAnsi="宋体"/>
          <w:color w:val="auto"/>
          <w:sz w:val="24"/>
          <w:u w:val="single"/>
          <w:lang w:val="en-US" w:eastAsia="zh-CN"/>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35393622"/>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sz w:val="24"/>
        </w:rPr>
        <w:t>6.供应商须提供其股东信息及出</w:t>
      </w:r>
      <w:r>
        <w:rPr>
          <w:rFonts w:hint="eastAsia" w:ascii="宋体" w:hAnsi="宋体" w:eastAsia="宋体" w:cs="宋体"/>
          <w:bCs/>
          <w:color w:val="auto"/>
          <w:sz w:val="24"/>
        </w:rPr>
        <w:t>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color w:val="auto"/>
          <w:sz w:val="24"/>
        </w:rPr>
        <w:t>7.本项目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供应商须</w:t>
      </w:r>
      <w:r>
        <w:rPr>
          <w:rFonts w:hint="eastAsia" w:ascii="宋体" w:hAnsi="宋体" w:eastAsia="宋体" w:cs="宋体"/>
          <w:bCs/>
          <w:color w:val="auto"/>
          <w:sz w:val="24"/>
          <w:u w:val="single"/>
        </w:rPr>
        <w:t>具有</w:t>
      </w:r>
      <w:r>
        <w:rPr>
          <w:rFonts w:hint="eastAsia" w:ascii="宋体" w:hAnsi="宋体" w:eastAsia="宋体" w:cs="宋体"/>
          <w:bCs/>
          <w:color w:val="auto"/>
          <w:sz w:val="24"/>
          <w:u w:val="single"/>
          <w:lang w:val="en-US" w:eastAsia="zh-CN"/>
        </w:rPr>
        <w:t>中国合格评定国家认可委员会实验室认可证书（CNAS）(检测能力范围包含脱销催化剂)</w:t>
      </w:r>
      <w:r>
        <w:rPr>
          <w:rFonts w:hint="eastAsia" w:ascii="宋体" w:hAnsi="宋体" w:eastAsia="宋体" w:cs="宋体"/>
          <w:bCs/>
          <w:sz w:val="24"/>
          <w:u w:val="single"/>
          <w:lang w:eastAsia="zh-CN"/>
        </w:rPr>
        <w:t>（</w:t>
      </w:r>
      <w:r>
        <w:rPr>
          <w:rFonts w:hint="eastAsia" w:ascii="宋体" w:hAnsi="宋体" w:eastAsia="宋体" w:cs="宋体"/>
          <w:bCs/>
          <w:sz w:val="24"/>
          <w:u w:val="single"/>
          <w:lang w:val="en-US" w:eastAsia="zh-CN"/>
        </w:rPr>
        <w:t>提供电子版复印件</w:t>
      </w:r>
      <w:r>
        <w:rPr>
          <w:rFonts w:hint="eastAsia" w:ascii="宋体" w:hAnsi="宋体" w:eastAsia="宋体" w:cs="宋体"/>
          <w:bCs/>
          <w:sz w:val="24"/>
          <w:u w:val="single"/>
          <w:lang w:eastAsia="zh-CN"/>
        </w:rPr>
        <w:t>）</w:t>
      </w:r>
      <w:r>
        <w:rPr>
          <w:rFonts w:hint="eastAsia" w:ascii="宋体" w:hAnsi="宋体" w:eastAsia="宋体" w:cs="宋体"/>
          <w:bCs/>
          <w:i/>
          <w:iCs/>
          <w:sz w:val="24"/>
          <w:u w:val="single"/>
        </w:rPr>
        <w:t>。</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05"/>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color w:val="auto"/>
          <w:sz w:val="24"/>
          <w:szCs w:val="24"/>
          <w:u w:val="none"/>
          <w:lang w:val="en-US" w:eastAsia="zh-CN"/>
        </w:rPr>
      </w:pPr>
      <w:r>
        <w:rPr>
          <w:rFonts w:hint="eastAsia" w:ascii="宋体" w:hAnsi="宋体" w:eastAsia="宋体" w:cs="宋体"/>
          <w:b/>
          <w:bCs/>
          <w:sz w:val="24"/>
        </w:rPr>
        <w:t>四、询价保</w:t>
      </w:r>
      <w:r>
        <w:rPr>
          <w:rFonts w:hint="eastAsia" w:ascii="宋体" w:hAnsi="宋体" w:eastAsia="宋体" w:cs="宋体"/>
          <w:b/>
          <w:bCs/>
          <w:color w:val="auto"/>
          <w:sz w:val="24"/>
        </w:rPr>
        <w:t>证金</w:t>
      </w:r>
      <w:r>
        <w:rPr>
          <w:rFonts w:hint="eastAsia" w:ascii="宋体" w:hAnsi="宋体" w:eastAsia="宋体" w:cs="宋体"/>
          <w:b/>
          <w:bCs/>
          <w:color w:val="auto"/>
          <w:sz w:val="24"/>
          <w:lang w:eastAsia="zh-CN"/>
        </w:rPr>
        <w:t>：</w:t>
      </w:r>
      <w:r>
        <w:rPr>
          <w:rFonts w:hint="eastAsia" w:ascii="宋体" w:hAnsi="宋体" w:eastAsia="宋体" w:cs="宋体"/>
          <w:b w:val="0"/>
          <w:bCs/>
          <w:color w:val="auto"/>
          <w:sz w:val="24"/>
          <w:szCs w:val="24"/>
          <w:u w:val="none"/>
          <w:lang w:val="en-US" w:eastAsia="zh-CN"/>
        </w:rPr>
        <w:t>本项目</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需要/</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 xml:space="preserve">不需要 </w:t>
      </w:r>
      <w:r>
        <w:rPr>
          <w:rFonts w:hint="eastAsia" w:ascii="宋体" w:hAnsi="宋体" w:eastAsia="宋体" w:cs="宋体"/>
          <w:b w:val="0"/>
          <w:bCs/>
          <w:color w:val="auto"/>
          <w:sz w:val="24"/>
          <w:szCs w:val="24"/>
          <w:u w:val="none"/>
          <w:lang w:val="en-US" w:eastAsia="zh-CN"/>
        </w:rPr>
        <w:t>交纳</w:t>
      </w:r>
      <w:r>
        <w:rPr>
          <w:rFonts w:hint="eastAsia" w:ascii="宋体" w:hAnsi="宋体" w:eastAsia="宋体" w:cs="宋体"/>
          <w:b w:val="0"/>
          <w:bCs/>
          <w:color w:val="auto"/>
          <w:sz w:val="24"/>
          <w:szCs w:val="24"/>
          <w:lang w:val="en-US" w:eastAsia="zh-CN"/>
        </w:rPr>
        <w:t>询价保证金。交纳投标保证金</w:t>
      </w:r>
      <w:r>
        <w:rPr>
          <w:rFonts w:hint="eastAsia" w:ascii="宋体" w:hAnsi="宋体" w:eastAsia="宋体" w:cs="宋体"/>
          <w:color w:val="auto"/>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1.缴纳</w:t>
      </w:r>
      <w:r>
        <w:rPr>
          <w:rFonts w:hint="eastAsia" w:ascii="宋体" w:hAnsi="宋体" w:eastAsia="宋体" w:cs="宋体"/>
          <w:b w:val="0"/>
          <w:bCs/>
          <w:color w:val="auto"/>
          <w:kern w:val="2"/>
          <w:sz w:val="24"/>
          <w:szCs w:val="24"/>
          <w:highlight w:val="none"/>
          <w:lang w:val="en-US" w:eastAsia="zh-CN" w:bidi="ar-SA"/>
        </w:rPr>
        <w:t>金额：</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lang w:val="en-US" w:eastAsia="zh-CN" w:bidi="ar-SA"/>
        </w:rPr>
        <w:t>元，同时注明：</w:t>
      </w:r>
      <w:r>
        <w:rPr>
          <w:rFonts w:hint="eastAsia" w:ascii="宋体" w:hAnsi="宋体" w:eastAsia="宋体" w:cs="宋体"/>
          <w:b w:val="0"/>
          <w:bCs/>
          <w:strike w:val="0"/>
          <w:dstrike w:val="0"/>
          <w:color w:val="auto"/>
          <w:kern w:val="2"/>
          <w:sz w:val="24"/>
          <w:szCs w:val="24"/>
          <w:u w:val="single"/>
          <w:lang w:val="en-US" w:eastAsia="zh-CN" w:bidi="ar-SA"/>
        </w:rPr>
        <w:t>/询价保证金</w:t>
      </w:r>
      <w:r>
        <w:rPr>
          <w:rFonts w:hint="eastAsia" w:ascii="宋体" w:hAnsi="宋体" w:eastAsia="宋体" w:cs="宋体"/>
          <w:b w:val="0"/>
          <w:bCs/>
          <w:color w:val="auto"/>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27</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8月15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bookmarkStart w:id="486" w:name="_GoBack"/>
      <w:bookmarkEnd w:id="486"/>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555745A9">
      <w:pPr>
        <w:rPr>
          <w:rFonts w:hint="eastAsia" w:ascii="宋体" w:hAnsi="宋体" w:eastAsia="宋体" w:cs="宋体"/>
          <w:b/>
          <w:bCs/>
          <w:sz w:val="36"/>
          <w:szCs w:val="36"/>
        </w:rPr>
      </w:pPr>
    </w:p>
    <w:p w14:paraId="4FD82480">
      <w:pPr>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hint="eastAsia" w:ascii="宋体" w:hAnsi="宋体" w:eastAsia="宋体" w:cs="宋体"/>
          <w:b/>
          <w:sz w:val="32"/>
        </w:rPr>
      </w:pPr>
    </w:p>
    <w:p w14:paraId="36E6A26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4"/>
        <w:spacing w:before="0"/>
        <w:ind w:firstLine="495" w:firstLineChars="0"/>
        <w:rPr>
          <w:rFonts w:hint="eastAsia" w:ascii="宋体" w:hAnsi="宋体" w:eastAsia="宋体" w:cs="宋体"/>
          <w:kern w:val="0"/>
          <w:szCs w:val="24"/>
        </w:rPr>
      </w:pPr>
    </w:p>
    <w:p w14:paraId="09C7ED89">
      <w:pPr>
        <w:pStyle w:val="24"/>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2F1E3AC2">
      <w:pPr>
        <w:keepNext w:val="0"/>
        <w:keepLines w:val="0"/>
        <w:pageBreakBefore w:val="0"/>
        <w:widowControl/>
        <w:suppressLineNumbers w:val="0"/>
        <w:kinsoku/>
        <w:wordWrap/>
        <w:overflowPunct/>
        <w:topLinePunct w:val="0"/>
        <w:bidi w:val="0"/>
        <w:snapToGrid/>
        <w:spacing w:line="360" w:lineRule="auto"/>
        <w:ind w:firstLine="240" w:firstLineChars="100"/>
        <w:jc w:val="left"/>
        <w:textAlignment w:val="auto"/>
        <w:rPr>
          <w:rFonts w:hint="eastAsia" w:hAnsi="宋体" w:cs="宋体" w:asciiTheme="minorHAnsi" w:eastAsiaTheme="minorEastAsia"/>
          <w:bCs/>
          <w:snapToGrid/>
          <w:color w:val="auto"/>
          <w:kern w:val="2"/>
          <w:sz w:val="24"/>
          <w:szCs w:val="24"/>
          <w:lang w:val="en-US" w:eastAsia="zh-CN" w:bidi="ar-SA"/>
        </w:rPr>
      </w:pPr>
      <w:r>
        <w:rPr>
          <w:rFonts w:hint="eastAsia" w:hAnsi="宋体" w:cs="宋体"/>
          <w:bCs/>
          <w:color w:val="auto"/>
          <w:sz w:val="24"/>
          <w:lang w:val="en-US" w:eastAsia="zh-CN"/>
        </w:rPr>
        <w:t>杭州临江环境能源有限公司需第三方单位对</w:t>
      </w:r>
      <w:r>
        <w:rPr>
          <w:rFonts w:hint="eastAsia" w:hAnsi="宋体" w:cs="宋体"/>
          <w:bCs/>
          <w:color w:val="auto"/>
          <w:sz w:val="24"/>
          <w:lang w:eastAsia="zh-CN"/>
        </w:rPr>
        <w:t>能源运行中心</w:t>
      </w:r>
      <w:r>
        <w:rPr>
          <w:rFonts w:hint="eastAsia" w:hAnsi="宋体" w:cs="宋体"/>
          <w:bCs/>
          <w:color w:val="auto"/>
          <w:sz w:val="24"/>
          <w:lang w:val="en-US" w:eastAsia="zh-CN"/>
        </w:rPr>
        <w:t>（垃圾焚烧厂）原#6炉更换下来的SCR低温催化剂（原催化剂制造商Ceram，设计使用温度170~180℃）进行性能指标检测，检测指标为SCR催化剂的几何比表面积、比表面积、主要化学成分(V205、WO3、Ti02 等)及微量元素、轴向抗压强度、径向抗压强度、磨损强度、活性、脱硝效率（使用温度170~180℃）、氨逃逸、S02 /S03 转化率</w:t>
      </w:r>
      <w:r>
        <w:rPr>
          <w:rFonts w:hint="eastAsia" w:hAnsi="宋体" w:cs="宋体"/>
          <w:bCs/>
          <w:snapToGrid/>
          <w:color w:val="auto"/>
          <w:kern w:val="2"/>
          <w:sz w:val="24"/>
          <w:szCs w:val="24"/>
          <w:lang w:val="en-US" w:eastAsia="zh-CN" w:bidi="ar-SA"/>
        </w:rPr>
        <w:t>。</w:t>
      </w:r>
    </w:p>
    <w:p w14:paraId="5C073101">
      <w:pPr>
        <w:pStyle w:val="7"/>
        <w:numPr>
          <w:ilvl w:val="0"/>
          <w:numId w:val="0"/>
        </w:numPr>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至采购人</w:t>
      </w:r>
      <w:r>
        <w:rPr>
          <w:rFonts w:hint="eastAsia" w:hAnsi="宋体" w:eastAsia="宋体" w:cs="宋体"/>
          <w:color w:val="auto"/>
          <w:sz w:val="24"/>
          <w:u w:val="single"/>
          <w:lang w:val="en-US" w:eastAsia="zh-CN"/>
        </w:rPr>
        <w:t>收到加盖CANS章的正式检测报告</w:t>
      </w:r>
      <w:r>
        <w:rPr>
          <w:rFonts w:hint="eastAsia" w:ascii="宋体" w:hAnsi="宋体"/>
          <w:color w:val="auto"/>
          <w:sz w:val="24"/>
          <w:u w:val="single"/>
          <w:lang w:val="en-US" w:eastAsia="zh-CN"/>
        </w:rPr>
        <w:t>后终止</w:t>
      </w:r>
      <w:r>
        <w:rPr>
          <w:rFonts w:hint="eastAsia" w:hAnsi="宋体"/>
          <w:color w:val="auto"/>
          <w:sz w:val="24"/>
          <w:u w:val="single"/>
          <w:lang w:val="en-US" w:eastAsia="zh-CN"/>
        </w:rPr>
        <w:t>。</w:t>
      </w:r>
    </w:p>
    <w:p w14:paraId="4AC69D29">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7A8101AC">
      <w:pPr>
        <w:pStyle w:val="8"/>
        <w:numPr>
          <w:ilvl w:val="0"/>
          <w:numId w:val="0"/>
        </w:numPr>
        <w:ind w:firstLine="480" w:firstLineChars="200"/>
        <w:rPr>
          <w:rFonts w:hint="eastAsia"/>
          <w:color w:val="auto"/>
          <w:lang w:val="en-US" w:eastAsia="zh-CN"/>
        </w:rPr>
      </w:pPr>
      <w:r>
        <w:rPr>
          <w:rFonts w:hint="eastAsia"/>
          <w:color w:val="auto"/>
          <w:lang w:val="en-US" w:eastAsia="zh-CN"/>
        </w:rPr>
        <w:t>供应商提交加盖CANS章的正式检测报告后视为验收通过。</w:t>
      </w:r>
    </w:p>
    <w:p w14:paraId="4493AC0E">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质量和</w:t>
      </w:r>
      <w:r>
        <w:rPr>
          <w:rFonts w:hint="eastAsia"/>
          <w:b/>
          <w:bCs/>
          <w:color w:val="auto"/>
          <w:lang w:val="en-US" w:eastAsia="zh-CN"/>
        </w:rPr>
        <w:t>服务要求</w:t>
      </w:r>
    </w:p>
    <w:p w14:paraId="07C68E24">
      <w:pPr>
        <w:pStyle w:val="8"/>
        <w:rPr>
          <w:rFonts w:hint="default" w:hAnsi="宋体" w:cs="宋体" w:asciiTheme="minorHAnsi" w:eastAsiaTheme="minorEastAsia"/>
          <w:bCs/>
          <w:snapToGrid/>
          <w:color w:val="auto"/>
          <w:kern w:val="2"/>
          <w:sz w:val="24"/>
          <w:szCs w:val="24"/>
          <w:lang w:val="en-US" w:eastAsia="zh-CN" w:bidi="ar-SA"/>
        </w:rPr>
      </w:pPr>
      <w:r>
        <w:rPr>
          <w:rFonts w:hint="eastAsia" w:hAnsi="宋体" w:cs="宋体" w:asciiTheme="minorHAnsi" w:eastAsiaTheme="minorEastAsia"/>
          <w:bCs/>
          <w:snapToGrid/>
          <w:color w:val="auto"/>
          <w:kern w:val="2"/>
          <w:sz w:val="24"/>
          <w:szCs w:val="24"/>
          <w:lang w:val="en-US" w:eastAsia="zh-CN" w:bidi="ar-SA"/>
        </w:rPr>
        <w:t>1.供应商检测技术标准应参照GB/T 31587-2015《</w:t>
      </w:r>
      <w:r>
        <w:rPr>
          <w:rFonts w:hint="eastAsia" w:hAnsi="宋体" w:cs="宋体" w:asciiTheme="minorHAnsi" w:eastAsiaTheme="minorEastAsia"/>
          <w:bCs/>
          <w:snapToGrid/>
          <w:color w:val="auto"/>
          <w:kern w:val="2"/>
          <w:sz w:val="24"/>
          <w:szCs w:val="24"/>
          <w:lang w:val="en-US" w:eastAsia="zh-CN" w:bidi="ar-SA"/>
        </w:rPr>
        <w:fldChar w:fldCharType="begin"/>
      </w:r>
      <w:r>
        <w:rPr>
          <w:rFonts w:hint="eastAsia" w:hAnsi="宋体" w:cs="宋体" w:asciiTheme="minorHAnsi" w:eastAsiaTheme="minorEastAsia"/>
          <w:bCs/>
          <w:snapToGrid/>
          <w:color w:val="auto"/>
          <w:kern w:val="2"/>
          <w:sz w:val="24"/>
          <w:szCs w:val="24"/>
          <w:lang w:val="en-US" w:eastAsia="zh-CN" w:bidi="ar-SA"/>
        </w:rPr>
        <w:instrText xml:space="preserve"> HYPERLINK "https://std.samr.gov.cn/gb/search/gbDetailed?id=71F772D80855D3A7E05397BE0A0AB82A" \t "https://std.samr.gov.cn/search/stdPage?q=GB/_blank" </w:instrText>
      </w:r>
      <w:r>
        <w:rPr>
          <w:rFonts w:hint="eastAsia" w:hAnsi="宋体" w:cs="宋体" w:asciiTheme="minorHAnsi" w:eastAsiaTheme="minorEastAsia"/>
          <w:bCs/>
          <w:snapToGrid/>
          <w:color w:val="auto"/>
          <w:kern w:val="2"/>
          <w:sz w:val="24"/>
          <w:szCs w:val="24"/>
          <w:lang w:val="en-US" w:eastAsia="zh-CN" w:bidi="ar-SA"/>
        </w:rPr>
        <w:fldChar w:fldCharType="separate"/>
      </w:r>
      <w:r>
        <w:rPr>
          <w:rFonts w:hint="default" w:hAnsi="宋体" w:cs="宋体" w:asciiTheme="minorHAnsi" w:eastAsiaTheme="minorEastAsia"/>
          <w:bCs/>
          <w:snapToGrid/>
          <w:color w:val="auto"/>
          <w:kern w:val="2"/>
          <w:sz w:val="24"/>
          <w:szCs w:val="24"/>
          <w:lang w:val="en-US" w:eastAsia="zh-CN" w:bidi="ar-SA"/>
        </w:rPr>
        <w:t>蜂窝式烟气脱硝催化剂</w:t>
      </w:r>
      <w:r>
        <w:rPr>
          <w:rFonts w:hint="default" w:hAnsi="宋体" w:cs="宋体" w:asciiTheme="minorHAnsi" w:eastAsiaTheme="minorEastAsia"/>
          <w:bCs/>
          <w:snapToGrid/>
          <w:color w:val="auto"/>
          <w:kern w:val="2"/>
          <w:sz w:val="24"/>
          <w:szCs w:val="24"/>
          <w:lang w:val="en-US" w:eastAsia="zh-CN" w:bidi="ar-SA"/>
        </w:rPr>
        <w:fldChar w:fldCharType="end"/>
      </w:r>
      <w:r>
        <w:rPr>
          <w:rFonts w:hint="eastAsia" w:hAnsi="宋体" w:cs="宋体" w:asciiTheme="minorHAnsi" w:eastAsiaTheme="minorEastAsia"/>
          <w:bCs/>
          <w:snapToGrid/>
          <w:color w:val="auto"/>
          <w:kern w:val="2"/>
          <w:sz w:val="24"/>
          <w:szCs w:val="24"/>
          <w:lang w:val="en-US" w:eastAsia="zh-CN" w:bidi="ar-SA"/>
        </w:rPr>
        <w:t>》执行。</w:t>
      </w:r>
    </w:p>
    <w:p w14:paraId="7003B50F">
      <w:pPr>
        <w:pStyle w:val="8"/>
        <w:rPr>
          <w:rFonts w:hint="default" w:hAnsi="宋体" w:cs="宋体" w:asciiTheme="minorHAnsi" w:eastAsiaTheme="minorEastAsia"/>
          <w:bCs/>
          <w:snapToGrid/>
          <w:color w:val="auto"/>
          <w:kern w:val="2"/>
          <w:sz w:val="24"/>
          <w:szCs w:val="24"/>
          <w:lang w:val="en-US" w:eastAsia="zh-CN" w:bidi="ar-SA"/>
        </w:rPr>
      </w:pPr>
      <w:r>
        <w:rPr>
          <w:rFonts w:hint="eastAsia" w:hAnsi="宋体" w:cs="宋体" w:asciiTheme="minorHAnsi" w:eastAsiaTheme="minorEastAsia"/>
          <w:bCs/>
          <w:snapToGrid/>
          <w:color w:val="auto"/>
          <w:kern w:val="2"/>
          <w:sz w:val="24"/>
          <w:szCs w:val="24"/>
          <w:lang w:val="en-US" w:eastAsia="zh-CN" w:bidi="ar-SA"/>
        </w:rPr>
        <w:t>2.供应商安排专人上门取样。</w:t>
      </w:r>
    </w:p>
    <w:p w14:paraId="789F33D6">
      <w:pPr>
        <w:pStyle w:val="8"/>
        <w:rPr>
          <w:rFonts w:hint="default" w:ascii="宋体" w:hAnsi="宋体" w:eastAsia="宋体" w:cs="宋体"/>
          <w:b/>
          <w:bCs/>
          <w:color w:val="auto"/>
          <w:lang w:val="en-US" w:eastAsia="zh-CN"/>
        </w:rPr>
      </w:pPr>
      <w:r>
        <w:rPr>
          <w:rFonts w:hint="eastAsia" w:hAnsi="宋体" w:cs="宋体" w:asciiTheme="minorHAnsi" w:eastAsiaTheme="minorEastAsia"/>
          <w:bCs/>
          <w:snapToGrid/>
          <w:color w:val="auto"/>
          <w:kern w:val="2"/>
          <w:sz w:val="24"/>
          <w:szCs w:val="24"/>
          <w:lang w:val="en-US" w:eastAsia="zh-CN" w:bidi="ar-SA"/>
        </w:rPr>
        <w:t>3.供应商应在合同签订完成后2个月内完成SCR催化剂的所有检测项目，出具正式检测报告并加盖CANS章。</w:t>
      </w:r>
    </w:p>
    <w:p w14:paraId="2EF6AEB6">
      <w:pPr>
        <w:pStyle w:val="7"/>
        <w:numPr>
          <w:ilvl w:val="0"/>
          <w:numId w:val="0"/>
        </w:numPr>
        <w:ind w:firstLine="482" w:firstLineChars="200"/>
        <w:rPr>
          <w:rFonts w:hint="eastAsia"/>
          <w:b/>
          <w:bCs/>
          <w:color w:val="auto"/>
          <w:lang w:val="en-US" w:eastAsia="zh-CN"/>
        </w:rPr>
      </w:pPr>
      <w:r>
        <w:rPr>
          <w:rFonts w:hint="eastAsia" w:ascii="宋体" w:hAnsi="宋体" w:eastAsia="宋体" w:cs="宋体"/>
          <w:b/>
          <w:bCs/>
          <w:color w:val="auto"/>
          <w:lang w:val="en-US" w:eastAsia="zh-CN"/>
        </w:rPr>
        <w:t>▲</w:t>
      </w:r>
      <w:r>
        <w:rPr>
          <w:rFonts w:hint="eastAsia"/>
          <w:b/>
          <w:bCs/>
          <w:color w:val="auto"/>
          <w:lang w:val="en-US" w:eastAsia="zh-CN"/>
        </w:rPr>
        <w:t>五、结算方式</w:t>
      </w:r>
    </w:p>
    <w:p w14:paraId="5709A167">
      <w:pPr>
        <w:pStyle w:val="8"/>
        <w:ind w:firstLine="480" w:firstLineChars="200"/>
        <w:rPr>
          <w:rFonts w:hint="eastAsia"/>
          <w:u w:val="none"/>
          <w:lang w:val="en-US" w:eastAsia="zh-CN"/>
        </w:rPr>
      </w:pPr>
      <w:r>
        <w:rPr>
          <w:rFonts w:hint="eastAsia"/>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hAnsi="宋体" w:eastAsia="宋体" w:cs="宋体"/>
          <w:b/>
          <w:bCs/>
          <w:lang w:val="en-US" w:eastAsia="zh-CN"/>
        </w:rPr>
        <w:t>六</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2EBF00F">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87"/>
      <w:bookmarkEnd w:id="19"/>
      <w:bookmarkStart w:id="20" w:name="_Toc184313260"/>
      <w:bookmarkEnd w:id="20"/>
      <w:bookmarkStart w:id="21" w:name="_Toc184308046"/>
      <w:bookmarkEnd w:id="21"/>
      <w:bookmarkStart w:id="22" w:name="_Toc184313308"/>
      <w:bookmarkEnd w:id="22"/>
      <w:bookmarkStart w:id="23" w:name="_Toc184313300"/>
      <w:bookmarkEnd w:id="23"/>
      <w:bookmarkStart w:id="24" w:name="_Toc184310286"/>
      <w:bookmarkEnd w:id="24"/>
      <w:bookmarkStart w:id="25" w:name="_Toc184308053"/>
      <w:bookmarkEnd w:id="25"/>
      <w:bookmarkStart w:id="26" w:name="_Toc184314468"/>
      <w:bookmarkEnd w:id="26"/>
      <w:bookmarkStart w:id="27" w:name="_Toc184312103"/>
      <w:bookmarkEnd w:id="27"/>
      <w:bookmarkStart w:id="28" w:name="_Toc184313254"/>
      <w:bookmarkEnd w:id="28"/>
      <w:bookmarkStart w:id="29" w:name="_Toc184308081"/>
      <w:bookmarkEnd w:id="29"/>
      <w:bookmarkStart w:id="30" w:name="_Toc184313242"/>
      <w:bookmarkEnd w:id="30"/>
      <w:bookmarkStart w:id="31" w:name="_Toc184310276"/>
      <w:bookmarkEnd w:id="31"/>
      <w:bookmarkStart w:id="32" w:name="_Toc184312107"/>
      <w:bookmarkEnd w:id="32"/>
      <w:bookmarkStart w:id="33" w:name="_Toc184310324"/>
      <w:bookmarkEnd w:id="33"/>
      <w:bookmarkStart w:id="34" w:name="_Toc184308062"/>
      <w:bookmarkEnd w:id="34"/>
      <w:bookmarkStart w:id="35" w:name="_Toc184313293"/>
      <w:bookmarkEnd w:id="35"/>
      <w:bookmarkStart w:id="36" w:name="_Toc184308044"/>
      <w:bookmarkEnd w:id="36"/>
      <w:bookmarkStart w:id="37" w:name="_Toc184310314"/>
      <w:bookmarkEnd w:id="37"/>
      <w:bookmarkStart w:id="38" w:name="_Toc184314430"/>
      <w:bookmarkEnd w:id="38"/>
      <w:bookmarkStart w:id="39" w:name="_Toc184312128"/>
      <w:bookmarkEnd w:id="39"/>
      <w:bookmarkStart w:id="40" w:name="_Toc184312096"/>
      <w:bookmarkEnd w:id="40"/>
      <w:bookmarkStart w:id="41" w:name="_Toc184310294"/>
      <w:bookmarkEnd w:id="41"/>
      <w:bookmarkStart w:id="42" w:name="_Toc184313281"/>
      <w:bookmarkEnd w:id="42"/>
      <w:bookmarkStart w:id="43" w:name="_Toc184312121"/>
      <w:bookmarkEnd w:id="43"/>
      <w:bookmarkStart w:id="44" w:name="_Toc184312101"/>
      <w:bookmarkEnd w:id="44"/>
      <w:bookmarkStart w:id="45" w:name="_Toc184312138"/>
      <w:bookmarkEnd w:id="45"/>
      <w:bookmarkStart w:id="46" w:name="_Toc184310295"/>
      <w:bookmarkEnd w:id="46"/>
      <w:bookmarkStart w:id="47" w:name="_Toc184314420"/>
      <w:bookmarkEnd w:id="47"/>
      <w:bookmarkStart w:id="48" w:name="_Toc184310308"/>
      <w:bookmarkEnd w:id="48"/>
      <w:bookmarkStart w:id="49" w:name="_Toc184313279"/>
      <w:bookmarkEnd w:id="49"/>
      <w:bookmarkStart w:id="50" w:name="_Toc184313270"/>
      <w:bookmarkEnd w:id="50"/>
      <w:bookmarkStart w:id="51" w:name="_Toc184313245"/>
      <w:bookmarkEnd w:id="51"/>
      <w:bookmarkStart w:id="52" w:name="_Toc184308096"/>
      <w:bookmarkEnd w:id="52"/>
      <w:bookmarkStart w:id="53" w:name="_Toc184310342"/>
      <w:bookmarkEnd w:id="53"/>
      <w:bookmarkStart w:id="54" w:name="_Toc184314411"/>
      <w:bookmarkEnd w:id="54"/>
      <w:bookmarkStart w:id="55" w:name="_Toc184308090"/>
      <w:bookmarkEnd w:id="55"/>
      <w:bookmarkStart w:id="56" w:name="_Toc184310275"/>
      <w:bookmarkEnd w:id="56"/>
      <w:bookmarkStart w:id="57" w:name="_Toc184312112"/>
      <w:bookmarkEnd w:id="57"/>
      <w:bookmarkStart w:id="58" w:name="_Toc184308061"/>
      <w:bookmarkEnd w:id="58"/>
      <w:bookmarkStart w:id="59" w:name="_Toc184310325"/>
      <w:bookmarkEnd w:id="59"/>
      <w:bookmarkStart w:id="60" w:name="_Toc184308106"/>
      <w:bookmarkEnd w:id="60"/>
      <w:bookmarkStart w:id="61" w:name="_Toc184312090"/>
      <w:bookmarkEnd w:id="61"/>
      <w:bookmarkStart w:id="62" w:name="_Toc184308043"/>
      <w:bookmarkEnd w:id="62"/>
      <w:bookmarkStart w:id="63" w:name="_Toc184313307"/>
      <w:bookmarkEnd w:id="63"/>
      <w:bookmarkStart w:id="64" w:name="_Toc184310287"/>
      <w:bookmarkEnd w:id="64"/>
      <w:bookmarkStart w:id="65" w:name="_Toc184314463"/>
      <w:bookmarkEnd w:id="65"/>
      <w:bookmarkStart w:id="66" w:name="_Toc184313239"/>
      <w:bookmarkEnd w:id="66"/>
      <w:bookmarkStart w:id="67" w:name="_Toc184313297"/>
      <w:bookmarkEnd w:id="67"/>
      <w:bookmarkStart w:id="68" w:name="_Toc184310279"/>
      <w:bookmarkEnd w:id="68"/>
      <w:bookmarkStart w:id="69" w:name="_Toc184312102"/>
      <w:bookmarkEnd w:id="69"/>
      <w:bookmarkStart w:id="70" w:name="_Toc184312082"/>
      <w:bookmarkEnd w:id="70"/>
      <w:bookmarkStart w:id="71" w:name="_Toc184312100"/>
      <w:bookmarkEnd w:id="71"/>
      <w:bookmarkStart w:id="72" w:name="_Toc184310282"/>
      <w:bookmarkEnd w:id="72"/>
      <w:bookmarkStart w:id="73" w:name="_Toc184308052"/>
      <w:bookmarkEnd w:id="73"/>
      <w:bookmarkStart w:id="74" w:name="_Toc184314427"/>
      <w:bookmarkEnd w:id="74"/>
      <w:bookmarkStart w:id="75" w:name="_Toc184314444"/>
      <w:bookmarkEnd w:id="75"/>
      <w:bookmarkStart w:id="76" w:name="_Toc184308054"/>
      <w:bookmarkEnd w:id="76"/>
      <w:bookmarkStart w:id="77" w:name="_Toc184314481"/>
      <w:bookmarkEnd w:id="77"/>
      <w:bookmarkStart w:id="78" w:name="_Toc184310329"/>
      <w:bookmarkEnd w:id="78"/>
      <w:bookmarkStart w:id="79" w:name="_Toc184314441"/>
      <w:bookmarkEnd w:id="79"/>
      <w:bookmarkStart w:id="80" w:name="_Toc184314437"/>
      <w:bookmarkEnd w:id="80"/>
      <w:bookmarkStart w:id="81" w:name="_Toc184313285"/>
      <w:bookmarkEnd w:id="81"/>
      <w:bookmarkStart w:id="82" w:name="_Toc184314475"/>
      <w:bookmarkEnd w:id="82"/>
      <w:bookmarkStart w:id="83" w:name="_Toc184308039"/>
      <w:bookmarkEnd w:id="83"/>
      <w:bookmarkStart w:id="84" w:name="_Toc184308045"/>
      <w:bookmarkEnd w:id="84"/>
      <w:bookmarkStart w:id="85" w:name="_Toc184312125"/>
      <w:bookmarkEnd w:id="85"/>
      <w:bookmarkStart w:id="86" w:name="_Toc184314478"/>
      <w:bookmarkEnd w:id="86"/>
      <w:bookmarkStart w:id="87" w:name="_Toc184314477"/>
      <w:bookmarkEnd w:id="87"/>
      <w:bookmarkStart w:id="88" w:name="_Toc184308105"/>
      <w:bookmarkEnd w:id="88"/>
      <w:bookmarkStart w:id="89" w:name="_Toc184313256"/>
      <w:bookmarkEnd w:id="89"/>
      <w:bookmarkStart w:id="90" w:name="_Toc184313252"/>
      <w:bookmarkEnd w:id="90"/>
      <w:bookmarkStart w:id="91" w:name="_Toc184314461"/>
      <w:bookmarkEnd w:id="91"/>
      <w:bookmarkStart w:id="92" w:name="_Toc184308042"/>
      <w:bookmarkEnd w:id="92"/>
      <w:bookmarkStart w:id="93" w:name="_Toc184313284"/>
      <w:bookmarkEnd w:id="93"/>
      <w:bookmarkStart w:id="94" w:name="_Toc184313278"/>
      <w:bookmarkEnd w:id="94"/>
      <w:bookmarkStart w:id="95" w:name="_Toc184312131"/>
      <w:bookmarkEnd w:id="95"/>
      <w:bookmarkStart w:id="96" w:name="_Toc184310317"/>
      <w:bookmarkEnd w:id="96"/>
      <w:bookmarkStart w:id="97" w:name="_Toc184308091"/>
      <w:bookmarkEnd w:id="97"/>
      <w:bookmarkStart w:id="98" w:name="_Toc184312085"/>
      <w:bookmarkEnd w:id="98"/>
      <w:bookmarkStart w:id="99" w:name="_Toc184312126"/>
      <w:bookmarkEnd w:id="99"/>
      <w:bookmarkStart w:id="100" w:name="_Toc184312072"/>
      <w:bookmarkEnd w:id="100"/>
      <w:bookmarkStart w:id="101" w:name="_Toc184312075"/>
      <w:bookmarkEnd w:id="101"/>
      <w:bookmarkStart w:id="102" w:name="_Toc184312139"/>
      <w:bookmarkEnd w:id="102"/>
      <w:bookmarkStart w:id="103" w:name="_Toc184308089"/>
      <w:bookmarkEnd w:id="103"/>
      <w:bookmarkStart w:id="104" w:name="_Toc184313264"/>
      <w:bookmarkEnd w:id="104"/>
      <w:bookmarkStart w:id="105" w:name="_Toc184310301"/>
      <w:bookmarkEnd w:id="105"/>
      <w:bookmarkStart w:id="106" w:name="_Toc184312093"/>
      <w:bookmarkEnd w:id="106"/>
      <w:bookmarkStart w:id="107" w:name="_Toc184310341"/>
      <w:bookmarkEnd w:id="107"/>
      <w:bookmarkStart w:id="108" w:name="_Toc184312087"/>
      <w:bookmarkEnd w:id="108"/>
      <w:bookmarkStart w:id="109" w:name="_Toc184312116"/>
      <w:bookmarkEnd w:id="109"/>
      <w:bookmarkStart w:id="110" w:name="_Toc184308050"/>
      <w:bookmarkEnd w:id="110"/>
      <w:bookmarkStart w:id="111" w:name="_Toc184310289"/>
      <w:bookmarkEnd w:id="111"/>
      <w:bookmarkStart w:id="112" w:name="_Toc184310335"/>
      <w:bookmarkEnd w:id="112"/>
      <w:bookmarkStart w:id="113" w:name="_Toc184308094"/>
      <w:bookmarkEnd w:id="113"/>
      <w:bookmarkStart w:id="114" w:name="_Toc184308063"/>
      <w:bookmarkEnd w:id="114"/>
      <w:bookmarkStart w:id="115" w:name="_Toc184314424"/>
      <w:bookmarkEnd w:id="115"/>
      <w:bookmarkStart w:id="116" w:name="_Toc184313261"/>
      <w:bookmarkEnd w:id="116"/>
      <w:bookmarkStart w:id="117" w:name="_Toc184314440"/>
      <w:bookmarkEnd w:id="117"/>
      <w:bookmarkStart w:id="118" w:name="_Toc184314482"/>
      <w:bookmarkEnd w:id="118"/>
      <w:bookmarkStart w:id="119" w:name="_Toc184313298"/>
      <w:bookmarkEnd w:id="119"/>
      <w:bookmarkStart w:id="120" w:name="_Toc184310313"/>
      <w:bookmarkEnd w:id="120"/>
      <w:bookmarkStart w:id="121" w:name="_Toc184310337"/>
      <w:bookmarkEnd w:id="121"/>
      <w:bookmarkStart w:id="122" w:name="_Toc184312076"/>
      <w:bookmarkEnd w:id="122"/>
      <w:bookmarkStart w:id="123" w:name="_Toc184313302"/>
      <w:bookmarkEnd w:id="123"/>
      <w:bookmarkStart w:id="124" w:name="_Toc184308072"/>
      <w:bookmarkEnd w:id="124"/>
      <w:bookmarkStart w:id="125" w:name="_Toc184314421"/>
      <w:bookmarkEnd w:id="125"/>
      <w:bookmarkStart w:id="126" w:name="_Toc184308101"/>
      <w:bookmarkEnd w:id="126"/>
      <w:bookmarkStart w:id="127" w:name="_Toc184310283"/>
      <w:bookmarkEnd w:id="127"/>
      <w:bookmarkStart w:id="128" w:name="_Toc184312099"/>
      <w:bookmarkEnd w:id="128"/>
      <w:bookmarkStart w:id="129" w:name="_Toc184314426"/>
      <w:bookmarkEnd w:id="129"/>
      <w:bookmarkStart w:id="130" w:name="_Toc184308041"/>
      <w:bookmarkEnd w:id="130"/>
      <w:bookmarkStart w:id="131" w:name="_Toc184314453"/>
      <w:bookmarkEnd w:id="131"/>
      <w:bookmarkStart w:id="132" w:name="_Toc184314473"/>
      <w:bookmarkEnd w:id="132"/>
      <w:bookmarkStart w:id="133" w:name="_Toc184308073"/>
      <w:bookmarkEnd w:id="133"/>
      <w:bookmarkStart w:id="134" w:name="_Toc184310304"/>
      <w:bookmarkEnd w:id="134"/>
      <w:bookmarkStart w:id="135" w:name="_Toc184310277"/>
      <w:bookmarkEnd w:id="135"/>
      <w:bookmarkStart w:id="136" w:name="_Toc184308088"/>
      <w:bookmarkEnd w:id="136"/>
      <w:bookmarkStart w:id="137" w:name="_Toc184310319"/>
      <w:bookmarkEnd w:id="137"/>
      <w:bookmarkStart w:id="138" w:name="_Toc184313291"/>
      <w:bookmarkEnd w:id="138"/>
      <w:bookmarkStart w:id="139" w:name="_Toc184308100"/>
      <w:bookmarkEnd w:id="139"/>
      <w:bookmarkStart w:id="140" w:name="_Toc184312091"/>
      <w:bookmarkEnd w:id="140"/>
      <w:bookmarkStart w:id="141" w:name="_Toc184313303"/>
      <w:bookmarkEnd w:id="141"/>
      <w:bookmarkStart w:id="142" w:name="_Toc184310312"/>
      <w:bookmarkEnd w:id="142"/>
      <w:bookmarkStart w:id="143" w:name="_Toc184308040"/>
      <w:bookmarkEnd w:id="143"/>
      <w:bookmarkStart w:id="144" w:name="_Toc184308048"/>
      <w:bookmarkEnd w:id="144"/>
      <w:bookmarkStart w:id="145" w:name="_Toc184313262"/>
      <w:bookmarkEnd w:id="145"/>
      <w:bookmarkStart w:id="146" w:name="_Toc184314451"/>
      <w:bookmarkEnd w:id="146"/>
      <w:bookmarkStart w:id="147" w:name="_Toc184312122"/>
      <w:bookmarkEnd w:id="147"/>
      <w:bookmarkStart w:id="148" w:name="_Toc184310296"/>
      <w:bookmarkEnd w:id="148"/>
      <w:bookmarkStart w:id="149" w:name="_Toc184312074"/>
      <w:bookmarkEnd w:id="149"/>
      <w:bookmarkStart w:id="150" w:name="_Toc184313286"/>
      <w:bookmarkEnd w:id="150"/>
      <w:bookmarkStart w:id="151" w:name="_Toc184308099"/>
      <w:bookmarkEnd w:id="151"/>
      <w:bookmarkStart w:id="152" w:name="_Toc184312098"/>
      <w:bookmarkEnd w:id="152"/>
      <w:bookmarkStart w:id="153" w:name="_Toc184308074"/>
      <w:bookmarkEnd w:id="153"/>
      <w:bookmarkStart w:id="154" w:name="_Toc184308059"/>
      <w:bookmarkEnd w:id="154"/>
      <w:bookmarkStart w:id="155" w:name="_Toc184312136"/>
      <w:bookmarkEnd w:id="155"/>
      <w:bookmarkStart w:id="156" w:name="_Toc184313257"/>
      <w:bookmarkEnd w:id="156"/>
      <w:bookmarkStart w:id="157" w:name="_Toc184312070"/>
      <w:bookmarkEnd w:id="157"/>
      <w:bookmarkStart w:id="158" w:name="_Toc184312105"/>
      <w:bookmarkEnd w:id="158"/>
      <w:bookmarkStart w:id="159" w:name="_Toc184310327"/>
      <w:bookmarkEnd w:id="159"/>
      <w:bookmarkStart w:id="160" w:name="_Toc184314413"/>
      <w:bookmarkEnd w:id="160"/>
      <w:bookmarkStart w:id="161" w:name="_Toc184308086"/>
      <w:bookmarkEnd w:id="161"/>
      <w:bookmarkStart w:id="162" w:name="_Toc184308066"/>
      <w:bookmarkEnd w:id="162"/>
      <w:bookmarkStart w:id="163" w:name="_Toc184314456"/>
      <w:bookmarkEnd w:id="163"/>
      <w:bookmarkStart w:id="164" w:name="_Toc184308095"/>
      <w:bookmarkEnd w:id="164"/>
      <w:bookmarkStart w:id="165" w:name="_Toc184314415"/>
      <w:bookmarkEnd w:id="165"/>
      <w:bookmarkStart w:id="166" w:name="_Toc184313259"/>
      <w:bookmarkEnd w:id="166"/>
      <w:bookmarkStart w:id="167" w:name="_Toc184308060"/>
      <w:bookmarkEnd w:id="167"/>
      <w:bookmarkStart w:id="168" w:name="_Toc184312130"/>
      <w:bookmarkEnd w:id="168"/>
      <w:bookmarkStart w:id="169" w:name="_Toc184314464"/>
      <w:bookmarkEnd w:id="169"/>
      <w:bookmarkStart w:id="170" w:name="_Toc184314429"/>
      <w:bookmarkEnd w:id="170"/>
      <w:bookmarkStart w:id="171" w:name="_Toc184314474"/>
      <w:bookmarkEnd w:id="171"/>
      <w:bookmarkStart w:id="172" w:name="_Toc184308067"/>
      <w:bookmarkEnd w:id="172"/>
      <w:bookmarkStart w:id="173" w:name="_Toc184312133"/>
      <w:bookmarkEnd w:id="173"/>
      <w:bookmarkStart w:id="174" w:name="_Toc184314443"/>
      <w:bookmarkEnd w:id="174"/>
      <w:bookmarkStart w:id="175" w:name="_Toc184314438"/>
      <w:bookmarkEnd w:id="175"/>
      <w:bookmarkStart w:id="176" w:name="_Toc184313294"/>
      <w:bookmarkEnd w:id="176"/>
      <w:bookmarkStart w:id="177" w:name="_Toc184313241"/>
      <w:bookmarkEnd w:id="177"/>
      <w:bookmarkStart w:id="178" w:name="_Toc184308049"/>
      <w:bookmarkEnd w:id="178"/>
      <w:bookmarkStart w:id="179" w:name="_Toc184312137"/>
      <w:bookmarkEnd w:id="179"/>
      <w:bookmarkStart w:id="180" w:name="_Toc184310272"/>
      <w:bookmarkEnd w:id="180"/>
      <w:bookmarkStart w:id="181" w:name="_Toc184312118"/>
      <w:bookmarkEnd w:id="181"/>
      <w:bookmarkStart w:id="182" w:name="_Toc184313238"/>
      <w:bookmarkEnd w:id="182"/>
      <w:bookmarkStart w:id="183" w:name="_Toc184312083"/>
      <w:bookmarkEnd w:id="183"/>
      <w:bookmarkStart w:id="184" w:name="_Toc184313255"/>
      <w:bookmarkEnd w:id="184"/>
      <w:bookmarkStart w:id="185" w:name="_Toc184312127"/>
      <w:bookmarkEnd w:id="185"/>
      <w:bookmarkStart w:id="186" w:name="_Toc184312086"/>
      <w:bookmarkEnd w:id="186"/>
      <w:bookmarkStart w:id="187" w:name="_Toc184310273"/>
      <w:bookmarkEnd w:id="187"/>
      <w:bookmarkStart w:id="188" w:name="_Toc184312073"/>
      <w:bookmarkEnd w:id="188"/>
      <w:bookmarkStart w:id="189" w:name="_Toc184314459"/>
      <w:bookmarkEnd w:id="189"/>
      <w:bookmarkStart w:id="190" w:name="_Toc184310340"/>
      <w:bookmarkEnd w:id="190"/>
      <w:bookmarkStart w:id="191" w:name="_Toc184310344"/>
      <w:bookmarkEnd w:id="191"/>
      <w:bookmarkStart w:id="192" w:name="_Toc184314479"/>
      <w:bookmarkEnd w:id="192"/>
      <w:bookmarkStart w:id="193" w:name="_Toc184310338"/>
      <w:bookmarkEnd w:id="193"/>
      <w:bookmarkStart w:id="194" w:name="_Toc184310339"/>
      <w:bookmarkEnd w:id="194"/>
      <w:bookmarkStart w:id="195" w:name="_Toc184314457"/>
      <w:bookmarkEnd w:id="195"/>
      <w:bookmarkStart w:id="196" w:name="_Toc184312111"/>
      <w:bookmarkEnd w:id="196"/>
      <w:bookmarkStart w:id="197" w:name="_Toc184314448"/>
      <w:bookmarkEnd w:id="197"/>
      <w:bookmarkStart w:id="198" w:name="_Toc184313292"/>
      <w:bookmarkEnd w:id="198"/>
      <w:bookmarkStart w:id="199" w:name="_Toc184312115"/>
      <w:bookmarkEnd w:id="199"/>
      <w:bookmarkStart w:id="200" w:name="_Toc184312135"/>
      <w:bookmarkEnd w:id="200"/>
      <w:bookmarkStart w:id="201" w:name="_Toc184314418"/>
      <w:bookmarkEnd w:id="201"/>
      <w:bookmarkStart w:id="202" w:name="_Toc184312108"/>
      <w:bookmarkEnd w:id="202"/>
      <w:bookmarkStart w:id="203" w:name="_Toc184314434"/>
      <w:bookmarkEnd w:id="203"/>
      <w:bookmarkStart w:id="204" w:name="_Toc184310298"/>
      <w:bookmarkEnd w:id="204"/>
      <w:bookmarkStart w:id="205" w:name="_Toc184313250"/>
      <w:bookmarkEnd w:id="205"/>
      <w:bookmarkStart w:id="206" w:name="_Toc184314432"/>
      <w:bookmarkEnd w:id="206"/>
      <w:bookmarkStart w:id="207" w:name="_Toc184308069"/>
      <w:bookmarkEnd w:id="207"/>
      <w:bookmarkStart w:id="208" w:name="_Toc184308107"/>
      <w:bookmarkEnd w:id="208"/>
      <w:bookmarkStart w:id="209" w:name="_Toc184308047"/>
      <w:bookmarkEnd w:id="209"/>
      <w:bookmarkStart w:id="210" w:name="_Toc184310310"/>
      <w:bookmarkEnd w:id="210"/>
      <w:bookmarkStart w:id="211" w:name="_Toc184310309"/>
      <w:bookmarkEnd w:id="211"/>
      <w:bookmarkStart w:id="212" w:name="_Toc184310299"/>
      <w:bookmarkEnd w:id="212"/>
      <w:bookmarkStart w:id="213" w:name="_Toc184312110"/>
      <w:bookmarkEnd w:id="213"/>
      <w:bookmarkStart w:id="214" w:name="_Toc184314414"/>
      <w:bookmarkEnd w:id="214"/>
      <w:bookmarkStart w:id="215" w:name="_Toc184310284"/>
      <w:bookmarkEnd w:id="215"/>
      <w:bookmarkStart w:id="216" w:name="_Toc184312068"/>
      <w:bookmarkEnd w:id="216"/>
      <w:bookmarkStart w:id="217" w:name="_Toc184312132"/>
      <w:bookmarkEnd w:id="217"/>
      <w:bookmarkStart w:id="218" w:name="_Toc184313274"/>
      <w:bookmarkEnd w:id="218"/>
      <w:bookmarkStart w:id="219" w:name="_Toc184314442"/>
      <w:bookmarkEnd w:id="219"/>
      <w:bookmarkStart w:id="220" w:name="_Toc184314422"/>
      <w:bookmarkEnd w:id="220"/>
      <w:bookmarkStart w:id="221" w:name="_Toc184314419"/>
      <w:bookmarkEnd w:id="221"/>
      <w:bookmarkStart w:id="222" w:name="_Toc184310323"/>
      <w:bookmarkEnd w:id="222"/>
      <w:bookmarkStart w:id="223" w:name="_Toc184313310"/>
      <w:bookmarkEnd w:id="223"/>
      <w:bookmarkStart w:id="224" w:name="_Toc184313272"/>
      <w:bookmarkEnd w:id="224"/>
      <w:bookmarkStart w:id="225" w:name="_Toc184310300"/>
      <w:bookmarkEnd w:id="225"/>
      <w:bookmarkStart w:id="226" w:name="_Toc184314450"/>
      <w:bookmarkEnd w:id="226"/>
      <w:bookmarkStart w:id="227" w:name="_Toc184308076"/>
      <w:bookmarkEnd w:id="227"/>
      <w:bookmarkStart w:id="228" w:name="_Toc184310343"/>
      <w:bookmarkEnd w:id="228"/>
      <w:bookmarkStart w:id="229" w:name="_Toc184308083"/>
      <w:bookmarkEnd w:id="229"/>
      <w:bookmarkStart w:id="230" w:name="_Toc184313289"/>
      <w:bookmarkEnd w:id="230"/>
      <w:bookmarkStart w:id="231" w:name="_Toc184313299"/>
      <w:bookmarkEnd w:id="231"/>
      <w:bookmarkStart w:id="232" w:name="_Toc184313306"/>
      <w:bookmarkEnd w:id="232"/>
      <w:bookmarkStart w:id="233" w:name="_Toc184314469"/>
      <w:bookmarkEnd w:id="233"/>
      <w:bookmarkStart w:id="234" w:name="_Toc184314445"/>
      <w:bookmarkEnd w:id="234"/>
      <w:bookmarkStart w:id="235" w:name="_Toc184310278"/>
      <w:bookmarkEnd w:id="235"/>
      <w:bookmarkStart w:id="236" w:name="_Toc184308057"/>
      <w:bookmarkEnd w:id="236"/>
      <w:bookmarkStart w:id="237" w:name="_Toc184314447"/>
      <w:bookmarkEnd w:id="237"/>
      <w:bookmarkStart w:id="238" w:name="_Toc184313282"/>
      <w:bookmarkEnd w:id="238"/>
      <w:bookmarkStart w:id="239" w:name="_Toc184313295"/>
      <w:bookmarkEnd w:id="239"/>
      <w:bookmarkStart w:id="240" w:name="_Toc184310321"/>
      <w:bookmarkEnd w:id="240"/>
      <w:bookmarkStart w:id="241" w:name="_Toc184314467"/>
      <w:bookmarkEnd w:id="241"/>
      <w:bookmarkStart w:id="242" w:name="_Toc184308092"/>
      <w:bookmarkEnd w:id="242"/>
      <w:bookmarkStart w:id="243" w:name="_Toc184310281"/>
      <w:bookmarkEnd w:id="243"/>
      <w:bookmarkStart w:id="244" w:name="_Toc184308058"/>
      <w:bookmarkEnd w:id="244"/>
      <w:bookmarkStart w:id="245" w:name="_Toc184314417"/>
      <w:bookmarkEnd w:id="245"/>
      <w:bookmarkStart w:id="246" w:name="_Toc184310333"/>
      <w:bookmarkEnd w:id="246"/>
      <w:bookmarkStart w:id="247" w:name="_Toc184310290"/>
      <w:bookmarkEnd w:id="247"/>
      <w:bookmarkStart w:id="248" w:name="_Toc184313288"/>
      <w:bookmarkEnd w:id="248"/>
      <w:bookmarkStart w:id="249" w:name="_Toc184310280"/>
      <w:bookmarkEnd w:id="249"/>
      <w:bookmarkStart w:id="250" w:name="_Toc184312081"/>
      <w:bookmarkEnd w:id="250"/>
      <w:bookmarkStart w:id="251" w:name="_Toc184312106"/>
      <w:bookmarkEnd w:id="251"/>
      <w:bookmarkStart w:id="252" w:name="_Toc184312089"/>
      <w:bookmarkEnd w:id="252"/>
      <w:bookmarkStart w:id="253" w:name="_Toc184314435"/>
      <w:bookmarkEnd w:id="253"/>
      <w:bookmarkStart w:id="254" w:name="_Toc184314433"/>
      <w:bookmarkEnd w:id="254"/>
      <w:bookmarkStart w:id="255" w:name="_Toc184312117"/>
      <w:bookmarkEnd w:id="255"/>
      <w:bookmarkStart w:id="256" w:name="_Toc184313269"/>
      <w:bookmarkEnd w:id="256"/>
      <w:bookmarkStart w:id="257" w:name="_Toc184313296"/>
      <w:bookmarkEnd w:id="257"/>
      <w:bookmarkStart w:id="258" w:name="_Toc184308108"/>
      <w:bookmarkEnd w:id="258"/>
      <w:bookmarkStart w:id="259" w:name="_Toc184308077"/>
      <w:bookmarkEnd w:id="259"/>
      <w:bookmarkStart w:id="260" w:name="_Toc184314471"/>
      <w:bookmarkEnd w:id="260"/>
      <w:bookmarkStart w:id="261" w:name="_Toc184308071"/>
      <w:bookmarkEnd w:id="261"/>
      <w:bookmarkStart w:id="262" w:name="_Toc184313240"/>
      <w:bookmarkEnd w:id="262"/>
      <w:bookmarkStart w:id="263" w:name="_Toc184314412"/>
      <w:bookmarkEnd w:id="263"/>
      <w:bookmarkStart w:id="264" w:name="_Toc184308097"/>
      <w:bookmarkEnd w:id="264"/>
      <w:bookmarkStart w:id="265" w:name="_Toc184313253"/>
      <w:bookmarkEnd w:id="265"/>
      <w:bookmarkStart w:id="266" w:name="_Toc184312069"/>
      <w:bookmarkEnd w:id="266"/>
      <w:bookmarkStart w:id="267" w:name="_Toc184310320"/>
      <w:bookmarkEnd w:id="267"/>
      <w:bookmarkStart w:id="268" w:name="_Toc184312104"/>
      <w:bookmarkEnd w:id="268"/>
      <w:bookmarkStart w:id="269" w:name="_Toc184314431"/>
      <w:bookmarkEnd w:id="269"/>
      <w:bookmarkStart w:id="270" w:name="_Toc184314465"/>
      <w:bookmarkEnd w:id="270"/>
      <w:bookmarkStart w:id="271" w:name="_Toc184313271"/>
      <w:bookmarkEnd w:id="271"/>
      <w:bookmarkStart w:id="272" w:name="_Toc184310305"/>
      <w:bookmarkEnd w:id="272"/>
      <w:bookmarkStart w:id="273" w:name="_Toc184314416"/>
      <w:bookmarkEnd w:id="273"/>
      <w:bookmarkStart w:id="274" w:name="_Toc184310291"/>
      <w:bookmarkEnd w:id="274"/>
      <w:bookmarkStart w:id="275" w:name="_Toc184312129"/>
      <w:bookmarkEnd w:id="275"/>
      <w:bookmarkStart w:id="276" w:name="_Toc184310334"/>
      <w:bookmarkEnd w:id="276"/>
      <w:bookmarkStart w:id="277" w:name="_Toc184314410"/>
      <w:bookmarkEnd w:id="277"/>
      <w:bookmarkStart w:id="278" w:name="_Toc184308070"/>
      <w:bookmarkEnd w:id="278"/>
      <w:bookmarkStart w:id="279" w:name="_Toc184308037"/>
      <w:bookmarkEnd w:id="279"/>
      <w:bookmarkStart w:id="280" w:name="_Toc184313305"/>
      <w:bookmarkEnd w:id="280"/>
      <w:bookmarkStart w:id="281" w:name="_Toc184310307"/>
      <w:bookmarkEnd w:id="281"/>
      <w:bookmarkStart w:id="282" w:name="_Toc184313309"/>
      <w:bookmarkEnd w:id="282"/>
      <w:bookmarkStart w:id="283" w:name="_Toc184310288"/>
      <w:bookmarkEnd w:id="283"/>
      <w:bookmarkStart w:id="284" w:name="_Toc184313268"/>
      <w:bookmarkEnd w:id="284"/>
      <w:bookmarkStart w:id="285" w:name="_Toc184314454"/>
      <w:bookmarkEnd w:id="285"/>
      <w:bookmarkStart w:id="286" w:name="_Toc184308051"/>
      <w:bookmarkEnd w:id="286"/>
      <w:bookmarkStart w:id="287" w:name="_Toc184314480"/>
      <w:bookmarkEnd w:id="287"/>
      <w:bookmarkStart w:id="288" w:name="_Toc184308080"/>
      <w:bookmarkEnd w:id="288"/>
      <w:bookmarkStart w:id="289" w:name="_Toc184314423"/>
      <w:bookmarkEnd w:id="289"/>
      <w:bookmarkStart w:id="290" w:name="_Toc184314428"/>
      <w:bookmarkEnd w:id="290"/>
      <w:bookmarkStart w:id="291" w:name="_Toc184310322"/>
      <w:bookmarkEnd w:id="291"/>
      <w:bookmarkStart w:id="292" w:name="_Toc184310303"/>
      <w:bookmarkEnd w:id="292"/>
      <w:bookmarkStart w:id="293" w:name="_Toc184313249"/>
      <w:bookmarkEnd w:id="293"/>
      <w:bookmarkStart w:id="294" w:name="_Toc184313287"/>
      <w:bookmarkEnd w:id="294"/>
      <w:bookmarkStart w:id="295" w:name="_Toc184313283"/>
      <w:bookmarkEnd w:id="295"/>
      <w:bookmarkStart w:id="296" w:name="_Toc184308104"/>
      <w:bookmarkEnd w:id="296"/>
      <w:bookmarkStart w:id="297" w:name="_Toc184313304"/>
      <w:bookmarkEnd w:id="297"/>
      <w:bookmarkStart w:id="298" w:name="_Toc184314466"/>
      <w:bookmarkEnd w:id="298"/>
      <w:bookmarkStart w:id="299" w:name="_Toc184314462"/>
      <w:bookmarkEnd w:id="299"/>
      <w:bookmarkStart w:id="300" w:name="_Toc184308093"/>
      <w:bookmarkEnd w:id="300"/>
      <w:bookmarkStart w:id="301" w:name="_Toc184313301"/>
      <w:bookmarkEnd w:id="301"/>
      <w:bookmarkStart w:id="302" w:name="_Toc184308102"/>
      <w:bookmarkEnd w:id="302"/>
      <w:bookmarkStart w:id="303" w:name="_Toc184313265"/>
      <w:bookmarkEnd w:id="303"/>
      <w:bookmarkStart w:id="304" w:name="_Toc184312109"/>
      <w:bookmarkEnd w:id="304"/>
      <w:bookmarkStart w:id="305" w:name="_Toc184312120"/>
      <w:bookmarkEnd w:id="305"/>
      <w:bookmarkStart w:id="306" w:name="_Toc184313244"/>
      <w:bookmarkEnd w:id="306"/>
      <w:bookmarkStart w:id="307" w:name="_Toc184313277"/>
      <w:bookmarkEnd w:id="307"/>
      <w:bookmarkStart w:id="308" w:name="_Toc184310326"/>
      <w:bookmarkEnd w:id="308"/>
      <w:bookmarkStart w:id="309" w:name="_Toc184314455"/>
      <w:bookmarkEnd w:id="309"/>
      <w:bookmarkStart w:id="310" w:name="_Toc184312078"/>
      <w:bookmarkEnd w:id="310"/>
      <w:bookmarkStart w:id="311" w:name="_Toc184312084"/>
      <w:bookmarkEnd w:id="311"/>
      <w:bookmarkStart w:id="312" w:name="_Toc184312067"/>
      <w:bookmarkEnd w:id="312"/>
      <w:bookmarkStart w:id="313" w:name="_Toc184314436"/>
      <w:bookmarkEnd w:id="313"/>
      <w:bookmarkStart w:id="314" w:name="_Toc184313247"/>
      <w:bookmarkEnd w:id="314"/>
      <w:bookmarkStart w:id="315" w:name="_Toc184312071"/>
      <w:bookmarkEnd w:id="315"/>
      <w:bookmarkStart w:id="316" w:name="_Toc184308103"/>
      <w:bookmarkEnd w:id="316"/>
      <w:bookmarkStart w:id="317" w:name="_Toc184310332"/>
      <w:bookmarkEnd w:id="317"/>
      <w:bookmarkStart w:id="318" w:name="_Toc184310297"/>
      <w:bookmarkEnd w:id="318"/>
      <w:bookmarkStart w:id="319" w:name="_Toc184313290"/>
      <w:bookmarkEnd w:id="319"/>
      <w:bookmarkStart w:id="320" w:name="_Toc184308078"/>
      <w:bookmarkEnd w:id="320"/>
      <w:bookmarkStart w:id="321" w:name="_Toc184314452"/>
      <w:bookmarkEnd w:id="321"/>
      <w:bookmarkStart w:id="322" w:name="_Toc184308082"/>
      <w:bookmarkEnd w:id="322"/>
      <w:bookmarkStart w:id="323" w:name="_Toc184313243"/>
      <w:bookmarkEnd w:id="323"/>
      <w:bookmarkStart w:id="324" w:name="_Toc184314446"/>
      <w:bookmarkEnd w:id="324"/>
      <w:bookmarkStart w:id="325" w:name="_Toc184313275"/>
      <w:bookmarkEnd w:id="325"/>
      <w:bookmarkStart w:id="326" w:name="_Toc184313276"/>
      <w:bookmarkEnd w:id="326"/>
      <w:bookmarkStart w:id="327" w:name="_Toc184314439"/>
      <w:bookmarkEnd w:id="327"/>
      <w:bookmarkStart w:id="328" w:name="_Toc184310331"/>
      <w:bookmarkEnd w:id="328"/>
      <w:bookmarkStart w:id="329" w:name="_Toc184313248"/>
      <w:bookmarkEnd w:id="329"/>
      <w:bookmarkStart w:id="330" w:name="_Toc184312088"/>
      <w:bookmarkEnd w:id="330"/>
      <w:bookmarkStart w:id="331" w:name="_Toc184310293"/>
      <w:bookmarkEnd w:id="331"/>
      <w:bookmarkStart w:id="332" w:name="_Toc184310311"/>
      <w:bookmarkEnd w:id="332"/>
      <w:bookmarkStart w:id="333" w:name="_Toc184312079"/>
      <w:bookmarkEnd w:id="333"/>
      <w:bookmarkStart w:id="334" w:name="_Toc184308084"/>
      <w:bookmarkEnd w:id="334"/>
      <w:bookmarkStart w:id="335" w:name="_Toc184310328"/>
      <w:bookmarkEnd w:id="335"/>
      <w:bookmarkStart w:id="336" w:name="_Toc184312097"/>
      <w:bookmarkEnd w:id="336"/>
      <w:bookmarkStart w:id="337" w:name="_Toc184312119"/>
      <w:bookmarkEnd w:id="337"/>
      <w:bookmarkStart w:id="338" w:name="_Toc184308036"/>
      <w:bookmarkEnd w:id="338"/>
      <w:bookmarkStart w:id="339" w:name="_Toc184313251"/>
      <w:bookmarkEnd w:id="339"/>
      <w:bookmarkStart w:id="340" w:name="_Toc184312077"/>
      <w:bookmarkEnd w:id="340"/>
      <w:bookmarkStart w:id="341" w:name="_Toc184313266"/>
      <w:bookmarkEnd w:id="341"/>
      <w:bookmarkStart w:id="342" w:name="_Toc184312123"/>
      <w:bookmarkEnd w:id="342"/>
      <w:bookmarkStart w:id="343" w:name="_Toc184310292"/>
      <w:bookmarkEnd w:id="343"/>
      <w:bookmarkStart w:id="344" w:name="_Toc184308055"/>
      <w:bookmarkEnd w:id="344"/>
      <w:bookmarkStart w:id="345" w:name="_Toc184314449"/>
      <w:bookmarkEnd w:id="345"/>
      <w:bookmarkStart w:id="346" w:name="_Toc184308079"/>
      <w:bookmarkEnd w:id="346"/>
      <w:bookmarkStart w:id="347" w:name="_Toc184313280"/>
      <w:bookmarkEnd w:id="347"/>
      <w:bookmarkStart w:id="348" w:name="_Toc184310336"/>
      <w:bookmarkEnd w:id="348"/>
      <w:bookmarkStart w:id="349" w:name="_Toc184310318"/>
      <w:bookmarkEnd w:id="349"/>
      <w:bookmarkStart w:id="350" w:name="_Toc184312134"/>
      <w:bookmarkEnd w:id="350"/>
      <w:bookmarkStart w:id="351" w:name="_Toc184310274"/>
      <w:bookmarkEnd w:id="351"/>
      <w:bookmarkStart w:id="352" w:name="_Toc184308085"/>
      <w:bookmarkEnd w:id="352"/>
      <w:bookmarkStart w:id="353" w:name="_Toc184314470"/>
      <w:bookmarkEnd w:id="353"/>
      <w:bookmarkStart w:id="354" w:name="_Toc184314458"/>
      <w:bookmarkEnd w:id="354"/>
      <w:bookmarkStart w:id="355" w:name="_Toc184308056"/>
      <w:bookmarkEnd w:id="355"/>
      <w:bookmarkStart w:id="356" w:name="_Toc184310302"/>
      <w:bookmarkEnd w:id="356"/>
      <w:bookmarkStart w:id="357" w:name="_Toc184308064"/>
      <w:bookmarkEnd w:id="357"/>
      <w:bookmarkStart w:id="358" w:name="_Toc184313246"/>
      <w:bookmarkEnd w:id="358"/>
      <w:bookmarkStart w:id="359" w:name="_Toc184312124"/>
      <w:bookmarkEnd w:id="359"/>
      <w:bookmarkStart w:id="360" w:name="_Toc184312094"/>
      <w:bookmarkEnd w:id="360"/>
      <w:bookmarkStart w:id="361" w:name="_Toc184312080"/>
      <w:bookmarkEnd w:id="361"/>
      <w:bookmarkStart w:id="362" w:name="_Toc184310315"/>
      <w:bookmarkEnd w:id="362"/>
      <w:bookmarkStart w:id="363" w:name="_Toc184314460"/>
      <w:bookmarkEnd w:id="363"/>
      <w:bookmarkStart w:id="364" w:name="_Toc184314476"/>
      <w:bookmarkEnd w:id="364"/>
      <w:bookmarkStart w:id="365" w:name="_Toc184313273"/>
      <w:bookmarkEnd w:id="365"/>
      <w:bookmarkStart w:id="366" w:name="_Toc184308098"/>
      <w:bookmarkEnd w:id="366"/>
      <w:bookmarkStart w:id="367" w:name="_Toc184308065"/>
      <w:bookmarkEnd w:id="367"/>
      <w:bookmarkStart w:id="368" w:name="_Toc184313258"/>
      <w:bookmarkEnd w:id="368"/>
      <w:bookmarkStart w:id="369" w:name="_Toc184310330"/>
      <w:bookmarkEnd w:id="369"/>
      <w:bookmarkStart w:id="370" w:name="_Toc184308075"/>
      <w:bookmarkEnd w:id="370"/>
      <w:bookmarkStart w:id="371" w:name="_Toc184312095"/>
      <w:bookmarkEnd w:id="371"/>
      <w:bookmarkStart w:id="372" w:name="_Toc184310316"/>
      <w:bookmarkEnd w:id="372"/>
      <w:bookmarkStart w:id="373" w:name="_Toc184308038"/>
      <w:bookmarkEnd w:id="373"/>
      <w:bookmarkStart w:id="374" w:name="_Toc184312113"/>
      <w:bookmarkEnd w:id="374"/>
      <w:bookmarkStart w:id="375" w:name="_Toc184308068"/>
      <w:bookmarkEnd w:id="375"/>
      <w:bookmarkStart w:id="376" w:name="_Toc184312092"/>
      <w:bookmarkEnd w:id="376"/>
      <w:bookmarkStart w:id="377" w:name="_Toc184310306"/>
      <w:bookmarkEnd w:id="377"/>
      <w:bookmarkStart w:id="378" w:name="_Toc184314425"/>
      <w:bookmarkEnd w:id="378"/>
      <w:bookmarkStart w:id="379" w:name="_Toc184310285"/>
      <w:bookmarkEnd w:id="379"/>
      <w:bookmarkStart w:id="380" w:name="_Toc184313267"/>
      <w:bookmarkEnd w:id="380"/>
      <w:bookmarkStart w:id="381" w:name="_Toc184313263"/>
      <w:bookmarkEnd w:id="381"/>
      <w:bookmarkStart w:id="382" w:name="_Toc184314472"/>
      <w:bookmarkEnd w:id="382"/>
      <w:bookmarkStart w:id="383" w:name="_Toc184312114"/>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服务</w:t>
      </w:r>
      <w:r>
        <w:rPr>
          <w:rFonts w:hint="eastAsia" w:ascii="宋体" w:hAnsi="宋体" w:eastAsia="宋体" w:cs="宋体"/>
          <w:b/>
          <w:sz w:val="36"/>
          <w:szCs w:val="36"/>
        </w:rPr>
        <w:t>类采购合同</w:t>
      </w:r>
    </w:p>
    <w:p w14:paraId="198DB42E">
      <w:pPr>
        <w:pStyle w:val="26"/>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2025年SCR催化剂再生前性能检测服务采购项目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6"/>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6"/>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6"/>
        <w:ind w:left="0" w:leftChars="0" w:firstLine="0" w:firstLineChars="0"/>
        <w:jc w:val="both"/>
        <w:rPr>
          <w:rFonts w:hint="eastAsia" w:ascii="宋体" w:hAnsi="宋体" w:eastAsia="宋体" w:cs="宋体"/>
          <w:b/>
          <w:szCs w:val="24"/>
        </w:rPr>
      </w:pPr>
    </w:p>
    <w:p w14:paraId="563DBC59">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160F9E2A">
      <w:pPr>
        <w:spacing w:line="360" w:lineRule="auto"/>
        <w:ind w:firstLine="480" w:firstLineChars="200"/>
        <w:rPr>
          <w:rFonts w:hint="eastAsia" w:ascii="宋体" w:hAnsi="宋体"/>
          <w:sz w:val="24"/>
          <w:lang w:val="en-US"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%。其中三固</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工作内容如下：</w:t>
      </w:r>
    </w:p>
    <w:p w14:paraId="62974516">
      <w:pPr>
        <w:numPr>
          <w:ilvl w:val="0"/>
          <w:numId w:val="0"/>
        </w:numPr>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6884FD78">
      <w:pPr>
        <w:numPr>
          <w:ilvl w:val="0"/>
          <w:numId w:val="3"/>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7"/>
        <w:tblW w:w="4957" w:type="pct"/>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488"/>
        <w:gridCol w:w="2841"/>
        <w:gridCol w:w="671"/>
        <w:gridCol w:w="651"/>
        <w:gridCol w:w="1362"/>
        <w:gridCol w:w="1194"/>
      </w:tblGrid>
      <w:tr w14:paraId="7241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1351" w:type="pct"/>
            <w:tcBorders>
              <w:tl2br w:val="nil"/>
              <w:tr2bl w:val="nil"/>
            </w:tcBorders>
            <w:shd w:val="clear" w:color="auto" w:fill="auto"/>
            <w:vAlign w:val="center"/>
          </w:tcPr>
          <w:p w14:paraId="650AB12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服务名称</w:t>
            </w:r>
          </w:p>
        </w:tc>
        <w:tc>
          <w:tcPr>
            <w:tcW w:w="1542" w:type="pct"/>
            <w:tcBorders>
              <w:tl2br w:val="nil"/>
              <w:tr2bl w:val="nil"/>
            </w:tcBorders>
            <w:shd w:val="clear" w:color="auto" w:fill="auto"/>
            <w:vAlign w:val="center"/>
          </w:tcPr>
          <w:p w14:paraId="5A4BBA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服务要求</w:t>
            </w:r>
          </w:p>
        </w:tc>
        <w:tc>
          <w:tcPr>
            <w:tcW w:w="364" w:type="pct"/>
            <w:tcBorders>
              <w:tl2br w:val="nil"/>
              <w:tr2bl w:val="nil"/>
            </w:tcBorders>
            <w:shd w:val="clear" w:color="auto" w:fill="auto"/>
            <w:vAlign w:val="center"/>
          </w:tcPr>
          <w:p w14:paraId="5D1F793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53" w:type="pct"/>
            <w:tcBorders>
              <w:tl2br w:val="nil"/>
              <w:tr2bl w:val="nil"/>
            </w:tcBorders>
            <w:shd w:val="clear" w:color="auto" w:fill="auto"/>
            <w:vAlign w:val="center"/>
          </w:tcPr>
          <w:p w14:paraId="31EE61C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39" w:type="pct"/>
            <w:tcBorders>
              <w:tl2br w:val="nil"/>
              <w:tr2bl w:val="nil"/>
            </w:tcBorders>
            <w:shd w:val="clear" w:color="auto" w:fill="auto"/>
            <w:vAlign w:val="center"/>
          </w:tcPr>
          <w:p w14:paraId="5DB7104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c>
          <w:tcPr>
            <w:tcW w:w="648" w:type="pct"/>
            <w:tcBorders>
              <w:tl2br w:val="nil"/>
              <w:tr2bl w:val="nil"/>
            </w:tcBorders>
            <w:shd w:val="clear" w:color="auto" w:fill="auto"/>
            <w:vAlign w:val="center"/>
          </w:tcPr>
          <w:p w14:paraId="09F94B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14:paraId="6E7C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351" w:type="pct"/>
            <w:tcBorders>
              <w:tl2br w:val="nil"/>
              <w:tr2bl w:val="nil"/>
            </w:tcBorders>
            <w:shd w:val="clear" w:color="auto" w:fill="auto"/>
            <w:noWrap/>
            <w:vAlign w:val="center"/>
          </w:tcPr>
          <w:p w14:paraId="33BBEF1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SCR催化剂再生前性能检测服务</w:t>
            </w:r>
          </w:p>
        </w:tc>
        <w:tc>
          <w:tcPr>
            <w:tcW w:w="1542" w:type="pct"/>
            <w:tcBorders>
              <w:tl2br w:val="nil"/>
              <w:tr2bl w:val="nil"/>
            </w:tcBorders>
            <w:shd w:val="clear" w:color="auto" w:fill="auto"/>
            <w:vAlign w:val="center"/>
          </w:tcPr>
          <w:p w14:paraId="592CFC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合同签订后2个月内提供盖CNAS章的正式检测报告</w:t>
            </w:r>
          </w:p>
        </w:tc>
        <w:tc>
          <w:tcPr>
            <w:tcW w:w="364" w:type="pct"/>
            <w:tcBorders>
              <w:tl2br w:val="nil"/>
              <w:tr2bl w:val="nil"/>
            </w:tcBorders>
            <w:shd w:val="clear" w:color="auto" w:fill="auto"/>
            <w:vAlign w:val="center"/>
          </w:tcPr>
          <w:p w14:paraId="3CA4D7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353" w:type="pct"/>
            <w:tcBorders>
              <w:tl2br w:val="nil"/>
              <w:tr2bl w:val="nil"/>
            </w:tcBorders>
            <w:shd w:val="clear" w:color="auto" w:fill="auto"/>
            <w:vAlign w:val="center"/>
          </w:tcPr>
          <w:p w14:paraId="2B27E40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739" w:type="pct"/>
            <w:tcBorders>
              <w:tl2br w:val="nil"/>
              <w:tr2bl w:val="nil"/>
            </w:tcBorders>
            <w:shd w:val="clear" w:color="auto" w:fill="auto"/>
            <w:vAlign w:val="center"/>
          </w:tcPr>
          <w:p w14:paraId="23BCE3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648" w:type="pct"/>
            <w:tcBorders>
              <w:tl2br w:val="nil"/>
              <w:tr2bl w:val="nil"/>
            </w:tcBorders>
            <w:shd w:val="clear" w:color="auto" w:fill="auto"/>
            <w:vAlign w:val="center"/>
          </w:tcPr>
          <w:p w14:paraId="72149F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14:paraId="0E670E28">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p>
    <w:p w14:paraId="19A305C5">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cs="Times New Roman"/>
          <w:kern w:val="2"/>
          <w:u w:val="single"/>
          <w:lang w:val="en-US" w:eastAsia="zh-CN"/>
        </w:rPr>
        <w:t>/</w:t>
      </w:r>
      <w:r>
        <w:rPr>
          <w:rFonts w:hint="eastAsia" w:cs="Times New Roman"/>
          <w:kern w:val="2"/>
        </w:rPr>
        <w:t>条款规定的计价方式计价。</w:t>
      </w:r>
    </w:p>
    <w:p w14:paraId="4A6E0212">
      <w:pPr>
        <w:spacing w:line="360" w:lineRule="auto"/>
        <w:ind w:firstLine="482" w:firstLineChars="200"/>
        <w:outlineLvl w:val="0"/>
        <w:rPr>
          <w:rFonts w:ascii="宋体" w:hAnsi="宋体"/>
          <w:b/>
          <w:sz w:val="24"/>
        </w:rPr>
      </w:pPr>
      <w:bookmarkStart w:id="390" w:name="_Toc10340"/>
      <w:bookmarkStart w:id="391" w:name="_Toc22618"/>
      <w:bookmarkStart w:id="392" w:name="_Toc1814"/>
      <w:bookmarkStart w:id="393" w:name="_Toc31421"/>
      <w:bookmarkStart w:id="394" w:name="_Toc8772"/>
      <w:bookmarkStart w:id="395" w:name="_Toc3625"/>
      <w:bookmarkStart w:id="396" w:name="_Toc11108"/>
      <w:bookmarkStart w:id="397"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至乙方提供加盖CNAS章的正式检测报告</w:t>
      </w:r>
      <w:r>
        <w:rPr>
          <w:rFonts w:hint="eastAsia" w:ascii="宋体" w:hAnsi="宋体"/>
          <w:color w:val="auto"/>
          <w:sz w:val="24"/>
          <w:u w:val="single"/>
          <w:lang w:val="en-US" w:eastAsia="zh-CN"/>
        </w:rPr>
        <w:t>后终止</w:t>
      </w:r>
      <w:r>
        <w:rPr>
          <w:rFonts w:hint="eastAsia" w:ascii="宋体" w:hAnsi="宋体" w:cs="宋体"/>
          <w:sz w:val="24"/>
          <w:highlight w:val="none"/>
          <w:u w:val="single"/>
          <w:lang w:val="en-US" w:eastAsia="zh-CN"/>
        </w:rPr>
        <w:t>；</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0D68979">
      <w:pPr>
        <w:pStyle w:val="8"/>
        <w:numPr>
          <w:ilvl w:val="0"/>
          <w:numId w:val="0"/>
        </w:numPr>
        <w:ind w:firstLine="480" w:firstLineChars="200"/>
        <w:rPr>
          <w:rFonts w:ascii="宋体" w:hAnsi="宋体"/>
          <w:sz w:val="24"/>
        </w:rPr>
      </w:pPr>
      <w:r>
        <w:rPr>
          <w:rFonts w:hint="eastAsia" w:ascii="宋体" w:hAnsi="宋体"/>
          <w:sz w:val="24"/>
        </w:rPr>
        <w:t>3.服务交付（实施）的方式：</w:t>
      </w:r>
      <w:r>
        <w:rPr>
          <w:rFonts w:hint="eastAsia"/>
          <w:color w:val="auto"/>
          <w:u w:val="single"/>
          <w:lang w:val="en-US" w:eastAsia="zh-CN"/>
        </w:rPr>
        <w:t>乙方提供加盖CNAS章的正式检测额报告后视为验收通过。</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126A2EA">
      <w:pPr>
        <w:pStyle w:val="8"/>
        <w:ind w:left="0" w:leftChars="0" w:firstLine="480" w:firstLineChars="200"/>
        <w:rPr>
          <w:rFonts w:hint="default" w:cs="Times New Roman"/>
          <w:snapToGrid/>
          <w:color w:val="auto"/>
          <w:kern w:val="2"/>
          <w:sz w:val="24"/>
          <w:szCs w:val="20"/>
          <w:lang w:val="en-US" w:eastAsia="zh-CN" w:bidi="ar-SA"/>
        </w:rPr>
      </w:pPr>
      <w:bookmarkStart w:id="398" w:name="_Toc1125"/>
      <w:bookmarkStart w:id="399" w:name="_Toc6596"/>
      <w:bookmarkStart w:id="400" w:name="_Toc14563"/>
      <w:r>
        <w:rPr>
          <w:rFonts w:hint="eastAsia" w:cs="Times New Roman"/>
          <w:snapToGrid/>
          <w:color w:val="auto"/>
          <w:kern w:val="2"/>
          <w:sz w:val="24"/>
          <w:szCs w:val="20"/>
          <w:lang w:val="en-US" w:eastAsia="zh-CN" w:bidi="ar-SA"/>
        </w:rPr>
        <w:t>1.乙方检测技术标准应参照GB/T 31587-2015</w:t>
      </w:r>
      <w:r>
        <w:rPr>
          <w:rFonts w:hint="eastAsia" w:hAnsi="宋体" w:cs="宋体" w:asciiTheme="minorHAnsi" w:eastAsiaTheme="minorEastAsia"/>
          <w:bCs/>
          <w:snapToGrid/>
          <w:color w:val="auto"/>
          <w:kern w:val="2"/>
          <w:sz w:val="24"/>
          <w:szCs w:val="24"/>
          <w:lang w:val="en-US" w:eastAsia="zh-CN" w:bidi="ar-SA"/>
        </w:rPr>
        <w:t>《</w:t>
      </w:r>
      <w:r>
        <w:rPr>
          <w:rFonts w:hint="eastAsia" w:hAnsi="宋体" w:cs="宋体" w:asciiTheme="minorHAnsi" w:eastAsiaTheme="minorEastAsia"/>
          <w:bCs/>
          <w:snapToGrid/>
          <w:color w:val="auto"/>
          <w:kern w:val="2"/>
          <w:sz w:val="24"/>
          <w:szCs w:val="24"/>
          <w:lang w:val="en-US" w:eastAsia="zh-CN" w:bidi="ar-SA"/>
        </w:rPr>
        <w:fldChar w:fldCharType="begin"/>
      </w:r>
      <w:r>
        <w:rPr>
          <w:rFonts w:hint="eastAsia" w:hAnsi="宋体" w:cs="宋体" w:asciiTheme="minorHAnsi" w:eastAsiaTheme="minorEastAsia"/>
          <w:bCs/>
          <w:snapToGrid/>
          <w:color w:val="auto"/>
          <w:kern w:val="2"/>
          <w:sz w:val="24"/>
          <w:szCs w:val="24"/>
          <w:lang w:val="en-US" w:eastAsia="zh-CN" w:bidi="ar-SA"/>
        </w:rPr>
        <w:instrText xml:space="preserve"> HYPERLINK "https://std.samr.gov.cn/gb/search/gbDetailed?id=71F772D80855D3A7E05397BE0A0AB82A" \t "https://std.samr.gov.cn/search/stdPage?q=GB/_blank" </w:instrText>
      </w:r>
      <w:r>
        <w:rPr>
          <w:rFonts w:hint="eastAsia" w:hAnsi="宋体" w:cs="宋体" w:asciiTheme="minorHAnsi" w:eastAsiaTheme="minorEastAsia"/>
          <w:bCs/>
          <w:snapToGrid/>
          <w:color w:val="auto"/>
          <w:kern w:val="2"/>
          <w:sz w:val="24"/>
          <w:szCs w:val="24"/>
          <w:lang w:val="en-US" w:eastAsia="zh-CN" w:bidi="ar-SA"/>
        </w:rPr>
        <w:fldChar w:fldCharType="separate"/>
      </w:r>
      <w:r>
        <w:rPr>
          <w:rFonts w:hint="default" w:hAnsi="宋体" w:cs="宋体" w:asciiTheme="minorHAnsi" w:eastAsiaTheme="minorEastAsia"/>
          <w:bCs/>
          <w:snapToGrid/>
          <w:color w:val="auto"/>
          <w:kern w:val="2"/>
          <w:sz w:val="24"/>
          <w:szCs w:val="24"/>
          <w:lang w:val="en-US" w:eastAsia="zh-CN" w:bidi="ar-SA"/>
        </w:rPr>
        <w:t>蜂窝式烟气脱硝催化剂</w:t>
      </w:r>
      <w:r>
        <w:rPr>
          <w:rFonts w:hint="default" w:hAnsi="宋体" w:cs="宋体" w:asciiTheme="minorHAnsi" w:eastAsiaTheme="minorEastAsia"/>
          <w:bCs/>
          <w:snapToGrid/>
          <w:color w:val="auto"/>
          <w:kern w:val="2"/>
          <w:sz w:val="24"/>
          <w:szCs w:val="24"/>
          <w:lang w:val="en-US" w:eastAsia="zh-CN" w:bidi="ar-SA"/>
        </w:rPr>
        <w:fldChar w:fldCharType="end"/>
      </w:r>
      <w:r>
        <w:rPr>
          <w:rFonts w:hint="eastAsia" w:hAnsi="宋体" w:cs="宋体" w:asciiTheme="minorHAnsi" w:eastAsiaTheme="minorEastAsia"/>
          <w:bCs/>
          <w:snapToGrid/>
          <w:color w:val="auto"/>
          <w:kern w:val="2"/>
          <w:sz w:val="24"/>
          <w:szCs w:val="24"/>
          <w:lang w:val="en-US" w:eastAsia="zh-CN" w:bidi="ar-SA"/>
        </w:rPr>
        <w:t>》</w:t>
      </w:r>
      <w:r>
        <w:rPr>
          <w:rFonts w:hint="eastAsia" w:cs="Times New Roman"/>
          <w:snapToGrid/>
          <w:color w:val="auto"/>
          <w:kern w:val="2"/>
          <w:sz w:val="24"/>
          <w:szCs w:val="20"/>
          <w:lang w:val="en-US" w:eastAsia="zh-CN" w:bidi="ar-SA"/>
        </w:rPr>
        <w:t>执行，检测指标为SCR催化剂的几何比表面积、比表面积、主要化学成分(V205、WO3、Ti02 等)及微量元素、轴向抗压强度、径向抗压强度、磨损强度、活性、脱硝效率（使用温度170~180℃）、氨逃逸、S02 /S03 转化率。</w:t>
      </w:r>
    </w:p>
    <w:p w14:paraId="4692A134">
      <w:pPr>
        <w:pStyle w:val="8"/>
        <w:ind w:left="0" w:leftChars="0" w:firstLine="480" w:firstLineChars="200"/>
        <w:rPr>
          <w:rFonts w:hint="eastAsia" w:cs="Times New Roman"/>
          <w:snapToGrid/>
          <w:color w:val="auto"/>
          <w:kern w:val="2"/>
          <w:sz w:val="24"/>
          <w:szCs w:val="20"/>
          <w:lang w:val="en-US" w:eastAsia="zh-CN" w:bidi="ar-SA"/>
        </w:rPr>
      </w:pPr>
      <w:r>
        <w:rPr>
          <w:rFonts w:hint="eastAsia" w:cs="Times New Roman"/>
          <w:snapToGrid/>
          <w:color w:val="auto"/>
          <w:kern w:val="2"/>
          <w:sz w:val="24"/>
          <w:szCs w:val="20"/>
          <w:lang w:val="en-US" w:eastAsia="zh-CN" w:bidi="ar-SA"/>
        </w:rPr>
        <w:t>2.乙方安排专人上门取样。</w:t>
      </w:r>
    </w:p>
    <w:p w14:paraId="29737BE2">
      <w:pPr>
        <w:pStyle w:val="8"/>
        <w:ind w:left="0" w:leftChars="0" w:firstLine="480" w:firstLineChars="200"/>
        <w:rPr>
          <w:rFonts w:hint="default" w:cs="Times New Roman"/>
          <w:snapToGrid/>
          <w:color w:val="auto"/>
          <w:kern w:val="2"/>
          <w:sz w:val="24"/>
          <w:szCs w:val="20"/>
          <w:lang w:val="en-US" w:eastAsia="zh-CN" w:bidi="ar-SA"/>
        </w:rPr>
      </w:pPr>
      <w:r>
        <w:rPr>
          <w:rFonts w:hint="eastAsia" w:cs="Times New Roman"/>
          <w:snapToGrid/>
          <w:color w:val="auto"/>
          <w:kern w:val="2"/>
          <w:sz w:val="24"/>
          <w:szCs w:val="20"/>
          <w:lang w:val="en-US" w:eastAsia="zh-CN" w:bidi="ar-SA"/>
        </w:rPr>
        <w:t>3.乙方应在合同签订完成后2个月内完成SCR催化剂的所有检测项目，出具正式检测报告并加盖CANS章。</w:t>
      </w:r>
    </w:p>
    <w:p w14:paraId="11E8459A">
      <w:pPr>
        <w:pStyle w:val="8"/>
        <w:numPr>
          <w:ilvl w:val="0"/>
          <w:numId w:val="0"/>
        </w:numPr>
        <w:tabs>
          <w:tab w:val="left" w:pos="766"/>
        </w:tabs>
        <w:ind w:firstLine="480" w:firstLineChars="200"/>
        <w:rPr>
          <w:rFonts w:hint="eastAsia"/>
        </w:rPr>
      </w:pPr>
      <w:r>
        <w:rPr>
          <w:rFonts w:hint="eastAsia" w:hAnsi="宋体" w:cs="宋体"/>
          <w:sz w:val="24"/>
          <w:lang w:val="en-US" w:eastAsia="zh-CN"/>
        </w:rPr>
        <w:t>4.</w:t>
      </w:r>
      <w:r>
        <w:rPr>
          <w:rFonts w:hint="eastAsia" w:ascii="宋体" w:hAnsi="宋体" w:cs="宋体"/>
          <w:sz w:val="24"/>
        </w:rPr>
        <w:t>甲方不再对任何售后服务进行付费，乙方的派遣人员产生的一切费用由供应商承担。</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398"/>
      <w:bookmarkEnd w:id="399"/>
      <w:bookmarkEnd w:id="400"/>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44CB7EC2">
      <w:pPr>
        <w:pStyle w:val="27"/>
        <w:spacing w:before="0" w:beforeAutospacing="0" w:after="0" w:afterAutospacing="0" w:line="360" w:lineRule="auto"/>
        <w:ind w:firstLine="480"/>
        <w:rPr>
          <w:rFonts w:hint="eastAsia" w:eastAsiaTheme="minorEastAsia"/>
          <w:b w:val="0"/>
          <w:bCs/>
          <w:u w:val="single"/>
          <w:lang w:val="en-US" w:eastAsia="zh-CN"/>
        </w:rPr>
      </w:pPr>
      <w:r>
        <w:rPr>
          <w:rFonts w:hint="eastAsia"/>
          <w:b w:val="0"/>
          <w:bCs/>
          <w:u w:val="single"/>
          <w:lang w:val="en-US" w:eastAsia="zh-CN"/>
        </w:rPr>
        <w:t>/。</w:t>
      </w:r>
    </w:p>
    <w:p w14:paraId="3EC2853B">
      <w:pPr>
        <w:pStyle w:val="27"/>
        <w:spacing w:before="0" w:beforeAutospacing="0" w:after="0" w:afterAutospacing="0" w:line="360" w:lineRule="auto"/>
        <w:ind w:firstLine="480"/>
        <w:rPr>
          <w:b/>
        </w:rPr>
      </w:pPr>
      <w:r>
        <w:rPr>
          <w:rFonts w:hint="eastAsia"/>
          <w:b/>
        </w:rPr>
        <w:t>七、履约保证金</w:t>
      </w:r>
    </w:p>
    <w:p w14:paraId="450407ED">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7"/>
        <w:spacing w:before="0" w:beforeAutospacing="0" w:after="0" w:afterAutospacing="0" w:line="360" w:lineRule="auto"/>
        <w:ind w:firstLine="480"/>
        <w:rPr>
          <w:b/>
          <w:bCs/>
        </w:rPr>
      </w:pPr>
      <w:r>
        <w:rPr>
          <w:rFonts w:hint="eastAsia"/>
          <w:b/>
          <w:bCs/>
        </w:rPr>
        <w:t>九、资金支付</w:t>
      </w:r>
    </w:p>
    <w:p w14:paraId="577711DC">
      <w:pPr>
        <w:pStyle w:val="27"/>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7"/>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23102CB7">
      <w:pPr>
        <w:pStyle w:val="27"/>
        <w:pageBreakBefore w:val="0"/>
        <w:kinsoku/>
        <w:wordWrap/>
        <w:overflowPunct/>
        <w:topLinePunct w:val="0"/>
        <w:bidi w:val="0"/>
        <w:spacing w:before="0" w:beforeAutospacing="0" w:after="0" w:afterAutospacing="0" w:line="360" w:lineRule="auto"/>
        <w:ind w:firstLine="480" w:firstLineChars="200"/>
        <w:textAlignment w:val="auto"/>
        <w:rPr>
          <w:rFonts w:hint="eastAsia"/>
          <w:u w:val="single"/>
          <w:lang w:eastAsia="zh-CN"/>
        </w:rPr>
      </w:pPr>
      <w:r>
        <w:rPr>
          <w:rFonts w:hint="eastAsia"/>
        </w:rPr>
        <w:t>（4）</w:t>
      </w:r>
      <w:r>
        <w:rPr>
          <w:rFonts w:hint="eastAsia"/>
          <w:u w:val="single"/>
        </w:rPr>
        <w:t>其他付款方式：</w:t>
      </w:r>
      <w:r>
        <w:rPr>
          <w:rFonts w:hint="eastAsia"/>
          <w:i w:val="0"/>
          <w:iCs w:val="0"/>
          <w:u w:val="single"/>
          <w:lang w:val="en-US" w:eastAsia="zh-CN"/>
        </w:rPr>
        <w:t>甲方收到乙方提供的加盖CNAS章的正式检测报告后无任何遗留问题，</w:t>
      </w:r>
      <w:r>
        <w:rPr>
          <w:rFonts w:hint="eastAsia"/>
          <w:i w:val="0"/>
          <w:iCs w:val="0"/>
          <w:u w:val="single"/>
        </w:rPr>
        <w:t>甲方收到</w:t>
      </w:r>
      <w:r>
        <w:rPr>
          <w:rFonts w:hint="eastAsia"/>
          <w:b w:val="0"/>
          <w:bCs w:val="0"/>
          <w:i w:val="0"/>
          <w:iCs w:val="0"/>
          <w:u w:val="single"/>
          <w:lang w:val="en-US" w:eastAsia="zh-CN"/>
        </w:rPr>
        <w:t>乙方提供的增值税专用发票，在本合同约定时间内支付</w:t>
      </w:r>
      <w:r>
        <w:rPr>
          <w:rFonts w:hint="eastAsia"/>
          <w:i w:val="0"/>
          <w:iCs w:val="0"/>
          <w:u w:val="single"/>
          <w:lang w:val="en-US" w:eastAsia="zh-CN"/>
        </w:rPr>
        <w:t>服务费</w:t>
      </w:r>
      <w:r>
        <w:rPr>
          <w:rFonts w:hint="eastAsia"/>
          <w:color w:val="auto"/>
          <w:lang w:val="en-US" w:eastAsia="zh-CN"/>
        </w:rPr>
        <w:t>。</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3"/>
      <w:bookmarkEnd w:id="394"/>
      <w:bookmarkEnd w:id="395"/>
      <w:bookmarkEnd w:id="396"/>
      <w:bookmarkEnd w:id="397"/>
      <w:bookmarkStart w:id="401" w:name="_Toc8586"/>
      <w:bookmarkStart w:id="402" w:name="_Toc5698"/>
      <w:bookmarkStart w:id="403" w:name="_Toc2375"/>
      <w:bookmarkStart w:id="404" w:name="_Toc24662"/>
      <w:bookmarkStart w:id="405" w:name="_Toc3079"/>
      <w:r>
        <w:rPr>
          <w:rFonts w:hint="eastAsia" w:ascii="宋体" w:hAnsi="宋体"/>
          <w:b/>
          <w:sz w:val="24"/>
        </w:rPr>
        <w:t>违约责任</w:t>
      </w:r>
      <w:bookmarkEnd w:id="401"/>
      <w:bookmarkEnd w:id="402"/>
      <w:bookmarkEnd w:id="403"/>
      <w:bookmarkEnd w:id="404"/>
      <w:bookmarkEnd w:id="405"/>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06" w:name="_Toc30329"/>
      <w:bookmarkStart w:id="407" w:name="_Toc9497"/>
      <w:bookmarkStart w:id="408" w:name="_Toc26807"/>
      <w:bookmarkStart w:id="409" w:name="_Toc18683"/>
      <w:bookmarkStart w:id="410" w:name="_Toc32454"/>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6"/>
    <w:bookmarkEnd w:id="407"/>
    <w:bookmarkEnd w:id="408"/>
    <w:bookmarkEnd w:id="409"/>
    <w:bookmarkEnd w:id="410"/>
    <w:p w14:paraId="7C3B360A">
      <w:pPr>
        <w:pStyle w:val="7"/>
        <w:ind w:firstLine="480" w:firstLineChars="200"/>
        <w:rPr>
          <w:rFonts w:hint="eastAsia" w:ascii="宋体" w:hAnsi="宋体" w:eastAsia="宋体" w:cs="宋体"/>
          <w:snapToGrid/>
          <w:kern w:val="2"/>
          <w:sz w:val="24"/>
          <w:szCs w:val="24"/>
          <w:lang w:val="en-US" w:eastAsia="zh-CN" w:bidi="ar-SA"/>
        </w:rPr>
      </w:pPr>
      <w:bookmarkStart w:id="411" w:name="_Toc28375"/>
      <w:bookmarkStart w:id="412" w:name="_Toc16021"/>
      <w:bookmarkStart w:id="413" w:name="_Toc15583"/>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8"/>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1"/>
      <w:bookmarkEnd w:id="412"/>
      <w:bookmarkEnd w:id="413"/>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4" w:name="_Toc7245"/>
      <w:bookmarkStart w:id="415" w:name="_Toc11173"/>
      <w:bookmarkStart w:id="416" w:name="_Toc15322"/>
      <w:r>
        <w:rPr>
          <w:rFonts w:hint="eastAsia" w:ascii="宋体" w:hAnsi="宋体" w:cs="宋体"/>
          <w:b/>
          <w:sz w:val="24"/>
        </w:rPr>
        <w:t>十二、合同生效</w:t>
      </w:r>
      <w:bookmarkEnd w:id="414"/>
      <w:bookmarkEnd w:id="415"/>
      <w:bookmarkEnd w:id="416"/>
    </w:p>
    <w:p w14:paraId="712C4F11">
      <w:pPr>
        <w:pStyle w:val="26"/>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6"/>
        <w:ind w:left="0" w:leftChars="0" w:firstLine="0" w:firstLineChars="0"/>
        <w:jc w:val="center"/>
        <w:rPr>
          <w:rFonts w:hint="eastAsia" w:ascii="宋体" w:hAnsi="宋体"/>
          <w:b/>
          <w:szCs w:val="24"/>
        </w:rPr>
      </w:pPr>
    </w:p>
    <w:p w14:paraId="48087D53">
      <w:pPr>
        <w:pStyle w:val="26"/>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17" w:name="_Toc14021"/>
      <w:bookmarkStart w:id="418" w:name="_Toc19680"/>
      <w:bookmarkStart w:id="419" w:name="_Toc25079"/>
      <w:bookmarkStart w:id="420" w:name="_Toc5228"/>
      <w:bookmarkStart w:id="421" w:name="_Toc31297"/>
      <w:r>
        <w:rPr>
          <w:rFonts w:hint="eastAsia" w:ascii="宋体" w:hAnsi="宋体"/>
          <w:b/>
          <w:sz w:val="24"/>
        </w:rPr>
        <w:t>一、</w:t>
      </w:r>
      <w:r>
        <w:rPr>
          <w:rFonts w:ascii="宋体" w:hAnsi="宋体"/>
          <w:b/>
          <w:sz w:val="24"/>
        </w:rPr>
        <w:t>定义</w:t>
      </w:r>
      <w:bookmarkEnd w:id="417"/>
      <w:bookmarkEnd w:id="418"/>
      <w:bookmarkEnd w:id="419"/>
      <w:bookmarkEnd w:id="420"/>
      <w:bookmarkEnd w:id="421"/>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2" w:name="_Toc3769"/>
      <w:bookmarkStart w:id="423" w:name="_Toc19539"/>
      <w:bookmarkStart w:id="424" w:name="_Toc23289"/>
      <w:bookmarkStart w:id="425" w:name="_Toc16752"/>
      <w:bookmarkStart w:id="426" w:name="_Toc3140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2"/>
      <w:bookmarkEnd w:id="423"/>
      <w:bookmarkEnd w:id="424"/>
      <w:bookmarkEnd w:id="425"/>
      <w:bookmarkEnd w:id="426"/>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27" w:name="_Toc13673"/>
      <w:bookmarkStart w:id="428" w:name="_Toc9161"/>
      <w:bookmarkStart w:id="429" w:name="_Toc27945"/>
      <w:bookmarkStart w:id="430" w:name="_Toc4133"/>
      <w:bookmarkStart w:id="431" w:name="_Toc12412"/>
      <w:r>
        <w:rPr>
          <w:rFonts w:hint="eastAsia" w:ascii="宋体" w:hAnsi="宋体"/>
          <w:b/>
          <w:sz w:val="24"/>
        </w:rPr>
        <w:t>三、</w:t>
      </w:r>
      <w:r>
        <w:rPr>
          <w:rFonts w:ascii="宋体" w:hAnsi="宋体"/>
          <w:b/>
          <w:sz w:val="24"/>
        </w:rPr>
        <w:t xml:space="preserve"> 知识产权</w:t>
      </w:r>
      <w:bookmarkEnd w:id="427"/>
      <w:bookmarkEnd w:id="428"/>
      <w:bookmarkEnd w:id="429"/>
      <w:bookmarkEnd w:id="430"/>
      <w:bookmarkEnd w:id="431"/>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2" w:name="_Toc26555"/>
      <w:bookmarkStart w:id="433" w:name="_Toc22011"/>
      <w:bookmarkStart w:id="434" w:name="_Toc31233"/>
      <w:bookmarkStart w:id="435" w:name="_Toc32670"/>
      <w:bookmarkStart w:id="436" w:name="_Toc15447"/>
      <w:r>
        <w:rPr>
          <w:rFonts w:hint="eastAsia" w:ascii="宋体" w:hAnsi="宋体"/>
          <w:b/>
          <w:sz w:val="24"/>
        </w:rPr>
        <w:t>五、</w:t>
      </w:r>
      <w:r>
        <w:rPr>
          <w:rFonts w:ascii="宋体" w:hAnsi="宋体"/>
          <w:b/>
          <w:sz w:val="24"/>
        </w:rPr>
        <w:t>结算方式和付款条件</w:t>
      </w:r>
      <w:bookmarkEnd w:id="432"/>
      <w:bookmarkEnd w:id="433"/>
      <w:bookmarkEnd w:id="434"/>
      <w:bookmarkEnd w:id="435"/>
      <w:bookmarkEnd w:id="436"/>
    </w:p>
    <w:p w14:paraId="3EECBE81">
      <w:pPr>
        <w:spacing w:line="360" w:lineRule="auto"/>
        <w:ind w:firstLine="480" w:firstLineChars="200"/>
        <w:outlineLvl w:val="0"/>
        <w:rPr>
          <w:rFonts w:hint="eastAsia" w:ascii="宋体" w:hAnsi="宋体"/>
          <w:bCs/>
          <w:sz w:val="24"/>
        </w:rPr>
      </w:pPr>
      <w:bookmarkStart w:id="437" w:name="_Toc13467"/>
      <w:bookmarkStart w:id="438" w:name="_Toc18990"/>
      <w:bookmarkStart w:id="439" w:name="_Toc16163"/>
      <w:bookmarkStart w:id="440" w:name="_Toc13154"/>
      <w:bookmarkStart w:id="441" w:name="_Toc30507"/>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37"/>
      <w:bookmarkEnd w:id="438"/>
      <w:bookmarkEnd w:id="439"/>
      <w:bookmarkEnd w:id="440"/>
      <w:bookmarkEnd w:id="441"/>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2" w:name="_Toc19069"/>
      <w:r>
        <w:rPr>
          <w:rFonts w:hint="eastAsia" w:ascii="宋体" w:hAnsi="宋体"/>
          <w:b/>
          <w:sz w:val="24"/>
        </w:rPr>
        <w:t>七、质量保证</w:t>
      </w:r>
      <w:bookmarkEnd w:id="442"/>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3"/>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4" w:name="_Toc10611"/>
      <w:r>
        <w:rPr>
          <w:rFonts w:hint="eastAsia" w:ascii="宋体" w:hAnsi="宋体"/>
          <w:b/>
          <w:sz w:val="24"/>
        </w:rPr>
        <w:t>九、合同变更</w:t>
      </w:r>
      <w:bookmarkEnd w:id="444"/>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5" w:name="_Toc10663"/>
      <w:bookmarkStart w:id="446" w:name="_Toc23368"/>
      <w:bookmarkStart w:id="447" w:name="_Toc42"/>
      <w:bookmarkStart w:id="448" w:name="_Toc21830"/>
      <w:bookmarkStart w:id="449"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5"/>
      <w:bookmarkEnd w:id="446"/>
      <w:bookmarkEnd w:id="447"/>
      <w:bookmarkEnd w:id="448"/>
      <w:bookmarkEnd w:id="449"/>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0" w:name="_Toc25571"/>
      <w:bookmarkStart w:id="451" w:name="_Toc4720"/>
      <w:bookmarkStart w:id="452" w:name="_Toc14371"/>
      <w:bookmarkStart w:id="453" w:name="_Toc26633"/>
      <w:bookmarkStart w:id="454" w:name="_Toc32494"/>
      <w:r>
        <w:rPr>
          <w:rFonts w:hint="eastAsia" w:ascii="宋体" w:hAnsi="宋体"/>
          <w:b/>
          <w:sz w:val="24"/>
        </w:rPr>
        <w:t>十一、</w:t>
      </w:r>
      <w:r>
        <w:rPr>
          <w:rFonts w:ascii="宋体" w:hAnsi="宋体"/>
          <w:b/>
          <w:sz w:val="24"/>
        </w:rPr>
        <w:t>不可抗力</w:t>
      </w:r>
      <w:bookmarkEnd w:id="450"/>
      <w:bookmarkEnd w:id="451"/>
      <w:bookmarkEnd w:id="452"/>
      <w:bookmarkEnd w:id="453"/>
      <w:bookmarkEnd w:id="454"/>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5" w:name="_Toc24465"/>
      <w:bookmarkStart w:id="456" w:name="_Toc23854"/>
      <w:bookmarkStart w:id="457" w:name="_Toc25783"/>
      <w:bookmarkStart w:id="458" w:name="_Toc3638"/>
      <w:bookmarkStart w:id="459" w:name="_Toc14115"/>
      <w:r>
        <w:rPr>
          <w:rFonts w:hint="eastAsia" w:ascii="宋体" w:hAnsi="宋体"/>
          <w:b/>
          <w:sz w:val="24"/>
        </w:rPr>
        <w:t>十二、</w:t>
      </w:r>
      <w:r>
        <w:rPr>
          <w:rFonts w:ascii="宋体" w:hAnsi="宋体"/>
          <w:b/>
          <w:sz w:val="24"/>
        </w:rPr>
        <w:t>税费</w:t>
      </w:r>
      <w:bookmarkEnd w:id="455"/>
      <w:bookmarkEnd w:id="456"/>
      <w:bookmarkEnd w:id="457"/>
      <w:bookmarkEnd w:id="458"/>
      <w:bookmarkEnd w:id="459"/>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0" w:name="_Toc30105"/>
      <w:bookmarkStart w:id="461" w:name="_Toc14814"/>
      <w:bookmarkStart w:id="462" w:name="_Toc26883"/>
      <w:bookmarkStart w:id="463" w:name="_Toc25525"/>
      <w:bookmarkStart w:id="464" w:name="_Toc7315"/>
      <w:r>
        <w:rPr>
          <w:rFonts w:hint="eastAsia" w:ascii="宋体" w:hAnsi="宋体"/>
          <w:b/>
          <w:sz w:val="24"/>
        </w:rPr>
        <w:t>十三、</w:t>
      </w:r>
      <w:r>
        <w:rPr>
          <w:rFonts w:ascii="宋体" w:hAnsi="宋体"/>
          <w:b/>
          <w:sz w:val="24"/>
        </w:rPr>
        <w:t>乙方破产</w:t>
      </w:r>
      <w:bookmarkEnd w:id="460"/>
      <w:bookmarkEnd w:id="461"/>
      <w:bookmarkEnd w:id="462"/>
      <w:bookmarkEnd w:id="463"/>
      <w:bookmarkEnd w:id="464"/>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5" w:name="_Toc1123"/>
      <w:bookmarkStart w:id="466" w:name="_Toc23323"/>
      <w:bookmarkStart w:id="467" w:name="_Toc2016"/>
      <w:r>
        <w:rPr>
          <w:rFonts w:hint="eastAsia" w:ascii="宋体" w:hAnsi="宋体"/>
          <w:b/>
          <w:sz w:val="24"/>
        </w:rPr>
        <w:t>十四、</w:t>
      </w:r>
      <w:r>
        <w:rPr>
          <w:rFonts w:ascii="宋体" w:hAnsi="宋体"/>
          <w:b/>
          <w:sz w:val="24"/>
        </w:rPr>
        <w:t>合同中止、终止</w:t>
      </w:r>
      <w:bookmarkEnd w:id="465"/>
      <w:bookmarkEnd w:id="466"/>
      <w:bookmarkEnd w:id="467"/>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68" w:name="_Toc1969"/>
      <w:bookmarkStart w:id="469" w:name="_Toc17363"/>
      <w:bookmarkStart w:id="470"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68"/>
      <w:bookmarkEnd w:id="469"/>
      <w:bookmarkEnd w:id="470"/>
      <w:bookmarkStart w:id="471" w:name="_Toc9808"/>
      <w:bookmarkStart w:id="472" w:name="_Toc31892"/>
      <w:bookmarkStart w:id="473" w:name="_Toc25198"/>
      <w:bookmarkStart w:id="474" w:name="_Toc2308"/>
      <w:bookmarkStart w:id="475" w:name="_Toc12666"/>
      <w:r>
        <w:rPr>
          <w:rFonts w:hint="eastAsia" w:ascii="宋体" w:hAnsi="宋体"/>
          <w:b/>
          <w:sz w:val="24"/>
        </w:rPr>
        <w:t>、</w:t>
      </w:r>
      <w:r>
        <w:rPr>
          <w:rFonts w:ascii="宋体" w:hAnsi="宋体"/>
          <w:b/>
          <w:sz w:val="24"/>
        </w:rPr>
        <w:t>通知和送达</w:t>
      </w:r>
      <w:bookmarkEnd w:id="471"/>
      <w:bookmarkEnd w:id="472"/>
      <w:bookmarkEnd w:id="473"/>
      <w:bookmarkEnd w:id="474"/>
      <w:bookmarkEnd w:id="475"/>
    </w:p>
    <w:p w14:paraId="69D3FE9D">
      <w:pPr>
        <w:spacing w:line="360" w:lineRule="auto"/>
        <w:ind w:firstLine="480" w:firstLineChars="200"/>
        <w:rPr>
          <w:rFonts w:ascii="宋体" w:hAnsi="宋体"/>
          <w:sz w:val="24"/>
        </w:rPr>
      </w:pPr>
      <w:bookmarkStart w:id="476" w:name="_Toc27674"/>
      <w:bookmarkStart w:id="477"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76"/>
      <w:bookmarkEnd w:id="477"/>
    </w:p>
    <w:p w14:paraId="31282059">
      <w:pPr>
        <w:spacing w:line="360" w:lineRule="auto"/>
        <w:ind w:firstLine="482" w:firstLineChars="200"/>
        <w:outlineLvl w:val="0"/>
        <w:rPr>
          <w:rFonts w:ascii="宋体" w:hAnsi="宋体" w:cs="宋体"/>
          <w:b/>
          <w:sz w:val="24"/>
        </w:rPr>
      </w:pPr>
      <w:bookmarkStart w:id="478" w:name="_Toc4355"/>
      <w:bookmarkStart w:id="479" w:name="_Toc18540"/>
      <w:bookmarkStart w:id="480" w:name="_Toc30599"/>
      <w:bookmarkStart w:id="481" w:name="_Toc20808"/>
      <w:bookmarkStart w:id="482" w:name="_Toc27644"/>
      <w:bookmarkStart w:id="483" w:name="_Toc28906"/>
      <w:bookmarkStart w:id="484" w:name="_Toc5063"/>
      <w:bookmarkStart w:id="485" w:name="_Toc12254"/>
      <w:r>
        <w:rPr>
          <w:rFonts w:hint="eastAsia" w:ascii="宋体" w:hAnsi="宋体" w:cs="宋体"/>
          <w:b/>
          <w:sz w:val="24"/>
        </w:rPr>
        <w:t>十六、计量单位</w:t>
      </w:r>
      <w:bookmarkEnd w:id="478"/>
      <w:bookmarkEnd w:id="479"/>
      <w:bookmarkEnd w:id="480"/>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1"/>
      <w:bookmarkEnd w:id="482"/>
      <w:bookmarkEnd w:id="483"/>
      <w:bookmarkEnd w:id="484"/>
      <w:bookmarkEnd w:id="485"/>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6"/>
        <w:spacing w:line="560" w:lineRule="exact"/>
        <w:ind w:left="0" w:leftChars="0" w:firstLine="0" w:firstLineChars="0"/>
        <w:jc w:val="center"/>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6"/>
        <w:spacing w:line="560" w:lineRule="exact"/>
        <w:ind w:left="0" w:leftChars="0" w:firstLine="0" w:firstLineChars="0"/>
        <w:jc w:val="center"/>
        <w:rPr>
          <w:rFonts w:hint="eastAsia" w:ascii="宋体" w:hAnsi="宋体"/>
          <w:b/>
          <w:szCs w:val="24"/>
        </w:rPr>
      </w:pPr>
    </w:p>
    <w:p w14:paraId="262E896E">
      <w:pPr>
        <w:rPr>
          <w:rFonts w:hint="eastAsia"/>
        </w:rPr>
      </w:pPr>
    </w:p>
    <w:p w14:paraId="77DFAD8F">
      <w:pPr>
        <w:pStyle w:val="26"/>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2025年SCR催化剂再生前性能检测服务采购项目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2025年SCR催化剂再生前性能检测服务采购项目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none"/>
        </w:rPr>
      </w:pPr>
      <w:r>
        <w:rPr>
          <w:rFonts w:hint="eastAsia" w:ascii="宋体" w:hAnsi="宋体" w:cs="宋体"/>
          <w:sz w:val="24"/>
        </w:rPr>
        <w:t>1.</w:t>
      </w:r>
      <w:r>
        <w:rPr>
          <w:rFonts w:hint="eastAsia" w:ascii="宋体" w:hAnsi="宋体" w:cs="宋体"/>
          <w:sz w:val="24"/>
          <w:lang w:val="en-US" w:eastAsia="zh-CN"/>
        </w:rPr>
        <w:t>乙</w:t>
      </w:r>
      <w:r>
        <w:rPr>
          <w:rFonts w:hint="eastAsia" w:hAnsi="宋体" w:cs="宋体"/>
          <w:color w:val="auto"/>
          <w:sz w:val="24"/>
          <w:highlight w:val="none"/>
          <w:lang w:val="en-US" w:eastAsia="zh-CN"/>
        </w:rPr>
        <w:t>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6"/>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9"/>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6ACDAAA7">
      <w:pPr>
        <w:snapToGrid w:val="0"/>
        <w:spacing w:line="460" w:lineRule="exact"/>
        <w:jc w:val="both"/>
        <w:rPr>
          <w:rFonts w:hint="eastAsia" w:ascii="宋体" w:hAnsi="宋体" w:eastAsia="宋体" w:cs="宋体"/>
          <w:b/>
          <w:sz w:val="36"/>
          <w:szCs w:val="36"/>
        </w:rPr>
      </w:pPr>
    </w:p>
    <w:p w14:paraId="37502455">
      <w:pPr>
        <w:snapToGrid w:val="0"/>
        <w:spacing w:line="460" w:lineRule="exact"/>
        <w:jc w:val="both"/>
        <w:rPr>
          <w:rFonts w:hint="eastAsia" w:ascii="宋体" w:hAnsi="宋体" w:eastAsia="宋体" w:cs="宋体"/>
          <w:b/>
          <w:sz w:val="36"/>
          <w:szCs w:val="36"/>
        </w:rPr>
      </w:pPr>
    </w:p>
    <w:p w14:paraId="116A155A">
      <w:pPr>
        <w:snapToGrid w:val="0"/>
        <w:spacing w:line="460" w:lineRule="exact"/>
        <w:jc w:val="both"/>
        <w:rPr>
          <w:rFonts w:hint="eastAsia" w:ascii="宋体" w:hAnsi="宋体" w:eastAsia="宋体" w:cs="宋体"/>
          <w:b/>
          <w:sz w:val="36"/>
          <w:szCs w:val="36"/>
        </w:rPr>
      </w:pPr>
    </w:p>
    <w:p w14:paraId="56048AF5">
      <w:pPr>
        <w:snapToGrid w:val="0"/>
        <w:spacing w:line="460" w:lineRule="exact"/>
        <w:jc w:val="both"/>
        <w:rPr>
          <w:rFonts w:hint="eastAsia" w:ascii="宋体" w:hAnsi="宋体" w:eastAsia="宋体" w:cs="宋体"/>
          <w:b/>
          <w:sz w:val="36"/>
          <w:szCs w:val="36"/>
        </w:rPr>
      </w:pPr>
    </w:p>
    <w:p w14:paraId="7B653948">
      <w:pPr>
        <w:snapToGrid w:val="0"/>
        <w:spacing w:line="460" w:lineRule="exact"/>
        <w:jc w:val="both"/>
        <w:rPr>
          <w:rFonts w:hint="eastAsia" w:ascii="宋体" w:hAnsi="宋体" w:eastAsia="宋体" w:cs="宋体"/>
          <w:b/>
          <w:sz w:val="36"/>
          <w:szCs w:val="36"/>
        </w:rPr>
      </w:pPr>
    </w:p>
    <w:p w14:paraId="3C70F98B">
      <w:pPr>
        <w:snapToGrid w:val="0"/>
        <w:spacing w:line="460" w:lineRule="exact"/>
        <w:jc w:val="both"/>
        <w:rPr>
          <w:rFonts w:hint="eastAsia" w:ascii="宋体" w:hAnsi="宋体" w:eastAsia="宋体" w:cs="宋体"/>
          <w:b/>
          <w:sz w:val="36"/>
          <w:szCs w:val="36"/>
        </w:rPr>
      </w:pPr>
    </w:p>
    <w:p w14:paraId="08AEA871">
      <w:pPr>
        <w:snapToGrid w:val="0"/>
        <w:spacing w:line="460" w:lineRule="exact"/>
        <w:jc w:val="both"/>
        <w:rPr>
          <w:rFonts w:hint="eastAsia" w:ascii="宋体" w:hAnsi="宋体" w:eastAsia="宋体" w:cs="宋体"/>
          <w:b/>
          <w:sz w:val="36"/>
          <w:szCs w:val="36"/>
        </w:rPr>
      </w:pPr>
    </w:p>
    <w:p w14:paraId="590BC260">
      <w:pPr>
        <w:snapToGrid w:val="0"/>
        <w:spacing w:line="460" w:lineRule="exact"/>
        <w:jc w:val="both"/>
        <w:rPr>
          <w:rFonts w:hint="eastAsia" w:ascii="宋体" w:hAnsi="宋体" w:eastAsia="宋体" w:cs="宋体"/>
          <w:b/>
          <w:sz w:val="36"/>
          <w:szCs w:val="36"/>
        </w:rPr>
      </w:pPr>
    </w:p>
    <w:p w14:paraId="159314E0">
      <w:pPr>
        <w:snapToGrid w:val="0"/>
        <w:spacing w:line="460" w:lineRule="exact"/>
        <w:jc w:val="both"/>
        <w:rPr>
          <w:rFonts w:hint="eastAsia" w:ascii="宋体" w:hAnsi="宋体" w:eastAsia="宋体" w:cs="宋体"/>
          <w:b/>
          <w:sz w:val="36"/>
          <w:szCs w:val="36"/>
        </w:rPr>
      </w:pPr>
    </w:p>
    <w:p w14:paraId="778631E3">
      <w:pPr>
        <w:snapToGrid w:val="0"/>
        <w:spacing w:line="460" w:lineRule="exact"/>
        <w:jc w:val="both"/>
        <w:rPr>
          <w:rFonts w:hint="eastAsia" w:ascii="宋体" w:hAnsi="宋体" w:eastAsia="宋体" w:cs="宋体"/>
          <w:b/>
          <w:sz w:val="36"/>
          <w:szCs w:val="36"/>
        </w:rPr>
      </w:pPr>
    </w:p>
    <w:p w14:paraId="01A88279">
      <w:pPr>
        <w:snapToGrid w:val="0"/>
        <w:spacing w:line="460" w:lineRule="exact"/>
        <w:jc w:val="both"/>
        <w:rPr>
          <w:rFonts w:hint="eastAsia" w:ascii="宋体" w:hAnsi="宋体" w:eastAsia="宋体" w:cs="宋体"/>
          <w:b/>
          <w:sz w:val="36"/>
          <w:szCs w:val="36"/>
        </w:rPr>
      </w:pPr>
    </w:p>
    <w:p w14:paraId="3B4F33CF">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838" w:leftChars="399" w:firstLine="0" w:firstLineChars="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2025年SCR催化剂再生前性能检测服务采购项目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202508016</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rPr>
        <w:t>【项目编号：</w:t>
      </w:r>
      <w:r>
        <w:rPr>
          <w:rFonts w:hint="eastAsia" w:ascii="宋体" w:hAnsi="宋体" w:eastAsia="宋体" w:cs="宋体"/>
          <w:sz w:val="24"/>
          <w:u w:val="single"/>
          <w:lang w:eastAsia="zh-CN"/>
        </w:rPr>
        <w:t>202508016</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CFB18F2">
            <w:pPr>
              <w:pStyle w:val="7"/>
              <w:numPr>
                <w:ilvl w:val="0"/>
                <w:numId w:val="0"/>
              </w:numPr>
              <w:ind w:leftChars="0"/>
              <w:jc w:val="center"/>
              <w:rPr>
                <w:rFonts w:hint="eastAsia"/>
                <w:color w:val="auto"/>
                <w:lang w:val="en-US" w:eastAsia="zh-CN"/>
              </w:rPr>
            </w:pPr>
          </w:p>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5B83A41">
            <w:pPr>
              <w:pStyle w:val="8"/>
              <w:jc w:val="center"/>
              <w:rPr>
                <w:rFonts w:hint="eastAsia" w:cs="仿宋" w:asciiTheme="minorEastAsia" w:hAnsiTheme="minorEastAsia"/>
                <w:bCs/>
                <w:color w:val="auto"/>
                <w:sz w:val="24"/>
                <w:u w:val="none"/>
                <w:lang w:eastAsia="zh-CN"/>
              </w:rPr>
            </w:pPr>
          </w:p>
          <w:p w14:paraId="2040AFC5">
            <w:pPr>
              <w:pStyle w:val="8"/>
              <w:jc w:val="center"/>
              <w:rPr>
                <w:rFonts w:hint="eastAsia" w:cs="仿宋" w:asciiTheme="minorEastAsia" w:hAnsiTheme="minorEastAsia"/>
                <w:bCs/>
                <w:color w:val="auto"/>
                <w:sz w:val="24"/>
                <w:u w:val="none"/>
                <w:lang w:eastAsia="zh-CN"/>
              </w:rPr>
            </w:pPr>
          </w:p>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91F93FA">
            <w:pPr>
              <w:pStyle w:val="8"/>
              <w:jc w:val="center"/>
              <w:rPr>
                <w:rFonts w:hint="eastAsia" w:cs="仿宋" w:asciiTheme="minorEastAsia" w:hAnsiTheme="minorEastAsia"/>
                <w:bCs/>
                <w:color w:val="auto"/>
                <w:sz w:val="24"/>
                <w:u w:val="none"/>
                <w:lang w:eastAsia="zh-CN"/>
              </w:rPr>
            </w:pPr>
          </w:p>
          <w:p w14:paraId="738B3ACA">
            <w:pPr>
              <w:pStyle w:val="8"/>
              <w:jc w:val="center"/>
              <w:rPr>
                <w:rFonts w:hint="eastAsia" w:cs="仿宋" w:asciiTheme="minorEastAsia" w:hAnsiTheme="minorEastAsia"/>
                <w:bCs/>
                <w:color w:val="auto"/>
                <w:sz w:val="24"/>
                <w:u w:val="none"/>
                <w:lang w:eastAsia="zh-CN"/>
              </w:rPr>
            </w:pPr>
          </w:p>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ascii="宋体" w:hAnsi="宋体" w:eastAsia="宋体" w:cs="宋体"/>
                <w:bCs/>
                <w:color w:val="auto"/>
                <w:sz w:val="24"/>
                <w:u w:val="none"/>
                <w:lang w:val="en-US" w:eastAsia="zh-CN"/>
              </w:rPr>
              <w:t>中国合格评定国家认可委员会实验室认可证书（CNAS）(检测能力范围包含脱销催化剂)</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15678536">
      <w:pPr>
        <w:rPr>
          <w:color w:val="auto"/>
        </w:rPr>
      </w:pPr>
    </w:p>
    <w:p w14:paraId="7A912D62">
      <w:pPr>
        <w:rPr>
          <w:color w:val="auto"/>
        </w:rPr>
      </w:pPr>
    </w:p>
    <w:p w14:paraId="272B1DC3">
      <w:pPr>
        <w:pStyle w:val="7"/>
        <w:jc w:val="center"/>
        <w:rPr>
          <w:rFonts w:hint="eastAsia" w:cs="仿宋" w:asciiTheme="minorEastAsia" w:hAnsiTheme="minorEastAsia"/>
          <w:b/>
          <w:snapToGrid/>
          <w:color w:val="auto"/>
          <w:kern w:val="0"/>
          <w:sz w:val="32"/>
          <w:szCs w:val="32"/>
          <w:highlight w:val="none"/>
          <w:lang w:val="en-US" w:eastAsia="zh-CN" w:bidi="ar-SA"/>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A57C452">
            <w:pPr>
              <w:pStyle w:val="8"/>
              <w:jc w:val="center"/>
              <w:rPr>
                <w:rFonts w:hint="eastAsia" w:cs="仿宋" w:asciiTheme="minorEastAsia" w:hAnsiTheme="minorEastAsia"/>
                <w:bCs/>
                <w:color w:val="auto"/>
                <w:sz w:val="24"/>
                <w:u w:val="none"/>
                <w:lang w:eastAsia="zh-CN"/>
              </w:rPr>
            </w:pPr>
          </w:p>
          <w:p w14:paraId="216E292D">
            <w:pPr>
              <w:pStyle w:val="8"/>
              <w:jc w:val="center"/>
              <w:rPr>
                <w:rFonts w:hint="eastAsia" w:cs="仿宋" w:asciiTheme="minorEastAsia" w:hAnsiTheme="minorEastAsia"/>
                <w:bCs/>
                <w:color w:val="auto"/>
                <w:sz w:val="24"/>
                <w:u w:val="none"/>
                <w:lang w:eastAsia="zh-CN"/>
              </w:rPr>
            </w:pPr>
          </w:p>
          <w:p w14:paraId="06EE0585">
            <w:pPr>
              <w:pStyle w:val="8"/>
              <w:jc w:val="center"/>
              <w:rPr>
                <w:rFonts w:hint="eastAsia" w:cs="仿宋" w:asciiTheme="minorEastAsia" w:hAnsiTheme="minorEastAsia"/>
                <w:bCs/>
                <w:color w:val="auto"/>
                <w:sz w:val="24"/>
                <w:u w:val="none"/>
                <w:lang w:eastAsia="zh-CN"/>
              </w:rPr>
            </w:pPr>
          </w:p>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68B2145C">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558AF62B">
      <w:pPr>
        <w:rPr>
          <w:rFonts w:hint="eastAsia" w:ascii="宋体" w:hAnsi="宋体" w:eastAsia="宋体" w:cs="宋体"/>
        </w:rPr>
      </w:pPr>
    </w:p>
    <w:p w14:paraId="753E8A74">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202508016</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202508016</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9"/>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9"/>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202508016</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202508016</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13"/>
          <w:sz w:val="24"/>
          <w:lang w:val="en-US" w:eastAsia="zh-CN"/>
        </w:rPr>
        <w:t xml:space="preserve"> 税率 </w:t>
      </w:r>
      <w:r>
        <w:rPr>
          <w:rFonts w:hint="eastAsia" w:ascii="宋体" w:hAnsi="宋体" w:eastAsia="宋体" w:cs="宋体"/>
          <w:spacing w:val="-13"/>
          <w:sz w:val="24"/>
          <w:u w:val="single"/>
          <w:lang w:val="en-US" w:eastAsia="zh-CN"/>
        </w:rPr>
        <w:t xml:space="preserve">    </w:t>
      </w:r>
      <w:r>
        <w:rPr>
          <w:rFonts w:hint="eastAsia" w:ascii="宋体" w:hAnsi="宋体" w:eastAsia="宋体" w:cs="宋体"/>
          <w:spacing w:val="-13"/>
          <w:sz w:val="24"/>
          <w:lang w:val="en-US"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202508016</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25F301AE">
      <w:pPr>
        <w:pStyle w:val="16"/>
        <w:rPr>
          <w:rFonts w:hint="eastAsia" w:cs="仿宋" w:asciiTheme="minorEastAsia" w:hAnsiTheme="minorEastAsia"/>
          <w:b/>
          <w:color w:val="auto"/>
          <w:kern w:val="0"/>
          <w:sz w:val="24"/>
          <w:lang w:val="en-US" w:eastAsia="zh-CN"/>
        </w:rPr>
      </w:pPr>
      <w:r>
        <w:rPr>
          <w:rFonts w:hint="eastAsia" w:cs="仿宋" w:asciiTheme="minorEastAsia" w:hAnsiTheme="minorEastAsia"/>
          <w:b/>
          <w:color w:val="auto"/>
          <w:kern w:val="0"/>
          <w:sz w:val="24"/>
          <w:lang w:val="en-US" w:eastAsia="zh-CN"/>
        </w:rPr>
        <w:t>维保服务报价明细表</w:t>
      </w:r>
    </w:p>
    <w:tbl>
      <w:tblPr>
        <w:tblStyle w:val="17"/>
        <w:tblW w:w="456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392"/>
        <w:gridCol w:w="1314"/>
        <w:gridCol w:w="1221"/>
        <w:gridCol w:w="1625"/>
        <w:gridCol w:w="1692"/>
        <w:gridCol w:w="1692"/>
      </w:tblGrid>
      <w:tr w14:paraId="41537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1" w:hRule="atLeast"/>
          <w:jc w:val="center"/>
        </w:trPr>
        <w:tc>
          <w:tcPr>
            <w:tcW w:w="5394" w:type="dxa"/>
            <w:tcBorders>
              <w:tl2br w:val="nil"/>
              <w:tr2bl w:val="nil"/>
            </w:tcBorders>
            <w:shd w:val="clear" w:color="auto" w:fill="auto"/>
            <w:vAlign w:val="center"/>
          </w:tcPr>
          <w:p w14:paraId="1D557CB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服务项目</w:t>
            </w:r>
          </w:p>
        </w:tc>
        <w:tc>
          <w:tcPr>
            <w:tcW w:w="1314" w:type="dxa"/>
            <w:tcBorders>
              <w:tl2br w:val="nil"/>
              <w:tr2bl w:val="nil"/>
            </w:tcBorders>
            <w:shd w:val="clear" w:color="auto" w:fill="auto"/>
            <w:vAlign w:val="center"/>
          </w:tcPr>
          <w:p w14:paraId="6D1D91EC">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单位</w:t>
            </w:r>
          </w:p>
        </w:tc>
        <w:tc>
          <w:tcPr>
            <w:tcW w:w="1221" w:type="dxa"/>
            <w:tcBorders>
              <w:tl2br w:val="nil"/>
              <w:tr2bl w:val="nil"/>
            </w:tcBorders>
            <w:shd w:val="clear" w:color="auto" w:fill="auto"/>
            <w:vAlign w:val="center"/>
          </w:tcPr>
          <w:p w14:paraId="5F019203">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数量</w:t>
            </w:r>
          </w:p>
        </w:tc>
        <w:tc>
          <w:tcPr>
            <w:tcW w:w="1625" w:type="dxa"/>
            <w:tcBorders>
              <w:tl2br w:val="nil"/>
              <w:tr2bl w:val="nil"/>
            </w:tcBorders>
            <w:shd w:val="clear" w:color="auto" w:fill="auto"/>
            <w:vAlign w:val="center"/>
          </w:tcPr>
          <w:p w14:paraId="239DC659">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单价（元）</w:t>
            </w:r>
          </w:p>
        </w:tc>
        <w:tc>
          <w:tcPr>
            <w:tcW w:w="1692" w:type="dxa"/>
            <w:tcBorders>
              <w:tl2br w:val="nil"/>
              <w:tr2bl w:val="nil"/>
            </w:tcBorders>
            <w:shd w:val="clear" w:color="auto" w:fill="auto"/>
            <w:vAlign w:val="center"/>
          </w:tcPr>
          <w:p w14:paraId="3D01DC4F">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金额（元）</w:t>
            </w:r>
          </w:p>
        </w:tc>
        <w:tc>
          <w:tcPr>
            <w:tcW w:w="1692" w:type="dxa"/>
            <w:tcBorders>
              <w:tl2br w:val="nil"/>
              <w:tr2bl w:val="nil"/>
            </w:tcBorders>
            <w:shd w:val="clear" w:color="auto" w:fill="auto"/>
            <w:vAlign w:val="center"/>
          </w:tcPr>
          <w:p w14:paraId="79790EDF">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税率（%）</w:t>
            </w:r>
          </w:p>
        </w:tc>
      </w:tr>
      <w:tr w14:paraId="3CAE0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5" w:hRule="atLeast"/>
          <w:jc w:val="center"/>
        </w:trPr>
        <w:tc>
          <w:tcPr>
            <w:tcW w:w="5394" w:type="dxa"/>
            <w:tcBorders>
              <w:tl2br w:val="nil"/>
              <w:tr2bl w:val="nil"/>
            </w:tcBorders>
            <w:shd w:val="clear" w:color="auto" w:fill="auto"/>
            <w:noWrap/>
            <w:vAlign w:val="center"/>
          </w:tcPr>
          <w:p w14:paraId="72FAF2B5">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SCR催化剂再生前性能检测服务</w:t>
            </w:r>
          </w:p>
        </w:tc>
        <w:tc>
          <w:tcPr>
            <w:tcW w:w="1314" w:type="dxa"/>
            <w:tcBorders>
              <w:tl2br w:val="nil"/>
              <w:tr2bl w:val="nil"/>
            </w:tcBorders>
            <w:shd w:val="clear" w:color="auto" w:fill="auto"/>
            <w:noWrap/>
            <w:vAlign w:val="center"/>
          </w:tcPr>
          <w:p w14:paraId="0167452E">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项</w:t>
            </w:r>
          </w:p>
        </w:tc>
        <w:tc>
          <w:tcPr>
            <w:tcW w:w="1221" w:type="dxa"/>
            <w:tcBorders>
              <w:tl2br w:val="nil"/>
              <w:tr2bl w:val="nil"/>
            </w:tcBorders>
            <w:shd w:val="clear" w:color="auto" w:fill="auto"/>
            <w:noWrap/>
            <w:vAlign w:val="center"/>
          </w:tcPr>
          <w:p w14:paraId="0D30584B">
            <w:pPr>
              <w:keepNext w:val="0"/>
              <w:keepLines w:val="0"/>
              <w:widowControl/>
              <w:suppressLineNumbers w:val="0"/>
              <w:jc w:val="center"/>
              <w:textAlignment w:val="center"/>
              <w:rPr>
                <w:rFonts w:hint="default" w:ascii="仿宋" w:hAnsi="仿宋" w:eastAsia="仿宋" w:cs="仿宋"/>
                <w:color w:val="000000"/>
                <w:kern w:val="0"/>
                <w:sz w:val="21"/>
                <w:szCs w:val="21"/>
                <w:vertAlign w:val="baseline"/>
                <w:lang w:val="en-US" w:eastAsia="zh-CN" w:bidi="ar-SA"/>
              </w:rPr>
            </w:pPr>
            <w:r>
              <w:rPr>
                <w:rFonts w:hint="eastAsia" w:ascii="仿宋" w:hAnsi="仿宋" w:eastAsia="仿宋" w:cs="仿宋"/>
                <w:color w:val="000000"/>
                <w:kern w:val="0"/>
                <w:sz w:val="21"/>
                <w:szCs w:val="21"/>
                <w:vertAlign w:val="baseline"/>
                <w:lang w:val="en-US" w:eastAsia="zh-CN" w:bidi="ar-SA"/>
              </w:rPr>
              <w:t>1</w:t>
            </w:r>
          </w:p>
        </w:tc>
        <w:tc>
          <w:tcPr>
            <w:tcW w:w="1625" w:type="dxa"/>
            <w:tcBorders>
              <w:tl2br w:val="nil"/>
              <w:tr2bl w:val="nil"/>
            </w:tcBorders>
            <w:shd w:val="clear" w:color="auto" w:fill="auto"/>
            <w:vAlign w:val="center"/>
          </w:tcPr>
          <w:p w14:paraId="326FD25A">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1692" w:type="dxa"/>
            <w:tcBorders>
              <w:tl2br w:val="nil"/>
              <w:tr2bl w:val="nil"/>
            </w:tcBorders>
            <w:shd w:val="clear" w:color="auto" w:fill="auto"/>
            <w:vAlign w:val="center"/>
          </w:tcPr>
          <w:p w14:paraId="7330B84D">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c>
          <w:tcPr>
            <w:tcW w:w="1692" w:type="dxa"/>
            <w:tcBorders>
              <w:tl2br w:val="nil"/>
              <w:tr2bl w:val="nil"/>
            </w:tcBorders>
            <w:shd w:val="clear" w:color="auto" w:fill="auto"/>
            <w:vAlign w:val="center"/>
          </w:tcPr>
          <w:p w14:paraId="7AEF25FD">
            <w:pPr>
              <w:keepNext w:val="0"/>
              <w:keepLines w:val="0"/>
              <w:widowControl/>
              <w:suppressLineNumbers w:val="0"/>
              <w:jc w:val="center"/>
              <w:textAlignment w:val="center"/>
              <w:rPr>
                <w:rFonts w:hint="eastAsia" w:ascii="仿宋" w:hAnsi="仿宋" w:eastAsia="仿宋" w:cs="仿宋"/>
                <w:color w:val="000000"/>
                <w:kern w:val="0"/>
                <w:sz w:val="21"/>
                <w:szCs w:val="21"/>
                <w:vertAlign w:val="baseline"/>
                <w:lang w:val="en-US" w:eastAsia="zh-CN" w:bidi="ar-SA"/>
              </w:rPr>
            </w:pPr>
          </w:p>
        </w:tc>
      </w:tr>
    </w:tbl>
    <w:p w14:paraId="619DBF2A">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202508016</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2025年SCR催化剂再生前性能检测服务采购项目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202508016</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），小写（RMB ）。</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5720"/>
    <w:multiLevelType w:val="singleLevel"/>
    <w:tmpl w:val="A3785720"/>
    <w:lvl w:ilvl="0" w:tentative="0">
      <w:start w:val="2"/>
      <w:numFmt w:val="decimal"/>
      <w:suff w:val="nothing"/>
      <w:lvlText w:val="（%1）"/>
      <w:lvlJc w:val="left"/>
    </w:lvl>
  </w:abstractNum>
  <w:abstractNum w:abstractNumId="1">
    <w:nsid w:val="F54AACC6"/>
    <w:multiLevelType w:val="singleLevel"/>
    <w:tmpl w:val="F54AACC6"/>
    <w:lvl w:ilvl="0" w:tentative="0">
      <w:start w:val="6"/>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51165F"/>
    <w:rsid w:val="03C74493"/>
    <w:rsid w:val="03CA5C6D"/>
    <w:rsid w:val="03F122F8"/>
    <w:rsid w:val="04974919"/>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16079E"/>
    <w:rsid w:val="0F2F6501"/>
    <w:rsid w:val="0F81598B"/>
    <w:rsid w:val="0F83274F"/>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3FC55EB"/>
    <w:rsid w:val="143E2438"/>
    <w:rsid w:val="14422232"/>
    <w:rsid w:val="149D2B06"/>
    <w:rsid w:val="14DF7D0B"/>
    <w:rsid w:val="151447D3"/>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8BC2283"/>
    <w:rsid w:val="190D49C0"/>
    <w:rsid w:val="194A1770"/>
    <w:rsid w:val="198737C7"/>
    <w:rsid w:val="19976A31"/>
    <w:rsid w:val="19A15FDA"/>
    <w:rsid w:val="19DC6BDA"/>
    <w:rsid w:val="1A4B1C44"/>
    <w:rsid w:val="1A972372"/>
    <w:rsid w:val="1AA56FDE"/>
    <w:rsid w:val="1B1B25BA"/>
    <w:rsid w:val="1B7913A6"/>
    <w:rsid w:val="1B8013F7"/>
    <w:rsid w:val="1BAC1C23"/>
    <w:rsid w:val="1D61352C"/>
    <w:rsid w:val="1D882867"/>
    <w:rsid w:val="1DC64ADE"/>
    <w:rsid w:val="1DCF6B00"/>
    <w:rsid w:val="1DFA0457"/>
    <w:rsid w:val="1E5F5CBE"/>
    <w:rsid w:val="1E664B2B"/>
    <w:rsid w:val="1E8307F5"/>
    <w:rsid w:val="1EF2043F"/>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A3446A"/>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5D3CFF"/>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A13664"/>
    <w:rsid w:val="50EE1EB6"/>
    <w:rsid w:val="50F33EC0"/>
    <w:rsid w:val="51412E66"/>
    <w:rsid w:val="516D42D4"/>
    <w:rsid w:val="51937E4D"/>
    <w:rsid w:val="52383592"/>
    <w:rsid w:val="523875F5"/>
    <w:rsid w:val="52506204"/>
    <w:rsid w:val="52BE22AC"/>
    <w:rsid w:val="52E635B0"/>
    <w:rsid w:val="53903E08"/>
    <w:rsid w:val="53945646"/>
    <w:rsid w:val="53FA1DF3"/>
    <w:rsid w:val="541A7921"/>
    <w:rsid w:val="541D55E2"/>
    <w:rsid w:val="54487CF6"/>
    <w:rsid w:val="54AB2D04"/>
    <w:rsid w:val="557B35BC"/>
    <w:rsid w:val="56460F0E"/>
    <w:rsid w:val="565C1CF5"/>
    <w:rsid w:val="56E235EF"/>
    <w:rsid w:val="571D312F"/>
    <w:rsid w:val="571F3A0C"/>
    <w:rsid w:val="574953A9"/>
    <w:rsid w:val="574E47D2"/>
    <w:rsid w:val="57730CE2"/>
    <w:rsid w:val="57DC32D5"/>
    <w:rsid w:val="57F2034A"/>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C7B276E"/>
    <w:rsid w:val="5C9A592C"/>
    <w:rsid w:val="5D1066F9"/>
    <w:rsid w:val="5D9E638A"/>
    <w:rsid w:val="5DF85390"/>
    <w:rsid w:val="5E8E347A"/>
    <w:rsid w:val="5F0279C4"/>
    <w:rsid w:val="5F576ABE"/>
    <w:rsid w:val="5F944466"/>
    <w:rsid w:val="5FBE7D8F"/>
    <w:rsid w:val="60470EFE"/>
    <w:rsid w:val="60844C26"/>
    <w:rsid w:val="60A9029A"/>
    <w:rsid w:val="60DA29A7"/>
    <w:rsid w:val="60F03CB7"/>
    <w:rsid w:val="60FA16F8"/>
    <w:rsid w:val="6139287F"/>
    <w:rsid w:val="616D4934"/>
    <w:rsid w:val="61CA0C65"/>
    <w:rsid w:val="61E8072D"/>
    <w:rsid w:val="62B53263"/>
    <w:rsid w:val="62C642C8"/>
    <w:rsid w:val="62E461D1"/>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9B501A9"/>
    <w:rsid w:val="69C43C55"/>
    <w:rsid w:val="69FA703D"/>
    <w:rsid w:val="6A4E3ABD"/>
    <w:rsid w:val="6AE63D7E"/>
    <w:rsid w:val="6B1FB0C7"/>
    <w:rsid w:val="6B462C2B"/>
    <w:rsid w:val="6B4F0821"/>
    <w:rsid w:val="6B8359E9"/>
    <w:rsid w:val="6B8C5108"/>
    <w:rsid w:val="6BD277B9"/>
    <w:rsid w:val="6C321620"/>
    <w:rsid w:val="6C5C4BB7"/>
    <w:rsid w:val="6CE30E35"/>
    <w:rsid w:val="6D577115"/>
    <w:rsid w:val="6DA02882"/>
    <w:rsid w:val="6DA12E69"/>
    <w:rsid w:val="6DBB3B60"/>
    <w:rsid w:val="6E2C6F5B"/>
    <w:rsid w:val="6E603D3C"/>
    <w:rsid w:val="6F0B4673"/>
    <w:rsid w:val="6F4831D1"/>
    <w:rsid w:val="700E4F44"/>
    <w:rsid w:val="70124E0E"/>
    <w:rsid w:val="70127729"/>
    <w:rsid w:val="70173239"/>
    <w:rsid w:val="711D3FA5"/>
    <w:rsid w:val="71C9107F"/>
    <w:rsid w:val="721A5B23"/>
    <w:rsid w:val="72B931C1"/>
    <w:rsid w:val="72CB03A1"/>
    <w:rsid w:val="730100E0"/>
    <w:rsid w:val="734A515C"/>
    <w:rsid w:val="734F50A6"/>
    <w:rsid w:val="738D03F5"/>
    <w:rsid w:val="73987BB2"/>
    <w:rsid w:val="73C763EF"/>
    <w:rsid w:val="73E442FB"/>
    <w:rsid w:val="73EF1E6D"/>
    <w:rsid w:val="73FB239F"/>
    <w:rsid w:val="74173DA2"/>
    <w:rsid w:val="75465FCB"/>
    <w:rsid w:val="76471CF3"/>
    <w:rsid w:val="76723FC6"/>
    <w:rsid w:val="767E5B01"/>
    <w:rsid w:val="76930879"/>
    <w:rsid w:val="76AE4262"/>
    <w:rsid w:val="7762777C"/>
    <w:rsid w:val="778F44F9"/>
    <w:rsid w:val="77C17FC5"/>
    <w:rsid w:val="77F2017E"/>
    <w:rsid w:val="78520C1D"/>
    <w:rsid w:val="78A551F0"/>
    <w:rsid w:val="78D36201"/>
    <w:rsid w:val="78F771D6"/>
    <w:rsid w:val="79017606"/>
    <w:rsid w:val="79D7762B"/>
    <w:rsid w:val="79EB254B"/>
    <w:rsid w:val="7A2261E4"/>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506AD"/>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 w:type="character" w:customStyle="1" w:styleId="38">
    <w:name w:val="font1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909</Words>
  <Characters>1092</Characters>
  <Lines>224</Lines>
  <Paragraphs>63</Paragraphs>
  <TotalTime>4</TotalTime>
  <ScaleCrop>false</ScaleCrop>
  <LinksUpToDate>false</LinksUpToDate>
  <CharactersWithSpaces>1142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2025-08-15T07:43:24Z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6A3FAF4FDF6846EC8C04DF274AE024E8_13</vt:lpwstr>
  </property>
  <property fmtid="{D5CDD505-2E9C-101B-9397-08002B2CF9AE}" pid="4" name="KSOTemplateDocerSaveRecord">
    <vt:lpwstr>eyJoZGlkIjoiZGE2M2JmYTQ1MzI4YmQxZTA3NWQwODQ1YjYyN2ZmYzQiLCJ1c2VySWQiOiIxNDUxNTgxMDE3In0=</vt:lpwstr>
  </property>
</Properties>
</file>