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2025年-2026年网络安全维保服务（重新询价）采购项目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bookmarkStart w:id="486" w:name="_GoBack"/>
      <w:bookmarkEnd w:id="486"/>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202508002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02"/>
      <w:bookmarkStart w:id="3" w:name="_Toc28359079"/>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202508002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054DE81B">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cs="仿宋" w:asciiTheme="minorEastAsia" w:hAnsiTheme="minorEastAsia"/>
          <w:b/>
          <w:bCs/>
          <w:color w:val="auto"/>
          <w:sz w:val="24"/>
          <w:u w:val="single"/>
          <w:lang w:val="en-US" w:eastAsia="zh-CN"/>
        </w:rPr>
        <w:t>总金额限价12万元，其中办公设备维修配件费及维修费限价8.13万元。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1EF18C2A">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临江公司需采购</w:t>
      </w:r>
      <w:r>
        <w:rPr>
          <w:rFonts w:hint="eastAsia" w:cs="仿宋" w:asciiTheme="minorEastAsia" w:hAnsiTheme="minorEastAsia"/>
          <w:color w:val="auto"/>
          <w:sz w:val="24"/>
          <w:lang w:val="en-US" w:eastAsia="zh-CN"/>
        </w:rPr>
        <w:t>网络安全设备到期续费服务、网络运维服务和应急服务、办公设备维修服务</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具体要求以询价通知书第三部分采购需求为准。</w:t>
      </w:r>
    </w:p>
    <w:p w14:paraId="399E713A">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03"/>
      <w:bookmarkStart w:id="8" w:name="_Toc35393622"/>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793"/>
      <w:bookmarkStart w:id="16" w:name="_Toc28359082"/>
      <w:bookmarkStart w:id="17" w:name="_Toc35393624"/>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2025年-2026年网络安全维保服务（重新询价）采购项目询价保证金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25</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8月15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20B725B0">
      <w:pPr>
        <w:pStyle w:val="13"/>
        <w:rPr>
          <w:rFonts w:hint="eastAsia" w:ascii="宋体" w:hAnsi="宋体" w:eastAsia="宋体" w:cs="宋体"/>
        </w:rPr>
      </w:pPr>
    </w:p>
    <w:p w14:paraId="157B0E28">
      <w:pPr>
        <w:rPr>
          <w:rFonts w:hint="eastAsia"/>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D9EFA4C">
      <w:pPr>
        <w:pStyle w:val="7"/>
        <w:numPr>
          <w:ilvl w:val="0"/>
          <w:numId w:val="0"/>
        </w:numPr>
        <w:ind w:firstLine="480" w:firstLineChars="200"/>
        <w:rPr>
          <w:rFonts w:hint="eastAsia"/>
          <w:color w:val="auto"/>
          <w:lang w:val="en-US" w:eastAsia="zh-CN"/>
        </w:rPr>
      </w:pPr>
      <w:r>
        <w:rPr>
          <w:rFonts w:hint="eastAsia"/>
          <w:color w:val="auto"/>
          <w:lang w:val="en-US" w:eastAsia="zh-CN"/>
        </w:rPr>
        <w:t xml:space="preserve">1.网络安全设备维保续费 </w:t>
      </w:r>
    </w:p>
    <w:p w14:paraId="1A0D6997">
      <w:pPr>
        <w:pStyle w:val="7"/>
        <w:numPr>
          <w:ilvl w:val="0"/>
          <w:numId w:val="0"/>
        </w:numPr>
        <w:ind w:firstLine="480" w:firstLineChars="200"/>
        <w:rPr>
          <w:rFonts w:hint="eastAsia"/>
          <w:color w:val="auto"/>
          <w:lang w:val="en-US" w:eastAsia="zh-CN"/>
        </w:rPr>
      </w:pPr>
      <w:r>
        <w:rPr>
          <w:rFonts w:hint="eastAsia"/>
          <w:color w:val="auto"/>
          <w:lang w:val="en-US" w:eastAsia="zh-CN"/>
        </w:rPr>
        <w:t xml:space="preserve">1.1 深信服上网行为管理：维保续费。 </w:t>
      </w:r>
    </w:p>
    <w:p w14:paraId="112CC0EA">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型号：AC-1000-B1200 </w:t>
      </w:r>
    </w:p>
    <w:p w14:paraId="01D5C7F3">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SN码：5019019853 </w:t>
      </w:r>
    </w:p>
    <w:p w14:paraId="68B6A611">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续费内容：设备一台，包含一年应用识别&amp;URL库升级，一年上网安全授权，一年软件系统升级，一年硬件质保续费。 </w:t>
      </w:r>
    </w:p>
    <w:p w14:paraId="06099490">
      <w:pPr>
        <w:pStyle w:val="7"/>
        <w:numPr>
          <w:ilvl w:val="0"/>
          <w:numId w:val="0"/>
        </w:numPr>
        <w:ind w:firstLine="480" w:firstLineChars="200"/>
        <w:rPr>
          <w:rFonts w:hint="eastAsia"/>
          <w:color w:val="auto"/>
          <w:lang w:val="en-US" w:eastAsia="zh-CN"/>
        </w:rPr>
      </w:pPr>
      <w:r>
        <w:rPr>
          <w:rFonts w:hint="eastAsia"/>
          <w:color w:val="auto"/>
          <w:lang w:val="en-US" w:eastAsia="zh-CN"/>
        </w:rPr>
        <w:t xml:space="preserve">1.2 深信服防火墙：维保续费。 </w:t>
      </w:r>
    </w:p>
    <w:p w14:paraId="4D3E18A2">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型号：AF-1000-B1180 </w:t>
      </w:r>
    </w:p>
    <w:p w14:paraId="597FF199">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SN码：5058017230 </w:t>
      </w:r>
    </w:p>
    <w:p w14:paraId="0F2AD06A">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续费内容：设备一台，包含一年网关杀毒功能，一年云脑-云智最新威胁防御规则库订阅服务，一年云脑-云鉴未知威胁与杀毒订阅服务，一年软件系统升级，一年硬件质保续。 </w:t>
      </w:r>
    </w:p>
    <w:p w14:paraId="18C1C967">
      <w:pPr>
        <w:pStyle w:val="7"/>
        <w:numPr>
          <w:ilvl w:val="0"/>
          <w:numId w:val="0"/>
        </w:numPr>
        <w:ind w:firstLine="480" w:firstLineChars="200"/>
        <w:rPr>
          <w:rFonts w:hint="eastAsia"/>
          <w:color w:val="auto"/>
          <w:lang w:val="en-US" w:eastAsia="zh-CN"/>
        </w:rPr>
      </w:pPr>
      <w:r>
        <w:rPr>
          <w:rFonts w:hint="eastAsia"/>
          <w:color w:val="auto"/>
          <w:lang w:val="en-US" w:eastAsia="zh-CN"/>
        </w:rPr>
        <w:t xml:space="preserve">1.3 华为防火墙：维保续费。 </w:t>
      </w:r>
    </w:p>
    <w:p w14:paraId="439866B2">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型号：USG6325E </w:t>
      </w:r>
    </w:p>
    <w:p w14:paraId="648BBA54">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SN码：102160168117Y </w:t>
      </w:r>
    </w:p>
    <w:p w14:paraId="52E22FB2">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续费内容：设备一台，包含license资源各一年：①入侵防御②反病毒③URL远程查询④云沙箱检测⑤流探针。 </w:t>
      </w:r>
    </w:p>
    <w:p w14:paraId="227E8178">
      <w:pPr>
        <w:pStyle w:val="7"/>
        <w:numPr>
          <w:ilvl w:val="0"/>
          <w:numId w:val="0"/>
        </w:numPr>
        <w:ind w:firstLine="480" w:firstLineChars="200"/>
        <w:rPr>
          <w:rFonts w:hint="eastAsia"/>
          <w:color w:val="auto"/>
          <w:lang w:val="en-US" w:eastAsia="zh-CN"/>
        </w:rPr>
      </w:pPr>
      <w:r>
        <w:rPr>
          <w:rFonts w:hint="eastAsia"/>
          <w:color w:val="auto"/>
          <w:lang w:val="en-US" w:eastAsia="zh-CN"/>
        </w:rPr>
        <w:t xml:space="preserve">2.网络运维服务和应急服务 </w:t>
      </w:r>
    </w:p>
    <w:p w14:paraId="358BA632">
      <w:pPr>
        <w:pStyle w:val="7"/>
        <w:numPr>
          <w:ilvl w:val="0"/>
          <w:numId w:val="0"/>
        </w:numPr>
        <w:ind w:firstLine="480" w:firstLineChars="200"/>
        <w:rPr>
          <w:rFonts w:hint="eastAsia"/>
          <w:color w:val="auto"/>
          <w:lang w:val="en-US" w:eastAsia="zh-CN"/>
        </w:rPr>
      </w:pPr>
      <w:r>
        <w:rPr>
          <w:rFonts w:hint="eastAsia"/>
          <w:color w:val="auto"/>
          <w:lang w:val="en-US" w:eastAsia="zh-CN"/>
        </w:rPr>
        <w:t>负责公司机房网络设备运维服务，供应商定期对机房网络设备进行巡检服务，并且在重大保障时期额外进行巡检，检查设备安全策略的可用性和安全性，并且和采购人讨论后做出合理策略调整；当发生外部黑客入侵、数据泄露、木马病毒等突发安全事件时，实时向采购人通报最新的热点及漏洞，包括可能构成的潜在威胁，并提供相关处置建议。对采购人全厂信息化系统网络进行梳理，绘制拓扑图。</w:t>
      </w:r>
    </w:p>
    <w:p w14:paraId="64228B1E">
      <w:pPr>
        <w:pStyle w:val="7"/>
        <w:numPr>
          <w:ilvl w:val="0"/>
          <w:numId w:val="0"/>
        </w:numPr>
        <w:ind w:firstLine="480" w:firstLineChars="200"/>
        <w:rPr>
          <w:rFonts w:hint="eastAsia"/>
          <w:color w:val="auto"/>
          <w:lang w:val="en-US" w:eastAsia="zh-CN"/>
        </w:rPr>
      </w:pPr>
      <w:r>
        <w:rPr>
          <w:rFonts w:hint="eastAsia"/>
          <w:color w:val="auto"/>
          <w:lang w:val="en-US" w:eastAsia="zh-CN"/>
        </w:rPr>
        <w:t xml:space="preserve">每季度一次上门服务，并且在采购人要求时可以全年额外提供4次上门服务，例如在重大节日和需要保障时期对网络安全设备进行巡检，检查设备安全策略的可用性和安全性，并进行调优。 </w:t>
      </w:r>
    </w:p>
    <w:p w14:paraId="27A327DD">
      <w:pPr>
        <w:pStyle w:val="7"/>
        <w:numPr>
          <w:ilvl w:val="0"/>
          <w:numId w:val="0"/>
        </w:numPr>
        <w:ind w:firstLine="480" w:firstLineChars="200"/>
        <w:rPr>
          <w:rFonts w:hint="eastAsia"/>
          <w:color w:val="auto"/>
          <w:lang w:val="en-US" w:eastAsia="zh-CN"/>
        </w:rPr>
      </w:pPr>
      <w:r>
        <w:rPr>
          <w:rFonts w:hint="eastAsia"/>
          <w:color w:val="auto"/>
          <w:lang w:val="en-US" w:eastAsia="zh-CN"/>
        </w:rPr>
        <w:t xml:space="preserve">在机房网络设备出现故障时，通过远程调试或上门服务，在采购人要求的时间内响应解决问题，恢复网络和业务系统。具体解决时间以采购需求第五点服务要求为准。 </w:t>
      </w:r>
    </w:p>
    <w:p w14:paraId="3701B923">
      <w:pPr>
        <w:pStyle w:val="7"/>
        <w:numPr>
          <w:ilvl w:val="0"/>
          <w:numId w:val="0"/>
        </w:numPr>
        <w:ind w:firstLine="480" w:firstLineChars="200"/>
        <w:rPr>
          <w:rFonts w:hint="eastAsia"/>
          <w:color w:val="auto"/>
          <w:lang w:val="en-US" w:eastAsia="zh-CN"/>
        </w:rPr>
      </w:pPr>
      <w:r>
        <w:rPr>
          <w:rFonts w:hint="eastAsia"/>
          <w:color w:val="auto"/>
          <w:lang w:val="en-US" w:eastAsia="zh-CN"/>
        </w:rPr>
        <w:t xml:space="preserve">3.办公设备维修服务 </w:t>
      </w:r>
    </w:p>
    <w:p w14:paraId="21482FFC">
      <w:pPr>
        <w:pStyle w:val="7"/>
        <w:numPr>
          <w:ilvl w:val="0"/>
          <w:numId w:val="0"/>
        </w:numPr>
        <w:ind w:firstLine="480" w:firstLineChars="200"/>
        <w:rPr>
          <w:rFonts w:hint="default"/>
          <w:color w:val="auto"/>
          <w:lang w:val="en-US" w:eastAsia="zh-CN"/>
        </w:rPr>
      </w:pPr>
      <w:r>
        <w:rPr>
          <w:rFonts w:hint="eastAsia"/>
          <w:color w:val="auto"/>
          <w:lang w:val="en-US" w:eastAsia="zh-CN"/>
        </w:rPr>
        <w:t>采购人办公电脑150台，投影仪6台，打印机18台、办公区域监控300个（暂估数量，具体以采购人实际使用的办公设备数量为准）。供应商在接到采购人通知后应第一时间优先远程处理，无法远程处理应在2个工作日内上门处理，远程服务由供应商免费提供，上门维修工时以实际维修时间为准，供应商维修人员的往返途中时间不计总时间内。办公设备维修配件由采购人另行提供，清单详见报价明细表。</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4AC69D29">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7A8101AC">
      <w:pPr>
        <w:pStyle w:val="8"/>
        <w:numPr>
          <w:ilvl w:val="0"/>
          <w:numId w:val="0"/>
        </w:numPr>
        <w:ind w:firstLine="480" w:firstLineChars="200"/>
        <w:rPr>
          <w:rFonts w:hint="eastAsia"/>
          <w:color w:val="auto"/>
          <w:lang w:val="en-US" w:eastAsia="zh-CN"/>
        </w:rPr>
      </w:pPr>
      <w:r>
        <w:rPr>
          <w:rFonts w:hint="eastAsia"/>
          <w:color w:val="auto"/>
          <w:lang w:val="en-US" w:eastAsia="zh-CN"/>
        </w:rPr>
        <w:t>供应商服务期结束后，采购人根据采购文件的服务要求对全年网络和办公设备的运行情况以及供应商的服务情况进行验收。</w:t>
      </w:r>
    </w:p>
    <w:p w14:paraId="4493AC0E">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质量和</w:t>
      </w:r>
      <w:r>
        <w:rPr>
          <w:rFonts w:hint="eastAsia"/>
          <w:b/>
          <w:bCs/>
          <w:color w:val="auto"/>
          <w:lang w:val="en-US" w:eastAsia="zh-CN"/>
        </w:rPr>
        <w:t>服务要求</w:t>
      </w:r>
    </w:p>
    <w:p w14:paraId="4CB2565C">
      <w:pPr>
        <w:pStyle w:val="7"/>
        <w:numPr>
          <w:ilvl w:val="0"/>
          <w:numId w:val="0"/>
        </w:numPr>
        <w:ind w:firstLine="480" w:firstLineChars="200"/>
        <w:rPr>
          <w:rFonts w:hint="eastAsia"/>
          <w:color w:val="auto"/>
          <w:lang w:val="en-US" w:eastAsia="zh-CN"/>
        </w:rPr>
      </w:pPr>
      <w:r>
        <w:rPr>
          <w:rFonts w:hint="eastAsia"/>
          <w:color w:val="auto"/>
          <w:lang w:val="en-US" w:eastAsia="zh-CN"/>
        </w:rPr>
        <w:t>完成采购人要求的网络安全设备到期续费，做好采购人整年的网络运维服务、应急服务以及办公设备维修服务，确保采购人全年网络以及办公设备安全稳定运行。若网络或办公设备出现故障，需在采购人要求的时间内响应解决问题，恢复网络和业务系统。</w:t>
      </w:r>
    </w:p>
    <w:p w14:paraId="6919B0B7">
      <w:pPr>
        <w:pStyle w:val="7"/>
        <w:numPr>
          <w:ilvl w:val="0"/>
          <w:numId w:val="0"/>
        </w:numPr>
        <w:ind w:firstLine="480" w:firstLineChars="200"/>
        <w:rPr>
          <w:rFonts w:hint="eastAsia"/>
          <w:color w:val="auto"/>
          <w:lang w:val="en-US" w:eastAsia="zh-CN"/>
        </w:rPr>
      </w:pPr>
      <w:r>
        <w:rPr>
          <w:rFonts w:hint="eastAsia"/>
          <w:color w:val="auto"/>
          <w:lang w:val="en-US" w:eastAsia="zh-CN"/>
        </w:rPr>
        <w:t xml:space="preserve">1.网络和业务系统故障响应解决时间如下： </w:t>
      </w:r>
    </w:p>
    <w:p w14:paraId="223C1886">
      <w:pPr>
        <w:pStyle w:val="7"/>
        <w:numPr>
          <w:ilvl w:val="0"/>
          <w:numId w:val="0"/>
        </w:numPr>
        <w:ind w:firstLine="480" w:firstLineChars="200"/>
        <w:rPr>
          <w:rFonts w:hint="eastAsia"/>
          <w:color w:val="auto"/>
          <w:lang w:val="en-US" w:eastAsia="zh-CN"/>
        </w:rPr>
      </w:pPr>
      <w:r>
        <w:rPr>
          <w:rFonts w:hint="eastAsia"/>
          <w:color w:val="auto"/>
          <w:lang w:val="en-US" w:eastAsia="zh-CN"/>
        </w:rPr>
        <w:t xml:space="preserve">1.1【一级故障】指设备在运行中出现系统瘫痪或服务中断，导致设备的基本功能不能实现或全面退化的故障;其他造成业务中断1个小时以上或导致关键业务数据丢失的故障。主、备设备发生故障无法正常工作，故障诊断时间小于30分钟，业务恢复时间小于4小时，故障解决时间小于48小时。 </w:t>
      </w:r>
    </w:p>
    <w:p w14:paraId="5E3D57D2">
      <w:pPr>
        <w:pStyle w:val="7"/>
        <w:numPr>
          <w:ilvl w:val="0"/>
          <w:numId w:val="0"/>
        </w:numPr>
        <w:ind w:firstLine="480" w:firstLineChars="200"/>
        <w:rPr>
          <w:rFonts w:hint="eastAsia"/>
          <w:color w:val="auto"/>
          <w:lang w:val="en-US" w:eastAsia="zh-CN"/>
        </w:rPr>
      </w:pPr>
      <w:r>
        <w:rPr>
          <w:rFonts w:hint="eastAsia"/>
          <w:color w:val="auto"/>
          <w:lang w:val="en-US" w:eastAsia="zh-CN"/>
        </w:rPr>
        <w:t xml:space="preserve">1.2【二级故障】指设备在运行中出现的直接影响业务、并导致系统性能或业务部分退化的故障；设备在运行中出现的故障具有潜在的系统瘫痪或服务中断的危险，并可能导致设备的基本功能不能实现或全面退化，冗余设备单侧故障、监控终端故障等； </w:t>
      </w:r>
    </w:p>
    <w:p w14:paraId="594E6409">
      <w:pPr>
        <w:pStyle w:val="7"/>
        <w:numPr>
          <w:ilvl w:val="0"/>
          <w:numId w:val="0"/>
        </w:numPr>
        <w:rPr>
          <w:rFonts w:hint="eastAsia"/>
          <w:color w:val="auto"/>
          <w:lang w:val="en-US" w:eastAsia="zh-CN"/>
        </w:rPr>
      </w:pPr>
      <w:r>
        <w:rPr>
          <w:rFonts w:hint="eastAsia"/>
          <w:color w:val="auto"/>
          <w:lang w:val="en-US" w:eastAsia="zh-CN"/>
        </w:rPr>
        <w:t xml:space="preserve">系统设备或操作系统故障，造成业务中断但不满1小时的，如系统复位等，故障诊断时间小于 1小时，业务恢复时间小于12小时，故障解决时间小于48小时。 </w:t>
      </w:r>
    </w:p>
    <w:p w14:paraId="6F5AB71E">
      <w:pPr>
        <w:pStyle w:val="7"/>
        <w:numPr>
          <w:ilvl w:val="0"/>
          <w:numId w:val="0"/>
        </w:numPr>
        <w:ind w:firstLine="480" w:firstLineChars="200"/>
        <w:rPr>
          <w:rFonts w:hint="eastAsia"/>
          <w:color w:val="auto"/>
          <w:lang w:val="en-US" w:eastAsia="zh-CN"/>
        </w:rPr>
      </w:pPr>
      <w:r>
        <w:rPr>
          <w:rFonts w:hint="eastAsia"/>
          <w:color w:val="auto"/>
          <w:lang w:val="en-US" w:eastAsia="zh-CN"/>
        </w:rPr>
        <w:t>1.3【三级故障】指设备在运行中出现的，影响系统功能和性能，但关键业务不受影响的故障。冗余设备发生故障，不影响客户业务，故障诊断时间小于12小时，故障解决时间小于120小时。</w:t>
      </w:r>
    </w:p>
    <w:p w14:paraId="5512A7AB">
      <w:pPr>
        <w:pStyle w:val="8"/>
        <w:rPr>
          <w:rFonts w:hint="default"/>
          <w:color w:val="auto"/>
          <w:lang w:val="en-US" w:eastAsia="zh-CN"/>
        </w:rPr>
      </w:pPr>
      <w:r>
        <w:rPr>
          <w:rFonts w:hint="eastAsia"/>
          <w:color w:val="auto"/>
          <w:lang w:val="en-US" w:eastAsia="zh-CN"/>
        </w:rPr>
        <w:t>2.网络安全设备维保续费应在接到采购人通知后两周内完成续费。</w:t>
      </w:r>
    </w:p>
    <w:p w14:paraId="612F291A">
      <w:pPr>
        <w:pStyle w:val="7"/>
        <w:numPr>
          <w:ilvl w:val="0"/>
          <w:numId w:val="0"/>
        </w:numPr>
        <w:ind w:firstLine="482" w:firstLineChars="200"/>
        <w:rPr>
          <w:rFonts w:hint="eastAsia"/>
          <w:b/>
          <w:bCs/>
          <w:color w:val="auto"/>
          <w:lang w:val="en-US" w:eastAsia="zh-CN"/>
        </w:rPr>
      </w:pPr>
    </w:p>
    <w:p w14:paraId="0DC14CE9">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供应商</w:t>
      </w:r>
      <w:r>
        <w:rPr>
          <w:rFonts w:hint="eastAsia" w:ascii="宋体" w:hAnsi="宋体" w:cs="宋体"/>
          <w:sz w:val="24"/>
        </w:rPr>
        <w:t>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06529CE4">
      <w:pPr>
        <w:pStyle w:val="8"/>
        <w:numPr>
          <w:ilvl w:val="0"/>
          <w:numId w:val="0"/>
        </w:numPr>
        <w:tabs>
          <w:tab w:val="left" w:pos="766"/>
        </w:tabs>
        <w:ind w:firstLine="480" w:firstLineChars="200"/>
        <w:rPr>
          <w:rFonts w:hint="default" w:ascii="宋体" w:hAnsi="Times New Roman" w:cs="Times New Roman" w:eastAsiaTheme="minorEastAsia"/>
          <w:snapToGrid/>
          <w:kern w:val="2"/>
          <w:sz w:val="24"/>
          <w:szCs w:val="20"/>
          <w:lang w:val="en-US" w:eastAsia="zh-CN" w:bidi="ar-SA"/>
        </w:rPr>
      </w:pPr>
      <w:r>
        <w:rPr>
          <w:rFonts w:hint="eastAsia" w:ascii="宋体" w:hAnsi="Times New Roman" w:cs="Times New Roman" w:eastAsiaTheme="minorEastAsia"/>
          <w:snapToGrid/>
          <w:kern w:val="2"/>
          <w:sz w:val="24"/>
          <w:szCs w:val="20"/>
          <w:lang w:val="zh-CN" w:eastAsia="zh-CN" w:bidi="ar-SA"/>
        </w:rPr>
        <w:t>5.</w:t>
      </w:r>
      <w:r>
        <w:rPr>
          <w:rFonts w:hint="eastAsia" w:cs="Times New Roman"/>
          <w:snapToGrid/>
          <w:kern w:val="2"/>
          <w:sz w:val="24"/>
          <w:szCs w:val="20"/>
          <w:lang w:val="en-US" w:eastAsia="zh-CN" w:bidi="ar-SA"/>
        </w:rPr>
        <w:t>若涉及到需要更换新的备件时，供应商须向采购人报送需要更换的备件清单、维修所需的工时，经采购人同意后方可进行更换；</w:t>
      </w:r>
    </w:p>
    <w:p w14:paraId="072F47DC">
      <w:pPr>
        <w:pStyle w:val="8"/>
        <w:numPr>
          <w:ilvl w:val="0"/>
          <w:numId w:val="0"/>
        </w:numPr>
        <w:tabs>
          <w:tab w:val="left" w:pos="766"/>
        </w:tabs>
        <w:ind w:firstLine="480" w:firstLineChars="200"/>
        <w:rPr>
          <w:rFonts w:hint="eastAsia"/>
        </w:rPr>
      </w:pPr>
      <w:r>
        <w:rPr>
          <w:rFonts w:hint="eastAsia" w:hAnsi="宋体" w:cs="宋体"/>
          <w:sz w:val="24"/>
          <w:lang w:val="en-US" w:eastAsia="zh-CN"/>
        </w:rPr>
        <w:t>6.</w:t>
      </w:r>
      <w:r>
        <w:rPr>
          <w:rFonts w:hint="eastAsia" w:ascii="宋体" w:hAnsi="宋体" w:cs="宋体"/>
          <w:sz w:val="24"/>
          <w:lang w:eastAsia="zh-CN"/>
        </w:rPr>
        <w:t>采购人</w:t>
      </w:r>
      <w:r>
        <w:rPr>
          <w:rFonts w:hint="eastAsia" w:ascii="宋体" w:hAnsi="宋体" w:cs="宋体"/>
          <w:sz w:val="24"/>
        </w:rPr>
        <w:t>不再对任何售后服务进行付费，</w:t>
      </w:r>
      <w:r>
        <w:rPr>
          <w:rFonts w:hint="eastAsia" w:ascii="宋体" w:hAnsi="宋体" w:cs="宋体"/>
          <w:sz w:val="24"/>
          <w:lang w:eastAsia="zh-CN"/>
        </w:rPr>
        <w:t>供应商</w:t>
      </w:r>
      <w:r>
        <w:rPr>
          <w:rFonts w:hint="eastAsia" w:ascii="宋体" w:hAnsi="宋体" w:cs="宋体"/>
          <w:sz w:val="24"/>
        </w:rPr>
        <w:t>的派遣人员产生的一切费用由供应商承担。</w:t>
      </w:r>
    </w:p>
    <w:p w14:paraId="13E01DB9">
      <w:pPr>
        <w:pStyle w:val="7"/>
        <w:ind w:firstLine="480" w:firstLineChars="20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7.</w:t>
      </w:r>
      <w:r>
        <w:rPr>
          <w:rFonts w:hint="eastAsia" w:hAnsi="宋体" w:cs="宋体"/>
          <w:b w:val="0"/>
          <w:bCs/>
          <w:color w:val="auto"/>
          <w:sz w:val="24"/>
          <w:lang w:val="en-US" w:eastAsia="zh-CN"/>
        </w:rPr>
        <w:t>供应商</w:t>
      </w:r>
      <w:r>
        <w:rPr>
          <w:rFonts w:hint="eastAsia" w:ascii="宋体" w:hAnsi="宋体" w:cs="宋体"/>
          <w:b w:val="0"/>
          <w:bCs/>
          <w:color w:val="auto"/>
          <w:sz w:val="24"/>
          <w:lang w:val="en-US" w:eastAsia="zh-CN"/>
        </w:rPr>
        <w:t>维修后的办公设备质保期限为3个月，</w:t>
      </w:r>
      <w:r>
        <w:rPr>
          <w:rFonts w:hint="eastAsia"/>
          <w:b w:val="0"/>
          <w:bCs/>
          <w:color w:val="auto"/>
          <w:lang w:val="en-US"/>
        </w:rPr>
        <w:t>若质保期内出现质量问题（非质量问题除外），由</w:t>
      </w:r>
      <w:r>
        <w:rPr>
          <w:rFonts w:hint="eastAsia"/>
          <w:b w:val="0"/>
          <w:bCs/>
          <w:color w:val="auto"/>
          <w:lang w:val="en-US" w:eastAsia="zh-CN"/>
        </w:rPr>
        <w:t>供应商</w:t>
      </w:r>
      <w:r>
        <w:rPr>
          <w:rFonts w:hint="eastAsia"/>
          <w:b w:val="0"/>
          <w:bCs/>
          <w:color w:val="auto"/>
          <w:lang w:val="en-US"/>
        </w:rPr>
        <w:t>负责免费维修或者更换，产生的费用全部由</w:t>
      </w:r>
      <w:r>
        <w:rPr>
          <w:rFonts w:hint="eastAsia"/>
          <w:b w:val="0"/>
          <w:bCs/>
          <w:color w:val="auto"/>
          <w:lang w:val="en-US" w:eastAsia="zh-CN"/>
        </w:rPr>
        <w:t>供应商</w:t>
      </w:r>
      <w:r>
        <w:rPr>
          <w:rFonts w:hint="eastAsia"/>
          <w:b w:val="0"/>
          <w:bCs/>
          <w:color w:val="auto"/>
          <w:lang w:val="en-US"/>
        </w:rPr>
        <w:t>承担，质保期重新计算。</w:t>
      </w:r>
    </w:p>
    <w:p w14:paraId="2EF6AEB6">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14:paraId="5709A167">
      <w:pPr>
        <w:pStyle w:val="8"/>
        <w:ind w:firstLine="480" w:firstLineChars="200"/>
        <w:rPr>
          <w:rFonts w:hint="eastAsia"/>
          <w:u w:val="none"/>
          <w:lang w:val="en-US" w:eastAsia="zh-CN"/>
        </w:rPr>
      </w:pPr>
      <w:r>
        <w:rPr>
          <w:rFonts w:hint="eastAsia"/>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hAnsi="宋体" w:eastAsia="宋体" w:cs="宋体"/>
          <w:b/>
          <w:bCs/>
          <w:lang w:val="en-US" w:eastAsia="zh-CN"/>
        </w:rPr>
        <w:t>六</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2CBCA8C0">
      <w:pPr>
        <w:rPr>
          <w:rFonts w:hint="eastAsia" w:ascii="宋体" w:hAnsi="宋体" w:eastAsia="宋体" w:cs="宋体"/>
        </w:rPr>
      </w:pPr>
    </w:p>
    <w:p w14:paraId="06724350">
      <w:pPr>
        <w:rPr>
          <w:rFonts w:hint="eastAsia" w:ascii="宋体" w:hAnsi="宋体" w:eastAsia="宋体" w:cs="宋体"/>
        </w:rPr>
      </w:pPr>
    </w:p>
    <w:p w14:paraId="12EBF00F">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2077"/>
      <w:bookmarkEnd w:id="19"/>
      <w:bookmarkStart w:id="20" w:name="_Toc184313258"/>
      <w:bookmarkEnd w:id="20"/>
      <w:bookmarkStart w:id="21" w:name="_Toc184314472"/>
      <w:bookmarkEnd w:id="21"/>
      <w:bookmarkStart w:id="22" w:name="_Toc184308068"/>
      <w:bookmarkEnd w:id="22"/>
      <w:bookmarkStart w:id="23" w:name="_Toc184310275"/>
      <w:bookmarkEnd w:id="23"/>
      <w:bookmarkStart w:id="24" w:name="_Toc184310342"/>
      <w:bookmarkEnd w:id="24"/>
      <w:bookmarkStart w:id="25" w:name="_Toc184312112"/>
      <w:bookmarkEnd w:id="25"/>
      <w:bookmarkStart w:id="26" w:name="_Toc184312114"/>
      <w:bookmarkEnd w:id="26"/>
      <w:bookmarkStart w:id="27" w:name="_Toc184308039"/>
      <w:bookmarkEnd w:id="27"/>
      <w:bookmarkStart w:id="28" w:name="_Toc184313281"/>
      <w:bookmarkEnd w:id="28"/>
      <w:bookmarkStart w:id="29" w:name="_Toc184312113"/>
      <w:bookmarkEnd w:id="29"/>
      <w:bookmarkStart w:id="30" w:name="_Toc184310330"/>
      <w:bookmarkEnd w:id="30"/>
      <w:bookmarkStart w:id="31" w:name="_Toc184312102"/>
      <w:bookmarkEnd w:id="31"/>
      <w:bookmarkStart w:id="32" w:name="_Toc184312101"/>
      <w:bookmarkEnd w:id="32"/>
      <w:bookmarkStart w:id="33" w:name="_Toc184314475"/>
      <w:bookmarkEnd w:id="33"/>
      <w:bookmarkStart w:id="34" w:name="_Toc184313263"/>
      <w:bookmarkEnd w:id="34"/>
      <w:bookmarkStart w:id="35" w:name="_Toc184310282"/>
      <w:bookmarkEnd w:id="35"/>
      <w:bookmarkStart w:id="36" w:name="_Toc184314440"/>
      <w:bookmarkEnd w:id="36"/>
      <w:bookmarkStart w:id="37" w:name="_Toc184308106"/>
      <w:bookmarkEnd w:id="37"/>
      <w:bookmarkStart w:id="38" w:name="_Toc184310279"/>
      <w:bookmarkEnd w:id="38"/>
      <w:bookmarkStart w:id="39" w:name="_Toc184310294"/>
      <w:bookmarkEnd w:id="39"/>
      <w:bookmarkStart w:id="40" w:name="_Toc184312128"/>
      <w:bookmarkEnd w:id="40"/>
      <w:bookmarkStart w:id="41" w:name="_Toc184313297"/>
      <w:bookmarkEnd w:id="41"/>
      <w:bookmarkStart w:id="42" w:name="_Toc184308043"/>
      <w:bookmarkEnd w:id="42"/>
      <w:bookmarkStart w:id="43" w:name="_Toc184312096"/>
      <w:bookmarkEnd w:id="43"/>
      <w:bookmarkStart w:id="44" w:name="_Toc184310325"/>
      <w:bookmarkEnd w:id="44"/>
      <w:bookmarkStart w:id="45" w:name="_Toc184312090"/>
      <w:bookmarkEnd w:id="45"/>
      <w:bookmarkStart w:id="46" w:name="_Toc184313239"/>
      <w:bookmarkEnd w:id="46"/>
      <w:bookmarkStart w:id="47" w:name="_Toc184314481"/>
      <w:bookmarkEnd w:id="47"/>
      <w:bookmarkStart w:id="48" w:name="_Toc184308090"/>
      <w:bookmarkEnd w:id="48"/>
      <w:bookmarkStart w:id="49" w:name="_Toc184314444"/>
      <w:bookmarkEnd w:id="49"/>
      <w:bookmarkStart w:id="50" w:name="_Toc184310329"/>
      <w:bookmarkEnd w:id="50"/>
      <w:bookmarkStart w:id="51" w:name="_Toc184310335"/>
      <w:bookmarkEnd w:id="51"/>
      <w:bookmarkStart w:id="52" w:name="_Toc184312125"/>
      <w:bookmarkEnd w:id="52"/>
      <w:bookmarkStart w:id="53" w:name="_Toc184314478"/>
      <w:bookmarkEnd w:id="53"/>
      <w:bookmarkStart w:id="54" w:name="_Toc184313307"/>
      <w:bookmarkEnd w:id="54"/>
      <w:bookmarkStart w:id="55" w:name="_Toc184313278"/>
      <w:bookmarkEnd w:id="55"/>
      <w:bookmarkStart w:id="56" w:name="_Toc184308045"/>
      <w:bookmarkEnd w:id="56"/>
      <w:bookmarkStart w:id="57" w:name="_Toc184308094"/>
      <w:bookmarkEnd w:id="57"/>
      <w:bookmarkStart w:id="58" w:name="_Toc184310287"/>
      <w:bookmarkEnd w:id="58"/>
      <w:bookmarkStart w:id="59" w:name="_Toc184310276"/>
      <w:bookmarkEnd w:id="59"/>
      <w:bookmarkStart w:id="60" w:name="_Toc184314477"/>
      <w:bookmarkEnd w:id="60"/>
      <w:bookmarkStart w:id="61" w:name="_Toc184314427"/>
      <w:bookmarkEnd w:id="61"/>
      <w:bookmarkStart w:id="62" w:name="_Toc184313261"/>
      <w:bookmarkEnd w:id="62"/>
      <w:bookmarkStart w:id="63" w:name="_Toc184314463"/>
      <w:bookmarkEnd w:id="63"/>
      <w:bookmarkStart w:id="64" w:name="_Toc184310317"/>
      <w:bookmarkEnd w:id="64"/>
      <w:bookmarkStart w:id="65" w:name="_Toc184308042"/>
      <w:bookmarkEnd w:id="65"/>
      <w:bookmarkStart w:id="66" w:name="_Toc184313256"/>
      <w:bookmarkEnd w:id="66"/>
      <w:bookmarkStart w:id="67" w:name="_Toc184312072"/>
      <w:bookmarkEnd w:id="67"/>
      <w:bookmarkStart w:id="68" w:name="_Toc184312126"/>
      <w:bookmarkEnd w:id="68"/>
      <w:bookmarkStart w:id="69" w:name="_Toc184314437"/>
      <w:bookmarkEnd w:id="69"/>
      <w:bookmarkStart w:id="70" w:name="_Toc184312100"/>
      <w:bookmarkEnd w:id="70"/>
      <w:bookmarkStart w:id="71" w:name="_Toc184310283"/>
      <w:bookmarkEnd w:id="71"/>
      <w:bookmarkStart w:id="72" w:name="_Toc184310341"/>
      <w:bookmarkEnd w:id="72"/>
      <w:bookmarkStart w:id="73" w:name="_Toc184312075"/>
      <w:bookmarkEnd w:id="73"/>
      <w:bookmarkStart w:id="74" w:name="_Toc184313245"/>
      <w:bookmarkEnd w:id="74"/>
      <w:bookmarkStart w:id="75" w:name="_Toc184308054"/>
      <w:bookmarkEnd w:id="75"/>
      <w:bookmarkStart w:id="76" w:name="_Toc184312131"/>
      <w:bookmarkEnd w:id="76"/>
      <w:bookmarkStart w:id="77" w:name="_Toc184312087"/>
      <w:bookmarkEnd w:id="77"/>
      <w:bookmarkStart w:id="78" w:name="_Toc184310327"/>
      <w:bookmarkEnd w:id="78"/>
      <w:bookmarkStart w:id="79" w:name="_Toc184308063"/>
      <w:bookmarkEnd w:id="79"/>
      <w:bookmarkStart w:id="80" w:name="_Toc184313285"/>
      <w:bookmarkEnd w:id="80"/>
      <w:bookmarkStart w:id="81" w:name="_Toc184314441"/>
      <w:bookmarkEnd w:id="81"/>
      <w:bookmarkStart w:id="82" w:name="_Toc184308105"/>
      <w:bookmarkEnd w:id="82"/>
      <w:bookmarkStart w:id="83" w:name="_Toc184308095"/>
      <w:bookmarkEnd w:id="83"/>
      <w:bookmarkStart w:id="84" w:name="_Toc184308050"/>
      <w:bookmarkEnd w:id="84"/>
      <w:bookmarkStart w:id="85" w:name="_Toc184314453"/>
      <w:bookmarkEnd w:id="85"/>
      <w:bookmarkStart w:id="86" w:name="_Toc184308091"/>
      <w:bookmarkEnd w:id="86"/>
      <w:bookmarkStart w:id="87" w:name="_Toc184314451"/>
      <w:bookmarkEnd w:id="87"/>
      <w:bookmarkStart w:id="88" w:name="_Toc184314461"/>
      <w:bookmarkEnd w:id="88"/>
      <w:bookmarkStart w:id="89" w:name="_Toc184314482"/>
      <w:bookmarkEnd w:id="89"/>
      <w:bookmarkStart w:id="90" w:name="_Toc184313284"/>
      <w:bookmarkEnd w:id="90"/>
      <w:bookmarkStart w:id="91" w:name="_Toc184308073"/>
      <w:bookmarkEnd w:id="91"/>
      <w:bookmarkStart w:id="92" w:name="_Toc184314421"/>
      <w:bookmarkEnd w:id="92"/>
      <w:bookmarkStart w:id="93" w:name="_Toc184308052"/>
      <w:bookmarkEnd w:id="93"/>
      <w:bookmarkStart w:id="94" w:name="_Toc184310289"/>
      <w:bookmarkEnd w:id="94"/>
      <w:bookmarkStart w:id="95" w:name="_Toc184312139"/>
      <w:bookmarkEnd w:id="95"/>
      <w:bookmarkStart w:id="96" w:name="_Toc184312105"/>
      <w:bookmarkEnd w:id="96"/>
      <w:bookmarkStart w:id="97" w:name="_Toc184313264"/>
      <w:bookmarkEnd w:id="97"/>
      <w:bookmarkStart w:id="98" w:name="_Toc184314473"/>
      <w:bookmarkEnd w:id="98"/>
      <w:bookmarkStart w:id="99" w:name="_Toc184312085"/>
      <w:bookmarkEnd w:id="99"/>
      <w:bookmarkStart w:id="100" w:name="_Toc184308074"/>
      <w:bookmarkEnd w:id="100"/>
      <w:bookmarkStart w:id="101" w:name="_Toc184308048"/>
      <w:bookmarkEnd w:id="101"/>
      <w:bookmarkStart w:id="102" w:name="_Toc184313303"/>
      <w:bookmarkEnd w:id="102"/>
      <w:bookmarkStart w:id="103" w:name="_Toc184313262"/>
      <w:bookmarkEnd w:id="103"/>
      <w:bookmarkStart w:id="104" w:name="_Toc184313252"/>
      <w:bookmarkEnd w:id="104"/>
      <w:bookmarkStart w:id="105" w:name="_Toc184308089"/>
      <w:bookmarkEnd w:id="105"/>
      <w:bookmarkStart w:id="106" w:name="_Toc184312093"/>
      <w:bookmarkEnd w:id="106"/>
      <w:bookmarkStart w:id="107" w:name="_Toc184313298"/>
      <w:bookmarkEnd w:id="107"/>
      <w:bookmarkStart w:id="108" w:name="_Toc184314424"/>
      <w:bookmarkEnd w:id="108"/>
      <w:bookmarkStart w:id="109" w:name="_Toc184308061"/>
      <w:bookmarkEnd w:id="109"/>
      <w:bookmarkStart w:id="110" w:name="_Toc184308100"/>
      <w:bookmarkEnd w:id="110"/>
      <w:bookmarkStart w:id="111" w:name="_Toc184310304"/>
      <w:bookmarkEnd w:id="111"/>
      <w:bookmarkStart w:id="112" w:name="_Toc184312098"/>
      <w:bookmarkEnd w:id="112"/>
      <w:bookmarkStart w:id="113" w:name="_Toc184312122"/>
      <w:bookmarkEnd w:id="113"/>
      <w:bookmarkStart w:id="114" w:name="_Toc184312099"/>
      <w:bookmarkEnd w:id="114"/>
      <w:bookmarkStart w:id="115" w:name="_Toc184310312"/>
      <w:bookmarkEnd w:id="115"/>
      <w:bookmarkStart w:id="116" w:name="_Toc184312076"/>
      <w:bookmarkEnd w:id="116"/>
      <w:bookmarkStart w:id="117" w:name="_Toc184310313"/>
      <w:bookmarkEnd w:id="117"/>
      <w:bookmarkStart w:id="118" w:name="_Toc184308041"/>
      <w:bookmarkEnd w:id="118"/>
      <w:bookmarkStart w:id="119" w:name="_Toc184310286"/>
      <w:bookmarkEnd w:id="119"/>
      <w:bookmarkStart w:id="120" w:name="_Toc184310301"/>
      <w:bookmarkEnd w:id="120"/>
      <w:bookmarkStart w:id="121" w:name="_Toc184313302"/>
      <w:bookmarkEnd w:id="121"/>
      <w:bookmarkStart w:id="122" w:name="_Toc184310314"/>
      <w:bookmarkEnd w:id="122"/>
      <w:bookmarkStart w:id="123" w:name="_Toc184312070"/>
      <w:bookmarkEnd w:id="123"/>
      <w:bookmarkStart w:id="124" w:name="_Toc184312107"/>
      <w:bookmarkEnd w:id="124"/>
      <w:bookmarkStart w:id="125" w:name="_Toc184313257"/>
      <w:bookmarkEnd w:id="125"/>
      <w:bookmarkStart w:id="126" w:name="_Toc184313279"/>
      <w:bookmarkEnd w:id="126"/>
      <w:bookmarkStart w:id="127" w:name="_Toc184312091"/>
      <w:bookmarkEnd w:id="127"/>
      <w:bookmarkStart w:id="128" w:name="_Toc184310337"/>
      <w:bookmarkEnd w:id="128"/>
      <w:bookmarkStart w:id="129" w:name="_Toc184314426"/>
      <w:bookmarkEnd w:id="129"/>
      <w:bookmarkStart w:id="130" w:name="_Toc184312082"/>
      <w:bookmarkEnd w:id="130"/>
      <w:bookmarkStart w:id="131" w:name="_Toc184308072"/>
      <w:bookmarkEnd w:id="131"/>
      <w:bookmarkStart w:id="132" w:name="_Toc184313291"/>
      <w:bookmarkEnd w:id="132"/>
      <w:bookmarkStart w:id="133" w:name="_Toc184312121"/>
      <w:bookmarkEnd w:id="133"/>
      <w:bookmarkStart w:id="134" w:name="_Toc184308040"/>
      <w:bookmarkEnd w:id="134"/>
      <w:bookmarkStart w:id="135" w:name="_Toc184308053"/>
      <w:bookmarkEnd w:id="135"/>
      <w:bookmarkStart w:id="136" w:name="_Toc184313260"/>
      <w:bookmarkEnd w:id="136"/>
      <w:bookmarkStart w:id="137" w:name="_Toc184308066"/>
      <w:bookmarkEnd w:id="137"/>
      <w:bookmarkStart w:id="138" w:name="_Toc184312116"/>
      <w:bookmarkEnd w:id="138"/>
      <w:bookmarkStart w:id="139" w:name="_Toc184313293"/>
      <w:bookmarkEnd w:id="139"/>
      <w:bookmarkStart w:id="140" w:name="_Toc184308101"/>
      <w:bookmarkEnd w:id="140"/>
      <w:bookmarkStart w:id="141" w:name="_Toc184312136"/>
      <w:bookmarkEnd w:id="141"/>
      <w:bookmarkStart w:id="142" w:name="_Toc184310319"/>
      <w:bookmarkEnd w:id="142"/>
      <w:bookmarkStart w:id="143" w:name="_Toc184314411"/>
      <w:bookmarkEnd w:id="143"/>
      <w:bookmarkStart w:id="144" w:name="_Toc184310296"/>
      <w:bookmarkEnd w:id="144"/>
      <w:bookmarkStart w:id="145" w:name="_Toc184313254"/>
      <w:bookmarkEnd w:id="145"/>
      <w:bookmarkStart w:id="146" w:name="_Toc184314429"/>
      <w:bookmarkEnd w:id="146"/>
      <w:bookmarkStart w:id="147" w:name="_Toc184314468"/>
      <w:bookmarkEnd w:id="147"/>
      <w:bookmarkStart w:id="148" w:name="_Toc184314474"/>
      <w:bookmarkEnd w:id="148"/>
      <w:bookmarkStart w:id="149" w:name="_Toc184308062"/>
      <w:bookmarkEnd w:id="149"/>
      <w:bookmarkStart w:id="150" w:name="_Toc184312138"/>
      <w:bookmarkEnd w:id="150"/>
      <w:bookmarkStart w:id="151" w:name="_Toc184313308"/>
      <w:bookmarkEnd w:id="151"/>
      <w:bookmarkStart w:id="152" w:name="_Toc184308086"/>
      <w:bookmarkEnd w:id="152"/>
      <w:bookmarkStart w:id="153" w:name="_Toc184310273"/>
      <w:bookmarkEnd w:id="153"/>
      <w:bookmarkStart w:id="154" w:name="_Toc184313241"/>
      <w:bookmarkEnd w:id="154"/>
      <w:bookmarkStart w:id="155" w:name="_Toc184310295"/>
      <w:bookmarkEnd w:id="155"/>
      <w:bookmarkStart w:id="156" w:name="_Toc184313242"/>
      <w:bookmarkEnd w:id="156"/>
      <w:bookmarkStart w:id="157" w:name="_Toc184310277"/>
      <w:bookmarkEnd w:id="157"/>
      <w:bookmarkStart w:id="158" w:name="_Toc184314430"/>
      <w:bookmarkEnd w:id="158"/>
      <w:bookmarkStart w:id="159" w:name="_Toc184310308"/>
      <w:bookmarkEnd w:id="159"/>
      <w:bookmarkStart w:id="160" w:name="_Toc184310324"/>
      <w:bookmarkEnd w:id="160"/>
      <w:bookmarkStart w:id="161" w:name="_Toc184312103"/>
      <w:bookmarkEnd w:id="161"/>
      <w:bookmarkStart w:id="162" w:name="_Toc184313270"/>
      <w:bookmarkEnd w:id="162"/>
      <w:bookmarkStart w:id="163" w:name="_Toc184312086"/>
      <w:bookmarkEnd w:id="163"/>
      <w:bookmarkStart w:id="164" w:name="_Toc184314479"/>
      <w:bookmarkEnd w:id="164"/>
      <w:bookmarkStart w:id="165" w:name="_Toc184314456"/>
      <w:bookmarkEnd w:id="165"/>
      <w:bookmarkStart w:id="166" w:name="_Toc184308096"/>
      <w:bookmarkEnd w:id="166"/>
      <w:bookmarkStart w:id="167" w:name="_Toc184308049"/>
      <w:bookmarkEnd w:id="167"/>
      <w:bookmarkStart w:id="168" w:name="_Toc184313286"/>
      <w:bookmarkEnd w:id="168"/>
      <w:bookmarkStart w:id="169" w:name="_Toc184308044"/>
      <w:bookmarkEnd w:id="169"/>
      <w:bookmarkStart w:id="170" w:name="_Toc184308087"/>
      <w:bookmarkEnd w:id="170"/>
      <w:bookmarkStart w:id="171" w:name="_Toc184310339"/>
      <w:bookmarkEnd w:id="171"/>
      <w:bookmarkStart w:id="172" w:name="_Toc184308081"/>
      <w:bookmarkEnd w:id="172"/>
      <w:bookmarkStart w:id="173" w:name="_Toc184312133"/>
      <w:bookmarkEnd w:id="173"/>
      <w:bookmarkStart w:id="174" w:name="_Toc184312074"/>
      <w:bookmarkEnd w:id="174"/>
      <w:bookmarkStart w:id="175" w:name="_Toc184314413"/>
      <w:bookmarkEnd w:id="175"/>
      <w:bookmarkStart w:id="176" w:name="_Toc184314420"/>
      <w:bookmarkEnd w:id="176"/>
      <w:bookmarkStart w:id="177" w:name="_Toc184314415"/>
      <w:bookmarkEnd w:id="177"/>
      <w:bookmarkStart w:id="178" w:name="_Toc184313300"/>
      <w:bookmarkEnd w:id="178"/>
      <w:bookmarkStart w:id="179" w:name="_Toc184314443"/>
      <w:bookmarkEnd w:id="179"/>
      <w:bookmarkStart w:id="180" w:name="_Toc184314438"/>
      <w:bookmarkEnd w:id="180"/>
      <w:bookmarkStart w:id="181" w:name="_Toc184312127"/>
      <w:bookmarkEnd w:id="181"/>
      <w:bookmarkStart w:id="182" w:name="_Toc184308046"/>
      <w:bookmarkEnd w:id="182"/>
      <w:bookmarkStart w:id="183" w:name="_Toc184314457"/>
      <w:bookmarkEnd w:id="183"/>
      <w:bookmarkStart w:id="184" w:name="_Toc184312115"/>
      <w:bookmarkEnd w:id="184"/>
      <w:bookmarkStart w:id="185" w:name="_Toc184313259"/>
      <w:bookmarkEnd w:id="185"/>
      <w:bookmarkStart w:id="186" w:name="_Toc184314414"/>
      <w:bookmarkEnd w:id="186"/>
      <w:bookmarkStart w:id="187" w:name="_Toc184308060"/>
      <w:bookmarkEnd w:id="187"/>
      <w:bookmarkStart w:id="188" w:name="_Toc184308088"/>
      <w:bookmarkEnd w:id="188"/>
      <w:bookmarkStart w:id="189" w:name="_Toc184313250"/>
      <w:bookmarkEnd w:id="189"/>
      <w:bookmarkStart w:id="190" w:name="_Toc184308059"/>
      <w:bookmarkEnd w:id="190"/>
      <w:bookmarkStart w:id="191" w:name="_Toc184310272"/>
      <w:bookmarkEnd w:id="191"/>
      <w:bookmarkStart w:id="192" w:name="_Toc184308067"/>
      <w:bookmarkEnd w:id="192"/>
      <w:bookmarkStart w:id="193" w:name="_Toc184312137"/>
      <w:bookmarkEnd w:id="193"/>
      <w:bookmarkStart w:id="194" w:name="_Toc184310338"/>
      <w:bookmarkEnd w:id="194"/>
      <w:bookmarkStart w:id="195" w:name="_Toc184313294"/>
      <w:bookmarkEnd w:id="195"/>
      <w:bookmarkStart w:id="196" w:name="_Toc184314448"/>
      <w:bookmarkEnd w:id="196"/>
      <w:bookmarkStart w:id="197" w:name="_Toc184310340"/>
      <w:bookmarkEnd w:id="197"/>
      <w:bookmarkStart w:id="198" w:name="_Toc184314450"/>
      <w:bookmarkEnd w:id="198"/>
      <w:bookmarkStart w:id="199" w:name="_Toc184314464"/>
      <w:bookmarkEnd w:id="199"/>
      <w:bookmarkStart w:id="200" w:name="_Toc184314467"/>
      <w:bookmarkEnd w:id="200"/>
      <w:bookmarkStart w:id="201" w:name="_Toc184314418"/>
      <w:bookmarkEnd w:id="201"/>
      <w:bookmarkStart w:id="202" w:name="_Toc184308099"/>
      <w:bookmarkEnd w:id="202"/>
      <w:bookmarkStart w:id="203" w:name="_Toc184312110"/>
      <w:bookmarkEnd w:id="203"/>
      <w:bookmarkStart w:id="204" w:name="_Toc184313292"/>
      <w:bookmarkEnd w:id="204"/>
      <w:bookmarkStart w:id="205" w:name="_Toc184308069"/>
      <w:bookmarkEnd w:id="205"/>
      <w:bookmarkStart w:id="206" w:name="_Toc184310344"/>
      <w:bookmarkEnd w:id="206"/>
      <w:bookmarkStart w:id="207" w:name="_Toc184310323"/>
      <w:bookmarkEnd w:id="207"/>
      <w:bookmarkStart w:id="208" w:name="_Toc184314459"/>
      <w:bookmarkEnd w:id="208"/>
      <w:bookmarkStart w:id="209" w:name="_Toc184313289"/>
      <w:bookmarkEnd w:id="209"/>
      <w:bookmarkStart w:id="210" w:name="_Toc184313272"/>
      <w:bookmarkEnd w:id="210"/>
      <w:bookmarkStart w:id="211" w:name="_Toc184314442"/>
      <w:bookmarkEnd w:id="211"/>
      <w:bookmarkStart w:id="212" w:name="_Toc184312108"/>
      <w:bookmarkEnd w:id="212"/>
      <w:bookmarkStart w:id="213" w:name="_Toc184312083"/>
      <w:bookmarkEnd w:id="213"/>
      <w:bookmarkStart w:id="214" w:name="_Toc184308058"/>
      <w:bookmarkEnd w:id="214"/>
      <w:bookmarkStart w:id="215" w:name="_Toc184312132"/>
      <w:bookmarkEnd w:id="215"/>
      <w:bookmarkStart w:id="216" w:name="_Toc184313310"/>
      <w:bookmarkEnd w:id="216"/>
      <w:bookmarkStart w:id="217" w:name="_Toc184313238"/>
      <w:bookmarkEnd w:id="217"/>
      <w:bookmarkStart w:id="218" w:name="_Toc184308107"/>
      <w:bookmarkEnd w:id="218"/>
      <w:bookmarkStart w:id="219" w:name="_Toc184313255"/>
      <w:bookmarkEnd w:id="219"/>
      <w:bookmarkStart w:id="220" w:name="_Toc184312111"/>
      <w:bookmarkEnd w:id="220"/>
      <w:bookmarkStart w:id="221" w:name="_Toc184314419"/>
      <w:bookmarkEnd w:id="221"/>
      <w:bookmarkStart w:id="222" w:name="_Toc184313295"/>
      <w:bookmarkEnd w:id="222"/>
      <w:bookmarkStart w:id="223" w:name="_Toc184310310"/>
      <w:bookmarkEnd w:id="223"/>
      <w:bookmarkStart w:id="224" w:name="_Toc184310343"/>
      <w:bookmarkEnd w:id="224"/>
      <w:bookmarkStart w:id="225" w:name="_Toc184312118"/>
      <w:bookmarkEnd w:id="225"/>
      <w:bookmarkStart w:id="226" w:name="_Toc184308070"/>
      <w:bookmarkEnd w:id="226"/>
      <w:bookmarkStart w:id="227" w:name="_Toc184313274"/>
      <w:bookmarkEnd w:id="227"/>
      <w:bookmarkStart w:id="228" w:name="_Toc184308083"/>
      <w:bookmarkEnd w:id="228"/>
      <w:bookmarkStart w:id="229" w:name="_Toc184312135"/>
      <w:bookmarkEnd w:id="229"/>
      <w:bookmarkStart w:id="230" w:name="_Toc184314434"/>
      <w:bookmarkEnd w:id="230"/>
      <w:bookmarkStart w:id="231" w:name="_Toc184314432"/>
      <w:bookmarkEnd w:id="231"/>
      <w:bookmarkStart w:id="232" w:name="_Toc184310298"/>
      <w:bookmarkEnd w:id="232"/>
      <w:bookmarkStart w:id="233" w:name="_Toc184312117"/>
      <w:bookmarkEnd w:id="233"/>
      <w:bookmarkStart w:id="234" w:name="_Toc184310299"/>
      <w:bookmarkEnd w:id="234"/>
      <w:bookmarkStart w:id="235" w:name="_Toc184314447"/>
      <w:bookmarkEnd w:id="235"/>
      <w:bookmarkStart w:id="236" w:name="_Toc184310290"/>
      <w:bookmarkEnd w:id="236"/>
      <w:bookmarkStart w:id="237" w:name="_Toc184308077"/>
      <w:bookmarkEnd w:id="237"/>
      <w:bookmarkStart w:id="238" w:name="_Toc184312068"/>
      <w:bookmarkEnd w:id="238"/>
      <w:bookmarkStart w:id="239" w:name="_Toc184312073"/>
      <w:bookmarkEnd w:id="239"/>
      <w:bookmarkStart w:id="240" w:name="_Toc184314422"/>
      <w:bookmarkEnd w:id="240"/>
      <w:bookmarkStart w:id="241" w:name="_Toc184312130"/>
      <w:bookmarkEnd w:id="241"/>
      <w:bookmarkStart w:id="242" w:name="_Toc184313240"/>
      <w:bookmarkEnd w:id="242"/>
      <w:bookmarkStart w:id="243" w:name="_Toc184310278"/>
      <w:bookmarkEnd w:id="243"/>
      <w:bookmarkStart w:id="244" w:name="_Toc184314471"/>
      <w:bookmarkEnd w:id="244"/>
      <w:bookmarkStart w:id="245" w:name="_Toc184312069"/>
      <w:bookmarkEnd w:id="245"/>
      <w:bookmarkStart w:id="246" w:name="_Toc184310284"/>
      <w:bookmarkEnd w:id="246"/>
      <w:bookmarkStart w:id="247" w:name="_Toc184310321"/>
      <w:bookmarkEnd w:id="247"/>
      <w:bookmarkStart w:id="248" w:name="_Toc184310300"/>
      <w:bookmarkEnd w:id="248"/>
      <w:bookmarkStart w:id="249" w:name="_Toc184310309"/>
      <w:bookmarkEnd w:id="249"/>
      <w:bookmarkStart w:id="250" w:name="_Toc184308057"/>
      <w:bookmarkEnd w:id="250"/>
      <w:bookmarkStart w:id="251" w:name="_Toc184314465"/>
      <w:bookmarkEnd w:id="251"/>
      <w:bookmarkStart w:id="252" w:name="_Toc184314433"/>
      <w:bookmarkEnd w:id="252"/>
      <w:bookmarkStart w:id="253" w:name="_Toc184313288"/>
      <w:bookmarkEnd w:id="253"/>
      <w:bookmarkStart w:id="254" w:name="_Toc184308076"/>
      <w:bookmarkEnd w:id="254"/>
      <w:bookmarkStart w:id="255" w:name="_Toc184313299"/>
      <w:bookmarkEnd w:id="255"/>
      <w:bookmarkStart w:id="256" w:name="_Toc184313296"/>
      <w:bookmarkEnd w:id="256"/>
      <w:bookmarkStart w:id="257" w:name="_Toc184314417"/>
      <w:bookmarkEnd w:id="257"/>
      <w:bookmarkStart w:id="258" w:name="_Toc184308108"/>
      <w:bookmarkEnd w:id="258"/>
      <w:bookmarkStart w:id="259" w:name="_Toc184313253"/>
      <w:bookmarkEnd w:id="259"/>
      <w:bookmarkStart w:id="260" w:name="_Toc184313282"/>
      <w:bookmarkEnd w:id="260"/>
      <w:bookmarkStart w:id="261" w:name="_Toc184314423"/>
      <w:bookmarkEnd w:id="261"/>
      <w:bookmarkStart w:id="262" w:name="_Toc184310322"/>
      <w:bookmarkEnd w:id="262"/>
      <w:bookmarkStart w:id="263" w:name="_Toc184314469"/>
      <w:bookmarkEnd w:id="263"/>
      <w:bookmarkStart w:id="264" w:name="_Toc184310281"/>
      <w:bookmarkEnd w:id="264"/>
      <w:bookmarkStart w:id="265" w:name="_Toc184312089"/>
      <w:bookmarkEnd w:id="265"/>
      <w:bookmarkStart w:id="266" w:name="_Toc184313305"/>
      <w:bookmarkEnd w:id="266"/>
      <w:bookmarkStart w:id="267" w:name="_Toc184314412"/>
      <w:bookmarkEnd w:id="267"/>
      <w:bookmarkStart w:id="268" w:name="_Toc184308092"/>
      <w:bookmarkEnd w:id="268"/>
      <w:bookmarkStart w:id="269" w:name="_Toc184312081"/>
      <w:bookmarkEnd w:id="269"/>
      <w:bookmarkStart w:id="270" w:name="_Toc184308097"/>
      <w:bookmarkEnd w:id="270"/>
      <w:bookmarkStart w:id="271" w:name="_Toc184313249"/>
      <w:bookmarkEnd w:id="271"/>
      <w:bookmarkStart w:id="272" w:name="_Toc184308071"/>
      <w:bookmarkEnd w:id="272"/>
      <w:bookmarkStart w:id="273" w:name="_Toc184313269"/>
      <w:bookmarkEnd w:id="273"/>
      <w:bookmarkStart w:id="274" w:name="_Toc184308047"/>
      <w:bookmarkEnd w:id="274"/>
      <w:bookmarkStart w:id="275" w:name="_Toc184314445"/>
      <w:bookmarkEnd w:id="275"/>
      <w:bookmarkStart w:id="276" w:name="_Toc184310280"/>
      <w:bookmarkEnd w:id="276"/>
      <w:bookmarkStart w:id="277" w:name="_Toc184314431"/>
      <w:bookmarkEnd w:id="277"/>
      <w:bookmarkStart w:id="278" w:name="_Toc184313265"/>
      <w:bookmarkEnd w:id="278"/>
      <w:bookmarkStart w:id="279" w:name="_Toc184312129"/>
      <w:bookmarkEnd w:id="279"/>
      <w:bookmarkStart w:id="280" w:name="_Toc184313244"/>
      <w:bookmarkEnd w:id="280"/>
      <w:bookmarkStart w:id="281" w:name="_Toc184310303"/>
      <w:bookmarkEnd w:id="281"/>
      <w:bookmarkStart w:id="282" w:name="_Toc184312109"/>
      <w:bookmarkEnd w:id="282"/>
      <w:bookmarkStart w:id="283" w:name="_Toc184313277"/>
      <w:bookmarkEnd w:id="283"/>
      <w:bookmarkStart w:id="284" w:name="_Toc184314428"/>
      <w:bookmarkEnd w:id="284"/>
      <w:bookmarkStart w:id="285" w:name="_Toc184312084"/>
      <w:bookmarkEnd w:id="285"/>
      <w:bookmarkStart w:id="286" w:name="_Toc184310305"/>
      <w:bookmarkEnd w:id="286"/>
      <w:bookmarkStart w:id="287" w:name="_Toc184314410"/>
      <w:bookmarkEnd w:id="287"/>
      <w:bookmarkStart w:id="288" w:name="_Toc184310334"/>
      <w:bookmarkEnd w:id="288"/>
      <w:bookmarkStart w:id="289" w:name="_Toc184313275"/>
      <w:bookmarkEnd w:id="289"/>
      <w:bookmarkStart w:id="290" w:name="_Toc184313309"/>
      <w:bookmarkEnd w:id="290"/>
      <w:bookmarkStart w:id="291" w:name="_Toc184312120"/>
      <w:bookmarkEnd w:id="291"/>
      <w:bookmarkStart w:id="292" w:name="_Toc184310291"/>
      <w:bookmarkEnd w:id="292"/>
      <w:bookmarkStart w:id="293" w:name="_Toc184314462"/>
      <w:bookmarkEnd w:id="293"/>
      <w:bookmarkStart w:id="294" w:name="_Toc184310307"/>
      <w:bookmarkEnd w:id="294"/>
      <w:bookmarkStart w:id="295" w:name="_Toc184314446"/>
      <w:bookmarkEnd w:id="295"/>
      <w:bookmarkStart w:id="296" w:name="_Toc184314416"/>
      <w:bookmarkEnd w:id="296"/>
      <w:bookmarkStart w:id="297" w:name="_Toc184313304"/>
      <w:bookmarkEnd w:id="297"/>
      <w:bookmarkStart w:id="298" w:name="_Toc184310320"/>
      <w:bookmarkEnd w:id="298"/>
      <w:bookmarkStart w:id="299" w:name="_Toc184314435"/>
      <w:bookmarkEnd w:id="299"/>
      <w:bookmarkStart w:id="300" w:name="_Toc184313306"/>
      <w:bookmarkEnd w:id="300"/>
      <w:bookmarkStart w:id="301" w:name="_Toc184314454"/>
      <w:bookmarkEnd w:id="301"/>
      <w:bookmarkStart w:id="302" w:name="_Toc184313271"/>
      <w:bookmarkEnd w:id="302"/>
      <w:bookmarkStart w:id="303" w:name="_Toc184308051"/>
      <w:bookmarkEnd w:id="303"/>
      <w:bookmarkStart w:id="304" w:name="_Toc184310326"/>
      <w:bookmarkEnd w:id="304"/>
      <w:bookmarkStart w:id="305" w:name="_Toc184313276"/>
      <w:bookmarkEnd w:id="305"/>
      <w:bookmarkStart w:id="306" w:name="_Toc184313290"/>
      <w:bookmarkEnd w:id="306"/>
      <w:bookmarkStart w:id="307" w:name="_Toc184312104"/>
      <w:bookmarkEnd w:id="307"/>
      <w:bookmarkStart w:id="308" w:name="_Toc184313283"/>
      <w:bookmarkEnd w:id="308"/>
      <w:bookmarkStart w:id="309" w:name="_Toc184310333"/>
      <w:bookmarkEnd w:id="309"/>
      <w:bookmarkStart w:id="310" w:name="_Toc184310332"/>
      <w:bookmarkEnd w:id="310"/>
      <w:bookmarkStart w:id="311" w:name="_Toc184312078"/>
      <w:bookmarkEnd w:id="311"/>
      <w:bookmarkStart w:id="312" w:name="_Toc184308104"/>
      <w:bookmarkEnd w:id="312"/>
      <w:bookmarkStart w:id="313" w:name="_Toc184308078"/>
      <w:bookmarkEnd w:id="313"/>
      <w:bookmarkStart w:id="314" w:name="_Toc184308037"/>
      <w:bookmarkEnd w:id="314"/>
      <w:bookmarkStart w:id="315" w:name="_Toc184312106"/>
      <w:bookmarkEnd w:id="315"/>
      <w:bookmarkStart w:id="316" w:name="_Toc184313268"/>
      <w:bookmarkEnd w:id="316"/>
      <w:bookmarkStart w:id="317" w:name="_Toc184312071"/>
      <w:bookmarkEnd w:id="317"/>
      <w:bookmarkStart w:id="318" w:name="_Toc184310288"/>
      <w:bookmarkEnd w:id="318"/>
      <w:bookmarkStart w:id="319" w:name="_Toc184314455"/>
      <w:bookmarkEnd w:id="319"/>
      <w:bookmarkStart w:id="320" w:name="_Toc184308093"/>
      <w:bookmarkEnd w:id="320"/>
      <w:bookmarkStart w:id="321" w:name="_Toc184313301"/>
      <w:bookmarkEnd w:id="321"/>
      <w:bookmarkStart w:id="322" w:name="_Toc184313251"/>
      <w:bookmarkEnd w:id="322"/>
      <w:bookmarkStart w:id="323" w:name="_Toc184314466"/>
      <w:bookmarkEnd w:id="323"/>
      <w:bookmarkStart w:id="324" w:name="_Toc184313248"/>
      <w:bookmarkEnd w:id="324"/>
      <w:bookmarkStart w:id="325" w:name="_Toc184308084"/>
      <w:bookmarkEnd w:id="325"/>
      <w:bookmarkStart w:id="326" w:name="_Toc184314458"/>
      <w:bookmarkEnd w:id="326"/>
      <w:bookmarkStart w:id="327" w:name="_Toc184308103"/>
      <w:bookmarkEnd w:id="327"/>
      <w:bookmarkStart w:id="328" w:name="_Toc184312134"/>
      <w:bookmarkEnd w:id="328"/>
      <w:bookmarkStart w:id="329" w:name="_Toc184312119"/>
      <w:bookmarkEnd w:id="329"/>
      <w:bookmarkStart w:id="330" w:name="_Toc184314470"/>
      <w:bookmarkEnd w:id="330"/>
      <w:bookmarkStart w:id="331" w:name="_Toc184314449"/>
      <w:bookmarkEnd w:id="331"/>
      <w:bookmarkStart w:id="332" w:name="_Toc184308082"/>
      <w:bookmarkEnd w:id="332"/>
      <w:bookmarkStart w:id="333" w:name="_Toc184314436"/>
      <w:bookmarkEnd w:id="333"/>
      <w:bookmarkStart w:id="334" w:name="_Toc184314480"/>
      <w:bookmarkEnd w:id="334"/>
      <w:bookmarkStart w:id="335" w:name="_Toc184314476"/>
      <w:bookmarkEnd w:id="335"/>
      <w:bookmarkStart w:id="336" w:name="_Toc184308080"/>
      <w:bookmarkEnd w:id="336"/>
      <w:bookmarkStart w:id="337" w:name="_Toc184313246"/>
      <w:bookmarkEnd w:id="337"/>
      <w:bookmarkStart w:id="338" w:name="_Toc184313287"/>
      <w:bookmarkEnd w:id="338"/>
      <w:bookmarkStart w:id="339" w:name="_Toc184313266"/>
      <w:bookmarkEnd w:id="339"/>
      <w:bookmarkStart w:id="340" w:name="_Toc184310328"/>
      <w:bookmarkEnd w:id="340"/>
      <w:bookmarkStart w:id="341" w:name="_Toc184310331"/>
      <w:bookmarkEnd w:id="341"/>
      <w:bookmarkStart w:id="342" w:name="_Toc184310297"/>
      <w:bookmarkEnd w:id="342"/>
      <w:bookmarkStart w:id="343" w:name="_Toc184310293"/>
      <w:bookmarkEnd w:id="343"/>
      <w:bookmarkStart w:id="344" w:name="_Toc184308056"/>
      <w:bookmarkEnd w:id="344"/>
      <w:bookmarkStart w:id="345" w:name="_Toc184308038"/>
      <w:bookmarkEnd w:id="345"/>
      <w:bookmarkStart w:id="346" w:name="_Toc184312079"/>
      <w:bookmarkEnd w:id="346"/>
      <w:bookmarkStart w:id="347" w:name="_Toc184312095"/>
      <w:bookmarkEnd w:id="347"/>
      <w:bookmarkStart w:id="348" w:name="_Toc184314452"/>
      <w:bookmarkEnd w:id="348"/>
      <w:bookmarkStart w:id="349" w:name="_Toc184312088"/>
      <w:bookmarkEnd w:id="349"/>
      <w:bookmarkStart w:id="350" w:name="_Toc184312123"/>
      <w:bookmarkEnd w:id="350"/>
      <w:bookmarkStart w:id="351" w:name="_Toc184314460"/>
      <w:bookmarkEnd w:id="351"/>
      <w:bookmarkStart w:id="352" w:name="_Toc184313243"/>
      <w:bookmarkEnd w:id="352"/>
      <w:bookmarkStart w:id="353" w:name="_Toc184308102"/>
      <w:bookmarkEnd w:id="353"/>
      <w:bookmarkStart w:id="354" w:name="_Toc184310302"/>
      <w:bookmarkEnd w:id="354"/>
      <w:bookmarkStart w:id="355" w:name="_Toc184312080"/>
      <w:bookmarkEnd w:id="355"/>
      <w:bookmarkStart w:id="356" w:name="_Toc184314439"/>
      <w:bookmarkEnd w:id="356"/>
      <w:bookmarkStart w:id="357" w:name="_Toc184312097"/>
      <w:bookmarkEnd w:id="357"/>
      <w:bookmarkStart w:id="358" w:name="_Toc184310292"/>
      <w:bookmarkEnd w:id="358"/>
      <w:bookmarkStart w:id="359" w:name="_Toc184308075"/>
      <w:bookmarkEnd w:id="359"/>
      <w:bookmarkStart w:id="360" w:name="_Toc184308064"/>
      <w:bookmarkEnd w:id="360"/>
      <w:bookmarkStart w:id="361" w:name="_Toc184310318"/>
      <w:bookmarkEnd w:id="361"/>
      <w:bookmarkStart w:id="362" w:name="_Toc184308085"/>
      <w:bookmarkEnd w:id="362"/>
      <w:bookmarkStart w:id="363" w:name="_Toc184312094"/>
      <w:bookmarkEnd w:id="363"/>
      <w:bookmarkStart w:id="364" w:name="_Toc184313273"/>
      <w:bookmarkEnd w:id="364"/>
      <w:bookmarkStart w:id="365" w:name="_Toc184308055"/>
      <w:bookmarkEnd w:id="365"/>
      <w:bookmarkStart w:id="366" w:name="_Toc184313247"/>
      <w:bookmarkEnd w:id="366"/>
      <w:bookmarkStart w:id="367" w:name="_Toc184312067"/>
      <w:bookmarkEnd w:id="367"/>
      <w:bookmarkStart w:id="368" w:name="_Toc184312124"/>
      <w:bookmarkEnd w:id="368"/>
      <w:bookmarkStart w:id="369" w:name="_Toc184310306"/>
      <w:bookmarkEnd w:id="369"/>
      <w:bookmarkStart w:id="370" w:name="_Toc184310285"/>
      <w:bookmarkEnd w:id="370"/>
      <w:bookmarkStart w:id="371" w:name="_Toc184310316"/>
      <w:bookmarkEnd w:id="371"/>
      <w:bookmarkStart w:id="372" w:name="_Toc184308036"/>
      <w:bookmarkEnd w:id="372"/>
      <w:bookmarkStart w:id="373" w:name="_Toc184310274"/>
      <w:bookmarkEnd w:id="373"/>
      <w:bookmarkStart w:id="374" w:name="_Toc184312092"/>
      <w:bookmarkEnd w:id="374"/>
      <w:bookmarkStart w:id="375" w:name="_Toc184308098"/>
      <w:bookmarkEnd w:id="375"/>
      <w:bookmarkStart w:id="376" w:name="_Toc184313280"/>
      <w:bookmarkEnd w:id="376"/>
      <w:bookmarkStart w:id="377" w:name="_Toc184310315"/>
      <w:bookmarkEnd w:id="377"/>
      <w:bookmarkStart w:id="378" w:name="_Toc184308065"/>
      <w:bookmarkEnd w:id="378"/>
      <w:bookmarkStart w:id="379" w:name="_Toc184313267"/>
      <w:bookmarkEnd w:id="379"/>
      <w:bookmarkStart w:id="380" w:name="_Toc184310336"/>
      <w:bookmarkEnd w:id="380"/>
      <w:bookmarkStart w:id="381" w:name="_Toc184314425"/>
      <w:bookmarkEnd w:id="381"/>
      <w:bookmarkStart w:id="382" w:name="_Toc184308079"/>
      <w:bookmarkEnd w:id="382"/>
      <w:bookmarkStart w:id="383" w:name="_Toc184310311"/>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服务</w:t>
      </w:r>
      <w:r>
        <w:rPr>
          <w:rFonts w:hint="eastAsia" w:ascii="宋体" w:hAnsi="宋体" w:eastAsia="宋体" w:cs="宋体"/>
          <w:b/>
          <w:sz w:val="36"/>
          <w:szCs w:val="36"/>
        </w:rPr>
        <w:t>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405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1295"/>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160F9E2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62974516">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6884FD78">
      <w:pPr>
        <w:numPr>
          <w:ilvl w:val="0"/>
          <w:numId w:val="4"/>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811"/>
        <w:gridCol w:w="687"/>
        <w:gridCol w:w="824"/>
        <w:gridCol w:w="1088"/>
        <w:gridCol w:w="1043"/>
      </w:tblGrid>
      <w:tr w14:paraId="0550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30" w:type="dxa"/>
            <w:vAlign w:val="center"/>
          </w:tcPr>
          <w:p w14:paraId="36DB7F9B">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4811" w:type="dxa"/>
            <w:vAlign w:val="center"/>
          </w:tcPr>
          <w:p w14:paraId="2F2D53A6">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维保项目</w:t>
            </w:r>
          </w:p>
        </w:tc>
        <w:tc>
          <w:tcPr>
            <w:tcW w:w="687" w:type="dxa"/>
            <w:vAlign w:val="center"/>
          </w:tcPr>
          <w:p w14:paraId="56E9756A">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单位</w:t>
            </w:r>
          </w:p>
        </w:tc>
        <w:tc>
          <w:tcPr>
            <w:tcW w:w="824" w:type="dxa"/>
            <w:vAlign w:val="center"/>
          </w:tcPr>
          <w:p w14:paraId="27DDBC4F">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数量</w:t>
            </w:r>
          </w:p>
        </w:tc>
        <w:tc>
          <w:tcPr>
            <w:tcW w:w="1088" w:type="dxa"/>
            <w:vAlign w:val="center"/>
          </w:tcPr>
          <w:p w14:paraId="6F79791F">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043" w:type="dxa"/>
            <w:vAlign w:val="center"/>
          </w:tcPr>
          <w:p w14:paraId="334DDD2C">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593A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30" w:type="dxa"/>
            <w:vAlign w:val="center"/>
          </w:tcPr>
          <w:p w14:paraId="43F928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811" w:type="dxa"/>
            <w:vAlign w:val="center"/>
          </w:tcPr>
          <w:p w14:paraId="5FEF61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深信服上网行为管理维保续费、深信服防火墙维保续费、华为防火墙维保续费</w:t>
            </w:r>
          </w:p>
        </w:tc>
        <w:tc>
          <w:tcPr>
            <w:tcW w:w="687" w:type="dxa"/>
            <w:vAlign w:val="center"/>
          </w:tcPr>
          <w:p w14:paraId="61EBE89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年</w:t>
            </w:r>
          </w:p>
        </w:tc>
        <w:tc>
          <w:tcPr>
            <w:tcW w:w="824" w:type="dxa"/>
            <w:vAlign w:val="center"/>
          </w:tcPr>
          <w:p w14:paraId="2DEAE34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088" w:type="dxa"/>
            <w:vAlign w:val="center"/>
          </w:tcPr>
          <w:p w14:paraId="2E60B8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43" w:type="dxa"/>
            <w:vAlign w:val="center"/>
          </w:tcPr>
          <w:p w14:paraId="6F6B3A1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r w14:paraId="7A56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30" w:type="dxa"/>
            <w:vAlign w:val="center"/>
          </w:tcPr>
          <w:p w14:paraId="7D4A68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811" w:type="dxa"/>
            <w:vAlign w:val="center"/>
          </w:tcPr>
          <w:p w14:paraId="4A0E3E1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网络运维和应急服务</w:t>
            </w:r>
          </w:p>
        </w:tc>
        <w:tc>
          <w:tcPr>
            <w:tcW w:w="687" w:type="dxa"/>
            <w:vAlign w:val="center"/>
          </w:tcPr>
          <w:p w14:paraId="32A1A6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季度</w:t>
            </w:r>
          </w:p>
        </w:tc>
        <w:tc>
          <w:tcPr>
            <w:tcW w:w="824" w:type="dxa"/>
            <w:vAlign w:val="center"/>
          </w:tcPr>
          <w:p w14:paraId="1D085F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088" w:type="dxa"/>
            <w:vAlign w:val="center"/>
          </w:tcPr>
          <w:p w14:paraId="36F7EF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43" w:type="dxa"/>
            <w:vAlign w:val="center"/>
          </w:tcPr>
          <w:p w14:paraId="61C0D89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bl>
    <w:p w14:paraId="7F809DC3">
      <w:pPr>
        <w:numPr>
          <w:ilvl w:val="0"/>
          <w:numId w:val="0"/>
        </w:numPr>
        <w:spacing w:line="360" w:lineRule="auto"/>
        <w:rPr>
          <w:rFonts w:hint="eastAsia" w:ascii="宋体" w:hAnsi="宋体" w:cs="宋体"/>
          <w:sz w:val="24"/>
        </w:rPr>
      </w:pPr>
    </w:p>
    <w:p w14:paraId="0B5CA035">
      <w:pPr>
        <w:pStyle w:val="3"/>
        <w:pageBreakBefore w:val="0"/>
        <w:tabs>
          <w:tab w:val="left" w:pos="432"/>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19A305C5">
      <w:pPr>
        <w:pStyle w:val="26"/>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（2）</w:t>
      </w:r>
      <w:r>
        <w:rPr>
          <w:rFonts w:hint="eastAsia" w:cs="Times New Roman"/>
          <w:kern w:val="2"/>
        </w:rPr>
        <w:t>条款规定的计价方式计价。</w:t>
      </w:r>
    </w:p>
    <w:p w14:paraId="03C8B31C">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。合同清单内货物价格为综合价格，含货款、税金。按需</w:t>
      </w:r>
      <w:r>
        <w:rPr>
          <w:rFonts w:hint="eastAsia" w:ascii="宋体" w:hAnsi="宋体" w:cs="宋体"/>
          <w:sz w:val="24"/>
          <w:lang w:val="en-US" w:eastAsia="zh-CN"/>
        </w:rPr>
        <w:t>更换</w:t>
      </w:r>
      <w:r>
        <w:rPr>
          <w:rFonts w:hint="eastAsia" w:ascii="宋体" w:hAnsi="宋体" w:cs="宋体"/>
          <w:sz w:val="24"/>
        </w:rPr>
        <w:t>，按实结算；合同清单数量仅为甲方暂定数量，乙方须按照甲方的采购订单数量供货，实际订单数量可以大于或者小于合同暂定数量，乙方不得以超过合同暂定数量为由停止供货。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cs="宋体"/>
          <w:b/>
          <w:bCs/>
          <w:sz w:val="24"/>
          <w:u w:val="single"/>
          <w:lang w:val="en-US" w:eastAsia="zh-CN"/>
        </w:rPr>
        <w:t>费用结算总金额=备件数量*单价+维修工时*工时单价</w:t>
      </w:r>
      <w:r>
        <w:rPr>
          <w:rFonts w:hint="eastAsia" w:ascii="宋体" w:hAnsi="宋体" w:cs="宋体"/>
          <w:sz w:val="24"/>
          <w:lang w:val="en-US" w:eastAsia="zh-CN"/>
        </w:rPr>
        <w:t>，具体</w:t>
      </w:r>
      <w:r>
        <w:rPr>
          <w:rFonts w:hint="eastAsia" w:ascii="宋体" w:hAnsi="宋体"/>
          <w:sz w:val="24"/>
          <w:lang w:val="en-US" w:eastAsia="zh-CN"/>
        </w:rPr>
        <w:t>清单如下</w:t>
      </w:r>
      <w:r>
        <w:rPr>
          <w:rFonts w:hint="eastAsia" w:ascii="宋体" w:hAnsi="宋体" w:cs="宋体"/>
          <w:sz w:val="24"/>
        </w:rPr>
        <w:t>：</w:t>
      </w:r>
    </w:p>
    <w:tbl>
      <w:tblPr>
        <w:tblStyle w:val="17"/>
        <w:tblW w:w="49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1337"/>
        <w:gridCol w:w="1026"/>
        <w:gridCol w:w="2529"/>
        <w:gridCol w:w="721"/>
        <w:gridCol w:w="783"/>
        <w:gridCol w:w="1047"/>
        <w:gridCol w:w="1047"/>
      </w:tblGrid>
      <w:tr w14:paraId="6D95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8213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序号</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33FF6">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产品名称</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A7BAB">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品牌</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D81CA">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型号规格</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504D5">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暂估数量</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19F0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单位</w:t>
            </w:r>
          </w:p>
        </w:tc>
        <w:tc>
          <w:tcPr>
            <w:tcW w:w="569" w:type="pct"/>
            <w:tcBorders>
              <w:top w:val="single" w:color="000000" w:sz="4" w:space="0"/>
              <w:left w:val="single" w:color="000000" w:sz="4" w:space="0"/>
              <w:bottom w:val="nil"/>
              <w:right w:val="single" w:color="000000" w:sz="4" w:space="0"/>
            </w:tcBorders>
            <w:shd w:val="clear" w:color="auto" w:fill="auto"/>
            <w:vAlign w:val="center"/>
          </w:tcPr>
          <w:p w14:paraId="3E2BC7C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569" w:type="pct"/>
            <w:tcBorders>
              <w:top w:val="single" w:color="000000" w:sz="4" w:space="0"/>
              <w:left w:val="single" w:color="000000" w:sz="4" w:space="0"/>
              <w:bottom w:val="nil"/>
              <w:right w:val="single" w:color="000000" w:sz="4" w:space="0"/>
            </w:tcBorders>
            <w:shd w:val="clear" w:color="auto" w:fill="auto"/>
            <w:vAlign w:val="center"/>
          </w:tcPr>
          <w:p w14:paraId="3957B34A">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17F2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EEFA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E01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E126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03D3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- 608A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CEB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8EA4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4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2F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CF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A750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8AA2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FAEA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B053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BB26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34B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9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B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48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3507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E0F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9BD4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BD66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- 14PFX - 4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632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80B4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77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25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45E0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1F96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音频处理器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15A7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3CD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P440</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F0FA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7439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4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B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9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9E8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E1E6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抑制器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6732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1230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- 224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44B9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2949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5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6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63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FDCA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03F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电源时序器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82F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1AA6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PMY012315</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193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F209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E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F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4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A082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44F9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C252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93C0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- 521UH</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83C6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540A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0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7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8C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A4B2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2EEE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桌插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2B0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41D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- 18A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211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7E84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B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1E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91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301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353D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30D9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2F91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78E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E76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7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51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F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7A35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E1F3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F0A3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6A44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- 0202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4BE0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CD66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E7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76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86A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55D7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2EA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0EB2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- 20D</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EB32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01FB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7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DB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BC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109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DD59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插座</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7F9C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1A74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- 6C</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655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4A36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1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B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B5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3186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433F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0B2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7F5D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GL1.8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A54C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6CE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9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F6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85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B7E0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48C3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4BF0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8F43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PL1.8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580F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0375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A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E0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18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EA5F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94EB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F81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FD7F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- 606H</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E4BC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417C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9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2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A6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0C07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128C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B9A5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6DBB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8AF2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8C2A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5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DA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0C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895E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95AF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F801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500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- 02B</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C98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3AFF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B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76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B0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45E4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6324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397F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210E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DL1.8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6186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AA4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9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9D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00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122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E2D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0706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1057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- 710H</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A92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423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7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61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17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9851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3535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1680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33FF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- 500PI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13C3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6987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7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80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87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7948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EBBC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D0CB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5B73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9EB6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CA2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2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DD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F0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9B7A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7CB9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701E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D954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AED1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D74D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6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9C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67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DC5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EB09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发射箱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C70F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C301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W111</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B041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B49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D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9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F4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EFAB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59EA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FEA8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8053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W180</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91E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C2B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1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5A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D3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91C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B7FA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219E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40C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- 615S</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FCD4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A2BF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8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19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29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681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4C71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C7F3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D9DD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- 700PI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D4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8783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5B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C9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71FC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F9BE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7C5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4D6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- 16PFX - 4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4EE9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B934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4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6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32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7D7E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4326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2183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B4B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- 521US</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BF39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7ED3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9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68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2C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DD75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076D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话筒天线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518A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0B96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- 522S</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5F05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5DDA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3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3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6B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66FD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A335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天线分配器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B741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BB98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F60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7BE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D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7C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C4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3E6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33E0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吸顶扬声器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563E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4B0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- 208R</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D25A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EB9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4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1A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D3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0DE8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40A4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一拖四无线话筒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CCC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0FF2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1D84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0646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C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F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F8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0827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2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AP</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1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1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AP4050DN - SI (11ac wave2, 室内型，2X2 双频，内置天线，1xGE 口，不含 AP 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3C32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9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9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8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FF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6A08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6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2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2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 - SFP - GE - 单模模块 -(1310nm,10km,LC)</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830B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B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3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63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BE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A49C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9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 控制器</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1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3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AC6507S 主机 (10 个千兆以太口，2 万个 SFP+, 含 AC/DC 电源适配器)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E5EF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E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5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87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0A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140D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36</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wifi 控制器</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7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1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华为管理 96 个 AP</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F253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5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1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95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9E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9D1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0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0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DS-8864N-R16</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38A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A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D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0B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A9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8967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1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1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8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DS-8832N-R8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2E07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C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F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F7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A3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8BF41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39</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A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88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惠普HP Pro SFF ZHAN 66 G9</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E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D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4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E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58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85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BB9C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A5BB">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F3CF">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F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5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4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0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32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0F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045F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F14C">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32B1">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8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A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8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0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0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58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7B790">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D760">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A8A2">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3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2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8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D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2E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D2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3BF0C">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0F96">
            <w:pPr>
              <w:jc w:val="center"/>
              <w:rPr>
                <w:rFonts w:hint="eastAsia" w:ascii="仿宋" w:hAnsi="仿宋" w:eastAsia="仿宋" w:cs="仿宋"/>
                <w:i w:val="0"/>
                <w:iCs w:val="0"/>
                <w:color w:val="000000"/>
                <w:sz w:val="18"/>
                <w:szCs w:val="18"/>
                <w:u w:val="none"/>
              </w:rPr>
            </w:pPr>
          </w:p>
        </w:tc>
        <w:tc>
          <w:tcPr>
            <w:tcW w:w="558" w:type="pct"/>
            <w:vMerge w:val="restart"/>
            <w:tcBorders>
              <w:top w:val="nil"/>
              <w:left w:val="single" w:color="000000" w:sz="4" w:space="0"/>
              <w:bottom w:val="single" w:color="000000" w:sz="4" w:space="0"/>
              <w:right w:val="single" w:color="000000" w:sz="4" w:space="0"/>
            </w:tcBorders>
            <w:shd w:val="clear" w:color="auto" w:fill="FFFFFF"/>
            <w:vAlign w:val="center"/>
          </w:tcPr>
          <w:p w14:paraId="66968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惠普Pro Tower 288 G9</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8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4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C7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B1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457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20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84490F">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5AFF">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6E055897">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B5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C0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98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E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814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17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6E98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150C">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33F85A84">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1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E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5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D6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36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10FE3">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8F9B">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77E1D9B9">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28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DE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98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D2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F9D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10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E271A">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3EF8">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7B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戴尔3046MT </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E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6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3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1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38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67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0BC0C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1EDF">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28A7">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5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A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A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D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8C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62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8068C">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40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10A3">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1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4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B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F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50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AD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C6EE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081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8159">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D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7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A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9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75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91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966203">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7AE0">
            <w:pPr>
              <w:jc w:val="center"/>
              <w:rPr>
                <w:rFonts w:hint="eastAsia" w:ascii="仿宋" w:hAnsi="仿宋" w:eastAsia="仿宋" w:cs="仿宋"/>
                <w:i w:val="0"/>
                <w:iCs w:val="0"/>
                <w:color w:val="000000"/>
                <w:sz w:val="18"/>
                <w:szCs w:val="18"/>
                <w:u w:val="none"/>
              </w:rPr>
            </w:pPr>
          </w:p>
        </w:tc>
        <w:tc>
          <w:tcPr>
            <w:tcW w:w="558" w:type="pct"/>
            <w:vMerge w:val="restart"/>
            <w:tcBorders>
              <w:top w:val="nil"/>
              <w:left w:val="single" w:color="000000" w:sz="4" w:space="0"/>
              <w:bottom w:val="single" w:color="000000" w:sz="4" w:space="0"/>
              <w:right w:val="single" w:color="000000" w:sz="4" w:space="0"/>
            </w:tcBorders>
            <w:shd w:val="clear" w:color="auto" w:fill="FFFFFF"/>
            <w:vAlign w:val="center"/>
          </w:tcPr>
          <w:p w14:paraId="14405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戴尔3050</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00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B4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6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5B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3A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8D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8E6A8C">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301">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54F16003">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8A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A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32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4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EE2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35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F063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E5C7">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4AE68330">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4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7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B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5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B8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FF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8F88E">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3BCE">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565BFB30">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57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8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B0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C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7F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FC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FCD0C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3F87">
            <w:pPr>
              <w:jc w:val="center"/>
              <w:rPr>
                <w:rFonts w:hint="eastAsia" w:ascii="仿宋" w:hAnsi="仿宋" w:eastAsia="仿宋" w:cs="仿宋"/>
                <w:i w:val="0"/>
                <w:iCs w:val="0"/>
                <w:color w:val="000000"/>
                <w:sz w:val="18"/>
                <w:szCs w:val="18"/>
                <w:u w:val="none"/>
              </w:rPr>
            </w:pPr>
          </w:p>
        </w:tc>
        <w:tc>
          <w:tcPr>
            <w:tcW w:w="558" w:type="pct"/>
            <w:vMerge w:val="restart"/>
            <w:tcBorders>
              <w:top w:val="nil"/>
              <w:left w:val="single" w:color="000000" w:sz="4" w:space="0"/>
              <w:bottom w:val="single" w:color="000000" w:sz="4" w:space="0"/>
              <w:right w:val="single" w:color="000000" w:sz="4" w:space="0"/>
            </w:tcBorders>
            <w:shd w:val="clear" w:color="auto" w:fill="FFFFFF"/>
            <w:vAlign w:val="center"/>
          </w:tcPr>
          <w:p w14:paraId="4D449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戴尔成就系列</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8D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D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7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83C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5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24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B41E5">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5C60">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462A57B2">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C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1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14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E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1B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9F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09B6D">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F5F8">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7026189C">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5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C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3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6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D0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D747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81BA">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52E6CFDF">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1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A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24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F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16A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99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F6948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40</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7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1E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理光IMC2510 PCL 6</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F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D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C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6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4D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0F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33B7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AF94">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938D">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F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D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69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CD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8E86A">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504B">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2581">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8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9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F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8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A4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03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FED5DB">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34B8">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4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佳能Canon IC MF641Cw</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D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A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3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C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4C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26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C4436">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0489">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D831">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8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5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2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F2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52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F5C8E">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3C54">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F1CE">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9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3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3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7E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F5A8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AD03">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FA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惠普128FN</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8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5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34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9B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B2B21">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CE2B">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AD9D">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7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F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0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CB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0A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26EE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612">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AA56">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3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4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6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B3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0E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D0E3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9809">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BB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惠普1106</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1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0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8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E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24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DBDBD">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133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D4E6">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7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0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D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5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B3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CC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D509A">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86BF">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543F">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E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6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9F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EA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D5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CB1F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90AE">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E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惠普M136w</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1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A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6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5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06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ED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EEA5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5E9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A5FC">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9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2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E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1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4E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0F858">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C634">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98A8">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F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3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8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E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3D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1A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7EB6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071B">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5D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惠普132HP</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E7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7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C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9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5F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62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306A6">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4C0C">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BD73">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9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B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F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31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5E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579F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34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46A2">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4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B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F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5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D7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B5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9813D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41</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投影仪</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33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夏普XG-H420XA</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BA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3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1A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4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7475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2545">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DC584">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7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5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7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D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E0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00F91">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BC2F">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CA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NEC NP-CD1200</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9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9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D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11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C7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9FF9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F505">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5024">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F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1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3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B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29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B0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0C8B6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42</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C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扫描仪</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A8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清华紫光F25D</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F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搓纸轮</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C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F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2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D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6D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77A0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CD9F">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D366">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9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进纸组件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5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A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F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8A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83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75E7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2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维修工时费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9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2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以实际维修时间为准，乙方人员的往返途中时间不计总时间，备件由甲方另行提供（若乙方需增派维修人员，甲方不再额外支付费用）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59F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小时</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47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414835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4A6E0212">
      <w:pPr>
        <w:spacing w:line="360" w:lineRule="auto"/>
        <w:ind w:firstLine="482" w:firstLineChars="200"/>
        <w:outlineLvl w:val="0"/>
        <w:rPr>
          <w:rFonts w:ascii="宋体" w:hAnsi="宋体"/>
          <w:b/>
          <w:sz w:val="24"/>
        </w:rPr>
      </w:pPr>
      <w:bookmarkStart w:id="390" w:name="_Toc22618"/>
      <w:bookmarkStart w:id="391" w:name="_Toc1814"/>
      <w:bookmarkStart w:id="392" w:name="_Toc10340"/>
      <w:bookmarkStart w:id="393" w:name="_Toc3625"/>
      <w:bookmarkStart w:id="394" w:name="_Toc4760"/>
      <w:bookmarkStart w:id="395" w:name="_Toc31421"/>
      <w:bookmarkStart w:id="396" w:name="_Toc8772"/>
      <w:bookmarkStart w:id="397"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12个月，完成服务内容后自动终止；</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0D68979">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乙方根据采购文件和合同约定内容给甲方提供12个月的网络安全维保服务</w:t>
      </w:r>
      <w:r>
        <w:rPr>
          <w:rFonts w:hint="eastAsia" w:ascii="宋体" w:hAnsi="宋体"/>
          <w:sz w:val="24"/>
        </w:rPr>
        <w:t>。</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647FB886">
      <w:pPr>
        <w:spacing w:line="360" w:lineRule="auto"/>
        <w:ind w:firstLine="480" w:firstLineChars="200"/>
        <w:outlineLvl w:val="0"/>
        <w:rPr>
          <w:rFonts w:hint="eastAsia" w:ascii="宋体" w:hAnsi="宋体" w:cs="宋体" w:eastAsiaTheme="minorEastAsia"/>
          <w:sz w:val="24"/>
          <w:lang w:eastAsia="zh-CN"/>
        </w:rPr>
      </w:pPr>
      <w:bookmarkStart w:id="398" w:name="_Toc14563"/>
      <w:bookmarkStart w:id="399" w:name="_Toc1125"/>
      <w:bookmarkStart w:id="400" w:name="_Toc6596"/>
      <w:r>
        <w:rPr>
          <w:rFonts w:hint="eastAsia" w:ascii="宋体" w:hAnsi="宋体" w:cs="宋体"/>
          <w:sz w:val="24"/>
        </w:rPr>
        <w:t>1.根据甲方要求按时、按质、按量完成服务，履行合同义务</w:t>
      </w:r>
      <w:r>
        <w:rPr>
          <w:rFonts w:hint="eastAsia" w:ascii="宋体" w:hAnsi="宋体" w:cs="宋体"/>
          <w:sz w:val="24"/>
          <w:lang w:eastAsia="zh-CN"/>
        </w:rPr>
        <w:t>；</w:t>
      </w:r>
    </w:p>
    <w:p w14:paraId="0BA9A8D7">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64F77295">
      <w:pPr>
        <w:pStyle w:val="7"/>
        <w:numPr>
          <w:ilvl w:val="0"/>
          <w:numId w:val="0"/>
        </w:numPr>
        <w:ind w:firstLine="480" w:firstLineChars="200"/>
        <w:rPr>
          <w:rFonts w:hint="eastAsia"/>
          <w:color w:val="auto"/>
          <w:lang w:val="en-US" w:eastAsia="zh-CN"/>
        </w:rPr>
      </w:pPr>
      <w:r>
        <w:rPr>
          <w:rFonts w:hint="eastAsia" w:ascii="宋体" w:hAnsi="宋体" w:cs="宋体"/>
          <w:sz w:val="24"/>
        </w:rPr>
        <w:t>3.</w:t>
      </w:r>
      <w:r>
        <w:rPr>
          <w:rFonts w:hint="eastAsia"/>
          <w:color w:val="auto"/>
          <w:lang w:val="en-US" w:eastAsia="zh-CN"/>
        </w:rPr>
        <w:t xml:space="preserve">网络和业务系统故障响应解决时间如下： </w:t>
      </w:r>
    </w:p>
    <w:p w14:paraId="5FC6F582">
      <w:pPr>
        <w:pStyle w:val="7"/>
        <w:numPr>
          <w:ilvl w:val="0"/>
          <w:numId w:val="0"/>
        </w:numPr>
        <w:ind w:firstLine="480" w:firstLineChars="200"/>
        <w:rPr>
          <w:rFonts w:hint="eastAsia"/>
          <w:color w:val="auto"/>
          <w:lang w:val="en-US" w:eastAsia="zh-CN"/>
        </w:rPr>
      </w:pPr>
      <w:r>
        <w:rPr>
          <w:rFonts w:hint="eastAsia"/>
          <w:color w:val="auto"/>
          <w:lang w:val="en-US" w:eastAsia="zh-CN"/>
        </w:rPr>
        <w:t xml:space="preserve">3.1【一级故障】指设备在运行中出现系统瘫痪或服务中断，导致设备的基本功能不能实现或全面退化的故障;其他造成业务中断1个小时以上或导致关键业务数据丢失的故障。主、备设备发生故障无法正常工作，故障诊断时间小于30分钟，业务恢复时间小于4小时，故障解决时间小于48小时； </w:t>
      </w:r>
    </w:p>
    <w:p w14:paraId="12ACE755">
      <w:pPr>
        <w:pStyle w:val="7"/>
        <w:numPr>
          <w:ilvl w:val="0"/>
          <w:numId w:val="0"/>
        </w:numPr>
        <w:ind w:firstLine="480" w:firstLineChars="200"/>
        <w:rPr>
          <w:rFonts w:hint="eastAsia"/>
          <w:color w:val="auto"/>
          <w:lang w:val="en-US" w:eastAsia="zh-CN"/>
        </w:rPr>
      </w:pPr>
      <w:r>
        <w:rPr>
          <w:rFonts w:hint="eastAsia"/>
          <w:color w:val="auto"/>
          <w:lang w:val="en-US" w:eastAsia="zh-CN"/>
        </w:rPr>
        <w:t xml:space="preserve">3.2【二级故障】指设备在运行中出现的直接影响业务、并导致系统性能或业务部分退化的故障；设备在运行中出现的故障具有潜在的系统瘫痪或服务中断的危险，并可能导致设备的基本功能不能实现或全面退化，冗余设备单侧故障、监控终端故障等； </w:t>
      </w:r>
    </w:p>
    <w:p w14:paraId="7DB3F690">
      <w:pPr>
        <w:pStyle w:val="7"/>
        <w:numPr>
          <w:ilvl w:val="0"/>
          <w:numId w:val="0"/>
        </w:numPr>
        <w:rPr>
          <w:rFonts w:hint="eastAsia"/>
          <w:color w:val="auto"/>
          <w:lang w:val="en-US" w:eastAsia="zh-CN"/>
        </w:rPr>
      </w:pPr>
      <w:r>
        <w:rPr>
          <w:rFonts w:hint="eastAsia"/>
          <w:color w:val="auto"/>
          <w:lang w:val="en-US" w:eastAsia="zh-CN"/>
        </w:rPr>
        <w:t>系统设备或操作系统故障，造成业务中断但不满1小时的，如系统复位等，故障诊断时间小于 1小时，业务恢复时间小于12小时，故障解决时间小于48小时；</w:t>
      </w:r>
    </w:p>
    <w:p w14:paraId="246E230F">
      <w:pPr>
        <w:pStyle w:val="7"/>
        <w:numPr>
          <w:ilvl w:val="0"/>
          <w:numId w:val="0"/>
        </w:numPr>
        <w:ind w:firstLine="480" w:firstLineChars="200"/>
        <w:rPr>
          <w:rFonts w:hint="eastAsia"/>
          <w:color w:val="auto"/>
          <w:lang w:val="en-US" w:eastAsia="zh-CN"/>
        </w:rPr>
      </w:pPr>
      <w:r>
        <w:rPr>
          <w:rFonts w:hint="eastAsia"/>
          <w:color w:val="auto"/>
          <w:lang w:val="en-US" w:eastAsia="zh-CN"/>
        </w:rPr>
        <w:t>3.3【三级故障】指设备在运行中出现的，影响系统功能和性能，但关键业务不受影响的故障。冗余设备发生故障，不影响客户业务，故障诊断时间小于12小时，故障解决时间小于120小时；</w:t>
      </w:r>
    </w:p>
    <w:p w14:paraId="366DD9C3">
      <w:pPr>
        <w:pStyle w:val="8"/>
        <w:numPr>
          <w:ilvl w:val="0"/>
          <w:numId w:val="0"/>
        </w:numPr>
        <w:tabs>
          <w:tab w:val="left" w:pos="766"/>
        </w:tabs>
        <w:ind w:firstLine="480" w:firstLineChars="200"/>
        <w:rPr>
          <w:rFonts w:hint="eastAsia"/>
          <w:color w:val="auto"/>
          <w:lang w:val="en-US" w:eastAsia="zh-CN"/>
        </w:rPr>
      </w:pPr>
      <w:r>
        <w:rPr>
          <w:rFonts w:hint="eastAsia" w:ascii="宋体" w:hAnsi="Times New Roman" w:cs="Times New Roman" w:eastAsiaTheme="minorEastAsia"/>
          <w:snapToGrid/>
          <w:color w:val="auto"/>
          <w:kern w:val="2"/>
          <w:sz w:val="24"/>
          <w:szCs w:val="20"/>
          <w:lang w:val="en-US" w:eastAsia="zh-CN" w:bidi="ar-SA"/>
        </w:rPr>
        <w:t>4.</w:t>
      </w:r>
      <w:r>
        <w:rPr>
          <w:rFonts w:hint="eastAsia"/>
          <w:color w:val="auto"/>
          <w:lang w:val="en-US" w:eastAsia="zh-CN"/>
        </w:rPr>
        <w:t>网络安全设备维保续费应在接到甲方通知后两周内完成续费；</w:t>
      </w:r>
    </w:p>
    <w:p w14:paraId="225149C8">
      <w:pPr>
        <w:pStyle w:val="8"/>
        <w:numPr>
          <w:ilvl w:val="0"/>
          <w:numId w:val="0"/>
        </w:numPr>
        <w:tabs>
          <w:tab w:val="left" w:pos="766"/>
        </w:tabs>
        <w:ind w:firstLine="480" w:firstLineChars="200"/>
        <w:rPr>
          <w:rFonts w:hint="default" w:ascii="宋体" w:hAnsi="Times New Roman" w:cs="Times New Roman" w:eastAsiaTheme="minorEastAsia"/>
          <w:snapToGrid/>
          <w:kern w:val="2"/>
          <w:sz w:val="24"/>
          <w:szCs w:val="20"/>
          <w:lang w:val="en-US" w:eastAsia="zh-CN" w:bidi="ar-SA"/>
        </w:rPr>
      </w:pPr>
      <w:r>
        <w:rPr>
          <w:rFonts w:hint="eastAsia" w:ascii="宋体" w:hAnsi="Times New Roman" w:cs="Times New Roman" w:eastAsiaTheme="minorEastAsia"/>
          <w:snapToGrid/>
          <w:kern w:val="2"/>
          <w:sz w:val="24"/>
          <w:szCs w:val="20"/>
          <w:lang w:val="zh-CN" w:eastAsia="zh-CN" w:bidi="ar-SA"/>
        </w:rPr>
        <w:t>5.</w:t>
      </w:r>
      <w:r>
        <w:rPr>
          <w:rFonts w:hint="eastAsia" w:cs="Times New Roman"/>
          <w:snapToGrid/>
          <w:kern w:val="2"/>
          <w:sz w:val="24"/>
          <w:szCs w:val="20"/>
          <w:lang w:val="en-US" w:eastAsia="zh-CN" w:bidi="ar-SA"/>
        </w:rPr>
        <w:t>若涉及到需要更换新的备件时，乙方须向甲方报送需要更换的备件清单、维修所需的工时，经甲方同意后方可进行更换；</w:t>
      </w:r>
    </w:p>
    <w:p w14:paraId="11E8459A">
      <w:pPr>
        <w:pStyle w:val="8"/>
        <w:numPr>
          <w:ilvl w:val="0"/>
          <w:numId w:val="0"/>
        </w:numPr>
        <w:tabs>
          <w:tab w:val="left" w:pos="766"/>
        </w:tabs>
        <w:ind w:firstLine="480" w:firstLineChars="200"/>
        <w:rPr>
          <w:rFonts w:hint="eastAsia"/>
        </w:rPr>
      </w:pPr>
      <w:r>
        <w:rPr>
          <w:rFonts w:hint="eastAsia" w:hAnsi="宋体" w:cs="宋体"/>
          <w:sz w:val="24"/>
          <w:lang w:val="en-US" w:eastAsia="zh-CN"/>
        </w:rPr>
        <w:t>6.</w:t>
      </w:r>
      <w:r>
        <w:rPr>
          <w:rFonts w:hint="eastAsia" w:ascii="宋体" w:hAnsi="宋体" w:cs="宋体"/>
          <w:sz w:val="24"/>
        </w:rPr>
        <w:t>甲方不再对任何售后服务进行付费，乙方的派遣人员产生的一切费用由供应商承担。</w:t>
      </w:r>
    </w:p>
    <w:p w14:paraId="60288A61">
      <w:pPr>
        <w:pStyle w:val="7"/>
        <w:ind w:firstLine="480" w:firstLineChars="20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7.</w:t>
      </w:r>
      <w:r>
        <w:rPr>
          <w:rFonts w:hint="eastAsia" w:hAnsi="宋体" w:cs="宋体"/>
          <w:b w:val="0"/>
          <w:bCs/>
          <w:color w:val="auto"/>
          <w:sz w:val="24"/>
          <w:lang w:val="en-US" w:eastAsia="zh-CN"/>
        </w:rPr>
        <w:t>乙方</w:t>
      </w:r>
      <w:r>
        <w:rPr>
          <w:rFonts w:hint="eastAsia" w:ascii="宋体" w:hAnsi="宋体" w:cs="宋体"/>
          <w:b w:val="0"/>
          <w:bCs/>
          <w:color w:val="auto"/>
          <w:sz w:val="24"/>
          <w:lang w:val="en-US" w:eastAsia="zh-CN"/>
        </w:rPr>
        <w:t>维修后的办公设备质保期限为3个月，</w:t>
      </w:r>
      <w:r>
        <w:rPr>
          <w:rFonts w:hint="eastAsia"/>
          <w:b w:val="0"/>
          <w:bCs/>
          <w:color w:val="auto"/>
          <w:lang w:val="en-US"/>
        </w:rPr>
        <w:t>若质保期内出现质量问题（非质量问题除外），由</w:t>
      </w:r>
      <w:r>
        <w:rPr>
          <w:rFonts w:hint="eastAsia"/>
          <w:b w:val="0"/>
          <w:bCs/>
          <w:color w:val="auto"/>
          <w:lang w:val="en-US" w:eastAsia="zh-CN"/>
        </w:rPr>
        <w:t>乙方</w:t>
      </w:r>
      <w:r>
        <w:rPr>
          <w:rFonts w:hint="eastAsia"/>
          <w:b w:val="0"/>
          <w:bCs/>
          <w:color w:val="auto"/>
          <w:lang w:val="en-US"/>
        </w:rPr>
        <w:t>负责免费维修或者更换，产生的费用全部由</w:t>
      </w:r>
      <w:r>
        <w:rPr>
          <w:rFonts w:hint="eastAsia"/>
          <w:b w:val="0"/>
          <w:bCs/>
          <w:color w:val="auto"/>
          <w:lang w:val="en-US" w:eastAsia="zh-CN"/>
        </w:rPr>
        <w:t>乙方</w:t>
      </w:r>
      <w:r>
        <w:rPr>
          <w:rFonts w:hint="eastAsia"/>
          <w:b w:val="0"/>
          <w:bCs/>
          <w:color w:val="auto"/>
          <w:lang w:val="en-US"/>
        </w:rPr>
        <w:t>承担，质保期重新计算。</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398"/>
      <w:bookmarkEnd w:id="399"/>
      <w:bookmarkEnd w:id="400"/>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4CB7EC2">
      <w:pPr>
        <w:pStyle w:val="26"/>
        <w:spacing w:before="0" w:beforeAutospacing="0" w:after="0" w:afterAutospacing="0" w:line="360" w:lineRule="auto"/>
        <w:ind w:firstLine="480"/>
        <w:rPr>
          <w:rFonts w:hint="eastAsia" w:eastAsiaTheme="minorEastAsia"/>
          <w:b w:val="0"/>
          <w:bCs/>
          <w:u w:val="single"/>
          <w:lang w:val="en-US" w:eastAsia="zh-CN"/>
        </w:rPr>
      </w:pPr>
      <w:r>
        <w:rPr>
          <w:rFonts w:hint="eastAsia"/>
          <w:b w:val="0"/>
          <w:bCs/>
          <w:u w:val="single"/>
          <w:lang w:val="en-US" w:eastAsia="zh-CN"/>
        </w:rPr>
        <w:t>无。</w:t>
      </w:r>
    </w:p>
    <w:p w14:paraId="3EC2853B">
      <w:pPr>
        <w:pStyle w:val="26"/>
        <w:spacing w:before="0" w:beforeAutospacing="0" w:after="0" w:afterAutospacing="0" w:line="360" w:lineRule="auto"/>
        <w:ind w:firstLine="480"/>
        <w:rPr>
          <w:b/>
        </w:rPr>
      </w:pPr>
      <w:r>
        <w:rPr>
          <w:rFonts w:hint="eastAsia"/>
          <w:b/>
        </w:rPr>
        <w:t>七、履约保证金</w:t>
      </w:r>
    </w:p>
    <w:p w14:paraId="450407ED">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6"/>
        <w:spacing w:before="0" w:beforeAutospacing="0" w:after="0" w:afterAutospacing="0" w:line="360" w:lineRule="auto"/>
        <w:ind w:firstLine="480"/>
        <w:rPr>
          <w:b/>
          <w:bCs/>
        </w:rPr>
      </w:pPr>
      <w:r>
        <w:rPr>
          <w:rFonts w:hint="eastAsia"/>
          <w:b/>
          <w:bCs/>
        </w:rPr>
        <w:t>九、资金支付</w:t>
      </w:r>
    </w:p>
    <w:p w14:paraId="577711DC">
      <w:pPr>
        <w:pStyle w:val="26"/>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6"/>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0C993012">
      <w:pPr>
        <w:pStyle w:val="7"/>
        <w:numPr>
          <w:ilvl w:val="0"/>
          <w:numId w:val="0"/>
        </w:numPr>
        <w:ind w:firstLine="480" w:firstLineChars="200"/>
        <w:rPr>
          <w:rFonts w:hint="eastAsia"/>
          <w:u w:val="single"/>
          <w:lang w:eastAsia="zh-CN"/>
        </w:rPr>
      </w:pPr>
      <w:r>
        <w:rPr>
          <w:rFonts w:hint="eastAsia"/>
        </w:rPr>
        <w:t>（4）</w:t>
      </w:r>
      <w:r>
        <w:rPr>
          <w:rFonts w:hint="eastAsia"/>
          <w:u w:val="single"/>
        </w:rPr>
        <w:t>其他付款方式：网络运维维保费用、办公设备</w:t>
      </w:r>
      <w:r>
        <w:rPr>
          <w:rFonts w:hint="eastAsia"/>
          <w:u w:val="single"/>
          <w:lang w:val="en-US" w:eastAsia="zh-CN"/>
        </w:rPr>
        <w:t>维修</w:t>
      </w:r>
      <w:r>
        <w:rPr>
          <w:rFonts w:hint="eastAsia"/>
          <w:u w:val="single"/>
        </w:rPr>
        <w:t>费用以及办公设备</w:t>
      </w:r>
      <w:r>
        <w:rPr>
          <w:rFonts w:hint="eastAsia"/>
          <w:u w:val="single"/>
          <w:lang w:val="en-US" w:eastAsia="zh-CN"/>
        </w:rPr>
        <w:t>配件</w:t>
      </w:r>
      <w:r>
        <w:rPr>
          <w:rFonts w:hint="eastAsia"/>
          <w:u w:val="single"/>
        </w:rPr>
        <w:t>费用按</w:t>
      </w:r>
      <w:r>
        <w:rPr>
          <w:rFonts w:hint="eastAsia"/>
          <w:u w:val="single"/>
          <w:lang w:val="en-US" w:eastAsia="zh-CN"/>
        </w:rPr>
        <w:t>每三个月为一个结算周期，乙方提供清单及发票后，甲方确认无问题后在本合同约定的时间内</w:t>
      </w:r>
      <w:r>
        <w:rPr>
          <w:rFonts w:hint="eastAsia"/>
          <w:u w:val="single"/>
        </w:rPr>
        <w:t>支付</w:t>
      </w:r>
      <w:r>
        <w:rPr>
          <w:rFonts w:hint="eastAsia"/>
          <w:u w:val="single"/>
          <w:lang w:eastAsia="zh-CN"/>
        </w:rPr>
        <w:t>；</w:t>
      </w:r>
      <w:r>
        <w:rPr>
          <w:rFonts w:hint="eastAsia"/>
          <w:u w:val="single"/>
        </w:rPr>
        <w:t>网络安全设备维保续费费用</w:t>
      </w:r>
      <w:r>
        <w:rPr>
          <w:rFonts w:hint="eastAsia"/>
          <w:u w:val="single"/>
          <w:lang w:val="en-US" w:eastAsia="zh-CN"/>
        </w:rPr>
        <w:t>在乙方续费完成后，乙方提供清单及发票，甲方确认无问题后在本合同约定的时间内</w:t>
      </w:r>
      <w:r>
        <w:rPr>
          <w:rFonts w:hint="eastAsia"/>
          <w:u w:val="single"/>
        </w:rPr>
        <w:t>支付。</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3"/>
      <w:bookmarkEnd w:id="394"/>
      <w:bookmarkEnd w:id="395"/>
      <w:bookmarkEnd w:id="396"/>
      <w:bookmarkEnd w:id="397"/>
      <w:bookmarkStart w:id="401" w:name="_Toc8586"/>
      <w:bookmarkStart w:id="402" w:name="_Toc2375"/>
      <w:bookmarkStart w:id="403" w:name="_Toc3079"/>
      <w:bookmarkStart w:id="404" w:name="_Toc24662"/>
      <w:bookmarkStart w:id="405" w:name="_Toc5698"/>
      <w:r>
        <w:rPr>
          <w:rFonts w:hint="eastAsia" w:ascii="宋体" w:hAnsi="宋体"/>
          <w:b/>
          <w:sz w:val="24"/>
        </w:rPr>
        <w:t>违约责任</w:t>
      </w:r>
      <w:bookmarkEnd w:id="401"/>
      <w:bookmarkEnd w:id="402"/>
      <w:bookmarkEnd w:id="403"/>
      <w:bookmarkEnd w:id="404"/>
      <w:bookmarkEnd w:id="405"/>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06" w:name="_Toc9497"/>
      <w:bookmarkStart w:id="407" w:name="_Toc32454"/>
      <w:bookmarkStart w:id="408" w:name="_Toc26807"/>
      <w:bookmarkStart w:id="409" w:name="_Toc18683"/>
      <w:bookmarkStart w:id="410"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6"/>
    <w:bookmarkEnd w:id="407"/>
    <w:bookmarkEnd w:id="408"/>
    <w:bookmarkEnd w:id="409"/>
    <w:bookmarkEnd w:id="410"/>
    <w:p w14:paraId="15426C4F">
      <w:pPr>
        <w:pStyle w:val="7"/>
        <w:ind w:right="-420" w:rightChars="-200" w:firstLine="480" w:firstLineChars="200"/>
        <w:rPr>
          <w:rFonts w:hint="eastAsia" w:hAnsi="宋体" w:cs="宋体"/>
          <w:snapToGrid/>
          <w:color w:val="0000FF"/>
          <w:kern w:val="2"/>
          <w:sz w:val="24"/>
          <w:szCs w:val="24"/>
          <w:lang w:val="en-US" w:eastAsia="zh-CN" w:bidi="ar-SA"/>
        </w:rPr>
      </w:pPr>
      <w:bookmarkStart w:id="411" w:name="_Toc15583"/>
      <w:bookmarkStart w:id="412" w:name="_Toc28375"/>
      <w:bookmarkStart w:id="413" w:name="_Toc16021"/>
      <w:r>
        <w:rPr>
          <w:rFonts w:hint="eastAsia" w:hAnsi="宋体" w:cs="宋体"/>
          <w:color w:val="auto"/>
          <w:u w:val="single"/>
        </w:rPr>
        <w:t>（</w:t>
      </w:r>
      <w:r>
        <w:rPr>
          <w:rFonts w:hint="eastAsia" w:hAnsi="宋体" w:cs="宋体"/>
          <w:color w:val="auto"/>
          <w:u w:val="single"/>
          <w:lang w:val="en-US"/>
        </w:rPr>
        <w:t>3</w:t>
      </w:r>
      <w:r>
        <w:rPr>
          <w:rFonts w:hint="eastAsia" w:hAnsi="宋体" w:cs="宋体"/>
          <w:color w:val="auto"/>
          <w:u w:val="single"/>
        </w:rPr>
        <w:t>）</w:t>
      </w:r>
      <w:r>
        <w:rPr>
          <w:rFonts w:hint="eastAsia"/>
          <w:color w:val="auto"/>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C3B360A">
      <w:pPr>
        <w:pStyle w:val="7"/>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8"/>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1"/>
      <w:bookmarkEnd w:id="412"/>
      <w:bookmarkEnd w:id="413"/>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4" w:name="_Toc11173"/>
      <w:bookmarkStart w:id="415" w:name="_Toc7245"/>
      <w:bookmarkStart w:id="416" w:name="_Toc15322"/>
      <w:r>
        <w:rPr>
          <w:rFonts w:hint="eastAsia" w:ascii="宋体" w:hAnsi="宋体" w:cs="宋体"/>
          <w:b/>
          <w:sz w:val="24"/>
        </w:rPr>
        <w:t>十二、合同生效</w:t>
      </w:r>
      <w:bookmarkEnd w:id="414"/>
      <w:bookmarkEnd w:id="415"/>
      <w:bookmarkEnd w:id="416"/>
    </w:p>
    <w:p w14:paraId="712C4F11">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5"/>
        <w:ind w:left="0" w:leftChars="0" w:firstLine="0" w:firstLineChars="0"/>
        <w:jc w:val="center"/>
        <w:rPr>
          <w:rFonts w:hint="eastAsia" w:ascii="宋体" w:hAnsi="宋体"/>
          <w:b/>
          <w:szCs w:val="24"/>
        </w:rPr>
      </w:pPr>
    </w:p>
    <w:p w14:paraId="48087D53">
      <w:pPr>
        <w:pStyle w:val="25"/>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17" w:name="_Toc31297"/>
      <w:bookmarkStart w:id="418" w:name="_Toc25079"/>
      <w:bookmarkStart w:id="419" w:name="_Toc19680"/>
      <w:bookmarkStart w:id="420" w:name="_Toc14021"/>
      <w:bookmarkStart w:id="421" w:name="_Toc5228"/>
      <w:r>
        <w:rPr>
          <w:rFonts w:hint="eastAsia" w:ascii="宋体" w:hAnsi="宋体"/>
          <w:b/>
          <w:sz w:val="24"/>
        </w:rPr>
        <w:t>一、</w:t>
      </w:r>
      <w:r>
        <w:rPr>
          <w:rFonts w:ascii="宋体" w:hAnsi="宋体"/>
          <w:b/>
          <w:sz w:val="24"/>
        </w:rPr>
        <w:t>定义</w:t>
      </w:r>
      <w:bookmarkEnd w:id="417"/>
      <w:bookmarkEnd w:id="418"/>
      <w:bookmarkEnd w:id="419"/>
      <w:bookmarkEnd w:id="420"/>
      <w:bookmarkEnd w:id="421"/>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2" w:name="_Toc31402"/>
      <w:bookmarkStart w:id="423" w:name="_Toc3769"/>
      <w:bookmarkStart w:id="424" w:name="_Toc19539"/>
      <w:bookmarkStart w:id="425" w:name="_Toc23289"/>
      <w:bookmarkStart w:id="426" w:name="_Toc1675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2"/>
      <w:bookmarkEnd w:id="423"/>
      <w:bookmarkEnd w:id="424"/>
      <w:bookmarkEnd w:id="425"/>
      <w:bookmarkEnd w:id="426"/>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27" w:name="_Toc13673"/>
      <w:bookmarkStart w:id="428" w:name="_Toc4133"/>
      <w:bookmarkStart w:id="429" w:name="_Toc9161"/>
      <w:bookmarkStart w:id="430" w:name="_Toc12412"/>
      <w:bookmarkStart w:id="431" w:name="_Toc27945"/>
      <w:r>
        <w:rPr>
          <w:rFonts w:hint="eastAsia" w:ascii="宋体" w:hAnsi="宋体"/>
          <w:b/>
          <w:sz w:val="24"/>
        </w:rPr>
        <w:t>三、</w:t>
      </w:r>
      <w:r>
        <w:rPr>
          <w:rFonts w:ascii="宋体" w:hAnsi="宋体"/>
          <w:b/>
          <w:sz w:val="24"/>
        </w:rPr>
        <w:t xml:space="preserve"> 知识产权</w:t>
      </w:r>
      <w:bookmarkEnd w:id="427"/>
      <w:bookmarkEnd w:id="428"/>
      <w:bookmarkEnd w:id="429"/>
      <w:bookmarkEnd w:id="430"/>
      <w:bookmarkEnd w:id="431"/>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2" w:name="_Toc15447"/>
      <w:bookmarkStart w:id="433" w:name="_Toc22011"/>
      <w:bookmarkStart w:id="434" w:name="_Toc31233"/>
      <w:bookmarkStart w:id="435" w:name="_Toc32670"/>
      <w:bookmarkStart w:id="436" w:name="_Toc26555"/>
      <w:r>
        <w:rPr>
          <w:rFonts w:hint="eastAsia" w:ascii="宋体" w:hAnsi="宋体"/>
          <w:b/>
          <w:sz w:val="24"/>
        </w:rPr>
        <w:t>五、</w:t>
      </w:r>
      <w:r>
        <w:rPr>
          <w:rFonts w:ascii="宋体" w:hAnsi="宋体"/>
          <w:b/>
          <w:sz w:val="24"/>
        </w:rPr>
        <w:t>结算方式和付款条件</w:t>
      </w:r>
      <w:bookmarkEnd w:id="432"/>
      <w:bookmarkEnd w:id="433"/>
      <w:bookmarkEnd w:id="434"/>
      <w:bookmarkEnd w:id="435"/>
      <w:bookmarkEnd w:id="436"/>
    </w:p>
    <w:p w14:paraId="3EECBE81">
      <w:pPr>
        <w:spacing w:line="360" w:lineRule="auto"/>
        <w:ind w:firstLine="480" w:firstLineChars="200"/>
        <w:outlineLvl w:val="0"/>
        <w:rPr>
          <w:rFonts w:hint="eastAsia" w:ascii="宋体" w:hAnsi="宋体"/>
          <w:bCs/>
          <w:sz w:val="24"/>
        </w:rPr>
      </w:pPr>
      <w:bookmarkStart w:id="437" w:name="_Toc30507"/>
      <w:bookmarkStart w:id="438" w:name="_Toc16163"/>
      <w:bookmarkStart w:id="439" w:name="_Toc13154"/>
      <w:bookmarkStart w:id="440" w:name="_Toc13467"/>
      <w:bookmarkStart w:id="441" w:name="_Toc18990"/>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37"/>
      <w:bookmarkEnd w:id="438"/>
      <w:bookmarkEnd w:id="439"/>
      <w:bookmarkEnd w:id="440"/>
      <w:bookmarkEnd w:id="441"/>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2" w:name="_Toc19069"/>
      <w:r>
        <w:rPr>
          <w:rFonts w:hint="eastAsia" w:ascii="宋体" w:hAnsi="宋体"/>
          <w:b/>
          <w:sz w:val="24"/>
        </w:rPr>
        <w:t>七、质量保证</w:t>
      </w:r>
      <w:bookmarkEnd w:id="442"/>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3"/>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4" w:name="_Toc10611"/>
      <w:r>
        <w:rPr>
          <w:rFonts w:hint="eastAsia" w:ascii="宋体" w:hAnsi="宋体"/>
          <w:b/>
          <w:sz w:val="24"/>
        </w:rPr>
        <w:t>九、合同变更</w:t>
      </w:r>
      <w:bookmarkEnd w:id="444"/>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5" w:name="_Toc10663"/>
      <w:bookmarkStart w:id="446" w:name="_Toc23368"/>
      <w:bookmarkStart w:id="447" w:name="_Toc42"/>
      <w:bookmarkStart w:id="448" w:name="_Toc21830"/>
      <w:bookmarkStart w:id="449"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5"/>
      <w:bookmarkEnd w:id="446"/>
      <w:bookmarkEnd w:id="447"/>
      <w:bookmarkEnd w:id="448"/>
      <w:bookmarkEnd w:id="449"/>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0" w:name="_Toc4720"/>
      <w:bookmarkStart w:id="451" w:name="_Toc14371"/>
      <w:bookmarkStart w:id="452" w:name="_Toc26633"/>
      <w:bookmarkStart w:id="453" w:name="_Toc25571"/>
      <w:bookmarkStart w:id="454" w:name="_Toc32494"/>
      <w:r>
        <w:rPr>
          <w:rFonts w:hint="eastAsia" w:ascii="宋体" w:hAnsi="宋体"/>
          <w:b/>
          <w:sz w:val="24"/>
        </w:rPr>
        <w:t>十一、</w:t>
      </w:r>
      <w:r>
        <w:rPr>
          <w:rFonts w:ascii="宋体" w:hAnsi="宋体"/>
          <w:b/>
          <w:sz w:val="24"/>
        </w:rPr>
        <w:t>不可抗力</w:t>
      </w:r>
      <w:bookmarkEnd w:id="450"/>
      <w:bookmarkEnd w:id="451"/>
      <w:bookmarkEnd w:id="452"/>
      <w:bookmarkEnd w:id="453"/>
      <w:bookmarkEnd w:id="454"/>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5" w:name="_Toc24465"/>
      <w:bookmarkStart w:id="456" w:name="_Toc25783"/>
      <w:bookmarkStart w:id="457" w:name="_Toc3638"/>
      <w:bookmarkStart w:id="458" w:name="_Toc14115"/>
      <w:bookmarkStart w:id="459" w:name="_Toc23854"/>
      <w:r>
        <w:rPr>
          <w:rFonts w:hint="eastAsia" w:ascii="宋体" w:hAnsi="宋体"/>
          <w:b/>
          <w:sz w:val="24"/>
        </w:rPr>
        <w:t>十二、</w:t>
      </w:r>
      <w:r>
        <w:rPr>
          <w:rFonts w:ascii="宋体" w:hAnsi="宋体"/>
          <w:b/>
          <w:sz w:val="24"/>
        </w:rPr>
        <w:t>税费</w:t>
      </w:r>
      <w:bookmarkEnd w:id="455"/>
      <w:bookmarkEnd w:id="456"/>
      <w:bookmarkEnd w:id="457"/>
      <w:bookmarkEnd w:id="458"/>
      <w:bookmarkEnd w:id="459"/>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0" w:name="_Toc30105"/>
      <w:bookmarkStart w:id="461" w:name="_Toc25525"/>
      <w:bookmarkStart w:id="462" w:name="_Toc26883"/>
      <w:bookmarkStart w:id="463" w:name="_Toc7315"/>
      <w:bookmarkStart w:id="464" w:name="_Toc14814"/>
      <w:r>
        <w:rPr>
          <w:rFonts w:hint="eastAsia" w:ascii="宋体" w:hAnsi="宋体"/>
          <w:b/>
          <w:sz w:val="24"/>
        </w:rPr>
        <w:t>十三、</w:t>
      </w:r>
      <w:r>
        <w:rPr>
          <w:rFonts w:ascii="宋体" w:hAnsi="宋体"/>
          <w:b/>
          <w:sz w:val="24"/>
        </w:rPr>
        <w:t>乙方破产</w:t>
      </w:r>
      <w:bookmarkEnd w:id="460"/>
      <w:bookmarkEnd w:id="461"/>
      <w:bookmarkEnd w:id="462"/>
      <w:bookmarkEnd w:id="463"/>
      <w:bookmarkEnd w:id="464"/>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5" w:name="_Toc2016"/>
      <w:bookmarkStart w:id="466" w:name="_Toc1123"/>
      <w:bookmarkStart w:id="467" w:name="_Toc23323"/>
      <w:r>
        <w:rPr>
          <w:rFonts w:hint="eastAsia" w:ascii="宋体" w:hAnsi="宋体"/>
          <w:b/>
          <w:sz w:val="24"/>
        </w:rPr>
        <w:t>十四、</w:t>
      </w:r>
      <w:r>
        <w:rPr>
          <w:rFonts w:ascii="宋体" w:hAnsi="宋体"/>
          <w:b/>
          <w:sz w:val="24"/>
        </w:rPr>
        <w:t>合同中止、终止</w:t>
      </w:r>
      <w:bookmarkEnd w:id="465"/>
      <w:bookmarkEnd w:id="466"/>
      <w:bookmarkEnd w:id="467"/>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68" w:name="_Toc14525"/>
      <w:bookmarkStart w:id="469" w:name="_Toc1969"/>
      <w:bookmarkStart w:id="470"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68"/>
      <w:bookmarkEnd w:id="469"/>
      <w:bookmarkEnd w:id="470"/>
      <w:bookmarkStart w:id="471" w:name="_Toc2308"/>
      <w:bookmarkStart w:id="472" w:name="_Toc12666"/>
      <w:bookmarkStart w:id="473" w:name="_Toc31892"/>
      <w:bookmarkStart w:id="474" w:name="_Toc25198"/>
      <w:bookmarkStart w:id="475" w:name="_Toc9808"/>
      <w:r>
        <w:rPr>
          <w:rFonts w:hint="eastAsia" w:ascii="宋体" w:hAnsi="宋体"/>
          <w:b/>
          <w:sz w:val="24"/>
        </w:rPr>
        <w:t>、</w:t>
      </w:r>
      <w:r>
        <w:rPr>
          <w:rFonts w:ascii="宋体" w:hAnsi="宋体"/>
          <w:b/>
          <w:sz w:val="24"/>
        </w:rPr>
        <w:t>通知和送达</w:t>
      </w:r>
      <w:bookmarkEnd w:id="471"/>
      <w:bookmarkEnd w:id="472"/>
      <w:bookmarkEnd w:id="473"/>
      <w:bookmarkEnd w:id="474"/>
      <w:bookmarkEnd w:id="475"/>
    </w:p>
    <w:p w14:paraId="69D3FE9D">
      <w:pPr>
        <w:spacing w:line="360" w:lineRule="auto"/>
        <w:ind w:firstLine="480" w:firstLineChars="200"/>
        <w:rPr>
          <w:rFonts w:ascii="宋体" w:hAnsi="宋体"/>
          <w:sz w:val="24"/>
        </w:rPr>
      </w:pPr>
      <w:bookmarkStart w:id="476" w:name="_Toc18401"/>
      <w:bookmarkStart w:id="477"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76"/>
      <w:bookmarkEnd w:id="477"/>
    </w:p>
    <w:p w14:paraId="31282059">
      <w:pPr>
        <w:spacing w:line="360" w:lineRule="auto"/>
        <w:ind w:firstLine="482" w:firstLineChars="200"/>
        <w:outlineLvl w:val="0"/>
        <w:rPr>
          <w:rFonts w:ascii="宋体" w:hAnsi="宋体" w:cs="宋体"/>
          <w:b/>
          <w:sz w:val="24"/>
        </w:rPr>
      </w:pPr>
      <w:bookmarkStart w:id="478" w:name="_Toc18540"/>
      <w:bookmarkStart w:id="479" w:name="_Toc30599"/>
      <w:bookmarkStart w:id="480" w:name="_Toc4355"/>
      <w:bookmarkStart w:id="481" w:name="_Toc28906"/>
      <w:bookmarkStart w:id="482" w:name="_Toc5063"/>
      <w:bookmarkStart w:id="483" w:name="_Toc12254"/>
      <w:bookmarkStart w:id="484" w:name="_Toc20808"/>
      <w:bookmarkStart w:id="485" w:name="_Toc27644"/>
      <w:r>
        <w:rPr>
          <w:rFonts w:hint="eastAsia" w:ascii="宋体" w:hAnsi="宋体" w:cs="宋体"/>
          <w:b/>
          <w:sz w:val="24"/>
        </w:rPr>
        <w:t>十六、计量单位</w:t>
      </w:r>
      <w:bookmarkEnd w:id="478"/>
      <w:bookmarkEnd w:id="479"/>
      <w:bookmarkEnd w:id="480"/>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1"/>
      <w:bookmarkEnd w:id="482"/>
      <w:bookmarkEnd w:id="483"/>
      <w:bookmarkEnd w:id="484"/>
      <w:bookmarkEnd w:id="485"/>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5"/>
        <w:spacing w:line="560" w:lineRule="exact"/>
        <w:ind w:left="0" w:leftChars="0" w:firstLine="0" w:firstLineChars="0"/>
        <w:jc w:val="center"/>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5"/>
        <w:spacing w:line="560" w:lineRule="exact"/>
        <w:ind w:left="0" w:leftChars="0" w:firstLine="0" w:firstLineChars="0"/>
        <w:jc w:val="center"/>
        <w:rPr>
          <w:rFonts w:hint="eastAsia" w:ascii="宋体" w:hAnsi="宋体"/>
          <w:b/>
          <w:szCs w:val="24"/>
        </w:rPr>
      </w:pPr>
    </w:p>
    <w:p w14:paraId="2C40B3D6">
      <w:pPr>
        <w:pStyle w:val="25"/>
        <w:spacing w:line="560" w:lineRule="exact"/>
        <w:ind w:left="0" w:leftChars="0" w:firstLine="0" w:firstLineChars="0"/>
        <w:jc w:val="center"/>
        <w:rPr>
          <w:rFonts w:hint="eastAsia" w:ascii="宋体" w:hAnsi="宋体"/>
          <w:b/>
          <w:szCs w:val="24"/>
        </w:rPr>
      </w:pPr>
    </w:p>
    <w:p w14:paraId="262E896E">
      <w:pPr>
        <w:rPr>
          <w:rFonts w:hint="eastAsia"/>
        </w:rPr>
      </w:pPr>
    </w:p>
    <w:p w14:paraId="77DFAD8F">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2025年-2026年网络安全维保服务（重新询价）采购项目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2025年-2026年网络安全维保服务（重新询价）采购项目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none"/>
        </w:rPr>
      </w:pPr>
      <w:r>
        <w:rPr>
          <w:rFonts w:hint="eastAsia" w:ascii="宋体" w:hAnsi="宋体" w:cs="宋体"/>
          <w:sz w:val="24"/>
        </w:rPr>
        <w:t>1.</w:t>
      </w:r>
      <w:r>
        <w:rPr>
          <w:rFonts w:hint="eastAsia" w:ascii="宋体" w:hAnsi="宋体" w:cs="宋体"/>
          <w:sz w:val="24"/>
          <w:lang w:val="en-US" w:eastAsia="zh-CN"/>
        </w:rPr>
        <w:t>乙</w:t>
      </w:r>
      <w:r>
        <w:rPr>
          <w:rFonts w:hint="eastAsia" w:hAnsi="宋体" w:cs="宋体"/>
          <w:color w:val="auto"/>
          <w:sz w:val="24"/>
          <w:highlight w:val="none"/>
          <w:lang w:val="en-US" w:eastAsia="zh-CN"/>
        </w:rPr>
        <w:t>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5"/>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9"/>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6ACDAAA7">
      <w:pPr>
        <w:snapToGrid w:val="0"/>
        <w:spacing w:line="460" w:lineRule="exact"/>
        <w:jc w:val="both"/>
        <w:rPr>
          <w:rFonts w:hint="eastAsia" w:ascii="宋体" w:hAnsi="宋体" w:eastAsia="宋体" w:cs="宋体"/>
          <w:b/>
          <w:sz w:val="36"/>
          <w:szCs w:val="36"/>
        </w:rPr>
      </w:pPr>
    </w:p>
    <w:p w14:paraId="37502455">
      <w:pPr>
        <w:snapToGrid w:val="0"/>
        <w:spacing w:line="460" w:lineRule="exact"/>
        <w:jc w:val="both"/>
        <w:rPr>
          <w:rFonts w:hint="eastAsia" w:ascii="宋体" w:hAnsi="宋体" w:eastAsia="宋体" w:cs="宋体"/>
          <w:b/>
          <w:sz w:val="36"/>
          <w:szCs w:val="36"/>
        </w:rPr>
      </w:pPr>
    </w:p>
    <w:p w14:paraId="116A155A">
      <w:pPr>
        <w:snapToGrid w:val="0"/>
        <w:spacing w:line="460" w:lineRule="exact"/>
        <w:jc w:val="both"/>
        <w:rPr>
          <w:rFonts w:hint="eastAsia" w:ascii="宋体" w:hAnsi="宋体" w:eastAsia="宋体" w:cs="宋体"/>
          <w:b/>
          <w:sz w:val="36"/>
          <w:szCs w:val="36"/>
        </w:rPr>
      </w:pPr>
    </w:p>
    <w:p w14:paraId="56048AF5">
      <w:pPr>
        <w:snapToGrid w:val="0"/>
        <w:spacing w:line="460" w:lineRule="exact"/>
        <w:jc w:val="both"/>
        <w:rPr>
          <w:rFonts w:hint="eastAsia" w:ascii="宋体" w:hAnsi="宋体" w:eastAsia="宋体" w:cs="宋体"/>
          <w:b/>
          <w:sz w:val="36"/>
          <w:szCs w:val="36"/>
        </w:rPr>
      </w:pPr>
    </w:p>
    <w:p w14:paraId="7B653948">
      <w:pPr>
        <w:snapToGrid w:val="0"/>
        <w:spacing w:line="460" w:lineRule="exact"/>
        <w:jc w:val="both"/>
        <w:rPr>
          <w:rFonts w:hint="eastAsia" w:ascii="宋体" w:hAnsi="宋体" w:eastAsia="宋体" w:cs="宋体"/>
          <w:b/>
          <w:sz w:val="36"/>
          <w:szCs w:val="36"/>
        </w:rPr>
      </w:pPr>
    </w:p>
    <w:p w14:paraId="3C70F98B">
      <w:pPr>
        <w:snapToGrid w:val="0"/>
        <w:spacing w:line="460" w:lineRule="exact"/>
        <w:jc w:val="both"/>
        <w:rPr>
          <w:rFonts w:hint="eastAsia" w:ascii="宋体" w:hAnsi="宋体" w:eastAsia="宋体" w:cs="宋体"/>
          <w:b/>
          <w:sz w:val="36"/>
          <w:szCs w:val="36"/>
        </w:rPr>
      </w:pPr>
    </w:p>
    <w:p w14:paraId="08AEA871">
      <w:pPr>
        <w:snapToGrid w:val="0"/>
        <w:spacing w:line="460" w:lineRule="exact"/>
        <w:jc w:val="both"/>
        <w:rPr>
          <w:rFonts w:hint="eastAsia" w:ascii="宋体" w:hAnsi="宋体" w:eastAsia="宋体" w:cs="宋体"/>
          <w:b/>
          <w:sz w:val="36"/>
          <w:szCs w:val="36"/>
        </w:rPr>
      </w:pPr>
    </w:p>
    <w:p w14:paraId="590BC260">
      <w:pPr>
        <w:snapToGrid w:val="0"/>
        <w:spacing w:line="460" w:lineRule="exact"/>
        <w:jc w:val="both"/>
        <w:rPr>
          <w:rFonts w:hint="eastAsia" w:ascii="宋体" w:hAnsi="宋体" w:eastAsia="宋体" w:cs="宋体"/>
          <w:b/>
          <w:sz w:val="36"/>
          <w:szCs w:val="36"/>
        </w:rPr>
      </w:pPr>
    </w:p>
    <w:p w14:paraId="159314E0">
      <w:pPr>
        <w:snapToGrid w:val="0"/>
        <w:spacing w:line="460" w:lineRule="exact"/>
        <w:jc w:val="both"/>
        <w:rPr>
          <w:rFonts w:hint="eastAsia" w:ascii="宋体" w:hAnsi="宋体" w:eastAsia="宋体" w:cs="宋体"/>
          <w:b/>
          <w:sz w:val="36"/>
          <w:szCs w:val="36"/>
        </w:rPr>
      </w:pPr>
    </w:p>
    <w:p w14:paraId="778631E3">
      <w:pPr>
        <w:snapToGrid w:val="0"/>
        <w:spacing w:line="460" w:lineRule="exact"/>
        <w:jc w:val="both"/>
        <w:rPr>
          <w:rFonts w:hint="eastAsia" w:ascii="宋体" w:hAnsi="宋体" w:eastAsia="宋体" w:cs="宋体"/>
          <w:b/>
          <w:sz w:val="36"/>
          <w:szCs w:val="36"/>
        </w:rPr>
      </w:pPr>
    </w:p>
    <w:p w14:paraId="01A88279">
      <w:pPr>
        <w:snapToGrid w:val="0"/>
        <w:spacing w:line="460" w:lineRule="exact"/>
        <w:jc w:val="both"/>
        <w:rPr>
          <w:rFonts w:hint="eastAsia" w:ascii="宋体" w:hAnsi="宋体" w:eastAsia="宋体" w:cs="宋体"/>
          <w:b/>
          <w:sz w:val="36"/>
          <w:szCs w:val="36"/>
        </w:rPr>
      </w:pPr>
    </w:p>
    <w:p w14:paraId="3B4F33CF">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2025年-2026年网络安全维保服务（重新询价）采购项目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202508002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202508002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68B2145C">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25F301AE">
      <w:pPr>
        <w:pStyle w:val="16"/>
        <w:rPr>
          <w:rFonts w:hint="eastAsia" w:cs="仿宋" w:asciiTheme="minorEastAsia" w:hAnsiTheme="minorEastAsia"/>
          <w:b/>
          <w:color w:val="auto"/>
          <w:kern w:val="0"/>
          <w:sz w:val="24"/>
          <w:lang w:val="en-US" w:eastAsia="zh-CN"/>
        </w:rPr>
      </w:pPr>
      <w:r>
        <w:rPr>
          <w:rFonts w:hint="eastAsia" w:cs="仿宋" w:asciiTheme="minorEastAsia" w:hAnsiTheme="minorEastAsia"/>
          <w:b/>
          <w:color w:val="auto"/>
          <w:kern w:val="0"/>
          <w:sz w:val="24"/>
          <w:lang w:val="en-US" w:eastAsia="zh-CN"/>
        </w:rPr>
        <w:t>维保服务报价明细表</w:t>
      </w:r>
    </w:p>
    <w:tbl>
      <w:tblPr>
        <w:tblStyle w:val="17"/>
        <w:tblW w:w="4841"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86"/>
        <w:gridCol w:w="5989"/>
        <w:gridCol w:w="720"/>
        <w:gridCol w:w="1221"/>
        <w:gridCol w:w="1625"/>
        <w:gridCol w:w="1692"/>
        <w:gridCol w:w="1692"/>
      </w:tblGrid>
      <w:tr w14:paraId="0FA7B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1" w:hRule="atLeast"/>
          <w:jc w:val="center"/>
        </w:trPr>
        <w:tc>
          <w:tcPr>
            <w:tcW w:w="786" w:type="dxa"/>
            <w:tcBorders>
              <w:tl2br w:val="nil"/>
              <w:tr2bl w:val="nil"/>
            </w:tcBorders>
            <w:shd w:val="clear" w:color="auto" w:fill="auto"/>
            <w:vAlign w:val="center"/>
          </w:tcPr>
          <w:p w14:paraId="72F23F28">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序号</w:t>
            </w:r>
          </w:p>
        </w:tc>
        <w:tc>
          <w:tcPr>
            <w:tcW w:w="5989" w:type="dxa"/>
            <w:tcBorders>
              <w:tl2br w:val="nil"/>
              <w:tr2bl w:val="nil"/>
            </w:tcBorders>
            <w:shd w:val="clear" w:color="auto" w:fill="auto"/>
            <w:vAlign w:val="center"/>
          </w:tcPr>
          <w:p w14:paraId="1D557CBF">
            <w:pPr>
              <w:pStyle w:val="16"/>
              <w:jc w:val="center"/>
              <w:rPr>
                <w:rFonts w:hint="default" w:ascii="宋体" w:hAnsi="宋体" w:eastAsia="宋体" w:cs="宋体"/>
                <w:i w:val="0"/>
                <w:iCs w:val="0"/>
                <w:color w:val="000000"/>
                <w:sz w:val="18"/>
                <w:szCs w:val="18"/>
                <w:u w:val="none"/>
                <w:lang w:val="en-US" w:eastAsia="zh-CN"/>
              </w:rPr>
            </w:pPr>
            <w:r>
              <w:rPr>
                <w:rFonts w:hint="eastAsia" w:ascii="仿宋" w:hAnsi="仿宋" w:eastAsia="仿宋" w:cs="仿宋"/>
                <w:sz w:val="21"/>
                <w:szCs w:val="21"/>
                <w:vertAlign w:val="baseline"/>
                <w:lang w:val="en-US" w:eastAsia="zh-CN"/>
              </w:rPr>
              <w:t>维保项目</w:t>
            </w:r>
          </w:p>
        </w:tc>
        <w:tc>
          <w:tcPr>
            <w:tcW w:w="720" w:type="dxa"/>
            <w:tcBorders>
              <w:tl2br w:val="nil"/>
              <w:tr2bl w:val="nil"/>
            </w:tcBorders>
            <w:shd w:val="clear" w:color="auto" w:fill="auto"/>
            <w:vAlign w:val="center"/>
          </w:tcPr>
          <w:p w14:paraId="6D1D91EC">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单位</w:t>
            </w:r>
          </w:p>
        </w:tc>
        <w:tc>
          <w:tcPr>
            <w:tcW w:w="1221" w:type="dxa"/>
            <w:tcBorders>
              <w:tl2br w:val="nil"/>
              <w:tr2bl w:val="nil"/>
            </w:tcBorders>
            <w:shd w:val="clear" w:color="auto" w:fill="auto"/>
            <w:vAlign w:val="center"/>
          </w:tcPr>
          <w:p w14:paraId="5F019203">
            <w:pPr>
              <w:pStyle w:val="16"/>
              <w:jc w:val="center"/>
              <w:rPr>
                <w:rFonts w:hint="eastAsia" w:ascii="宋体" w:hAnsi="宋体" w:eastAsia="宋体" w:cs="宋体"/>
                <w:i w:val="0"/>
                <w:iCs w:val="0"/>
                <w:color w:val="000000"/>
                <w:sz w:val="18"/>
                <w:szCs w:val="18"/>
                <w:u w:val="none"/>
                <w:lang w:val="en-US" w:eastAsia="zh-CN"/>
              </w:rPr>
            </w:pPr>
            <w:r>
              <w:rPr>
                <w:rFonts w:hint="eastAsia" w:ascii="仿宋" w:hAnsi="仿宋" w:eastAsia="仿宋" w:cs="仿宋"/>
                <w:sz w:val="21"/>
                <w:szCs w:val="21"/>
                <w:vertAlign w:val="baseline"/>
                <w:lang w:val="en-US" w:eastAsia="zh-CN"/>
              </w:rPr>
              <w:t>数量</w:t>
            </w:r>
          </w:p>
        </w:tc>
        <w:tc>
          <w:tcPr>
            <w:tcW w:w="1625" w:type="dxa"/>
            <w:tcBorders>
              <w:tl2br w:val="nil"/>
              <w:tr2bl w:val="nil"/>
            </w:tcBorders>
            <w:shd w:val="clear" w:color="auto" w:fill="auto"/>
            <w:vAlign w:val="center"/>
          </w:tcPr>
          <w:p w14:paraId="239DC659">
            <w:pPr>
              <w:pStyle w:val="16"/>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c>
          <w:tcPr>
            <w:tcW w:w="1692" w:type="dxa"/>
            <w:tcBorders>
              <w:tl2br w:val="nil"/>
              <w:tr2bl w:val="nil"/>
            </w:tcBorders>
            <w:shd w:val="clear" w:color="auto" w:fill="auto"/>
            <w:vAlign w:val="center"/>
          </w:tcPr>
          <w:p w14:paraId="3D01DC4F">
            <w:pPr>
              <w:pStyle w:val="16"/>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金额（元）</w:t>
            </w:r>
          </w:p>
        </w:tc>
        <w:tc>
          <w:tcPr>
            <w:tcW w:w="1692" w:type="dxa"/>
            <w:tcBorders>
              <w:tl2br w:val="nil"/>
              <w:tr2bl w:val="nil"/>
            </w:tcBorders>
            <w:shd w:val="clear" w:color="auto" w:fill="auto"/>
            <w:vAlign w:val="center"/>
          </w:tcPr>
          <w:p w14:paraId="67DC32BF">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税率（%）</w:t>
            </w:r>
          </w:p>
        </w:tc>
      </w:tr>
      <w:tr w14:paraId="754C0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6" w:hRule="atLeast"/>
          <w:jc w:val="center"/>
        </w:trPr>
        <w:tc>
          <w:tcPr>
            <w:tcW w:w="786" w:type="dxa"/>
            <w:tcBorders>
              <w:tl2br w:val="nil"/>
              <w:tr2bl w:val="nil"/>
            </w:tcBorders>
            <w:shd w:val="clear" w:color="auto" w:fill="auto"/>
            <w:noWrap/>
            <w:vAlign w:val="center"/>
          </w:tcPr>
          <w:p w14:paraId="302B6A04">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1</w:t>
            </w:r>
          </w:p>
        </w:tc>
        <w:tc>
          <w:tcPr>
            <w:tcW w:w="5989" w:type="dxa"/>
            <w:tcBorders>
              <w:tl2br w:val="nil"/>
              <w:tr2bl w:val="nil"/>
            </w:tcBorders>
            <w:shd w:val="clear" w:color="auto" w:fill="auto"/>
            <w:noWrap/>
            <w:vAlign w:val="center"/>
          </w:tcPr>
          <w:p w14:paraId="72FAF2B5">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深信服上网行为管理维保续费、深信服防火墙维保续费、华为防火墙维保续费</w:t>
            </w:r>
          </w:p>
        </w:tc>
        <w:tc>
          <w:tcPr>
            <w:tcW w:w="720" w:type="dxa"/>
            <w:tcBorders>
              <w:tl2br w:val="nil"/>
              <w:tr2bl w:val="nil"/>
            </w:tcBorders>
            <w:shd w:val="clear" w:color="auto" w:fill="auto"/>
            <w:noWrap/>
            <w:vAlign w:val="center"/>
          </w:tcPr>
          <w:p w14:paraId="0167452E">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年</w:t>
            </w:r>
          </w:p>
        </w:tc>
        <w:tc>
          <w:tcPr>
            <w:tcW w:w="1221" w:type="dxa"/>
            <w:tcBorders>
              <w:tl2br w:val="nil"/>
              <w:tr2bl w:val="nil"/>
            </w:tcBorders>
            <w:shd w:val="clear" w:color="auto" w:fill="auto"/>
            <w:noWrap/>
            <w:vAlign w:val="center"/>
          </w:tcPr>
          <w:p w14:paraId="0D30584B">
            <w:pPr>
              <w:pStyle w:val="16"/>
              <w:tabs>
                <w:tab w:val="left" w:pos="588"/>
              </w:tabs>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1</w:t>
            </w:r>
          </w:p>
        </w:tc>
        <w:tc>
          <w:tcPr>
            <w:tcW w:w="1625" w:type="dxa"/>
            <w:tcBorders>
              <w:tl2br w:val="nil"/>
              <w:tr2bl w:val="nil"/>
            </w:tcBorders>
            <w:shd w:val="clear" w:color="auto" w:fill="auto"/>
            <w:vAlign w:val="center"/>
          </w:tcPr>
          <w:p w14:paraId="326FD25A">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7330B84D">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41F9F547">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vertAlign w:val="baseline"/>
                <w:lang w:val="en-US" w:eastAsia="zh-CN"/>
              </w:rPr>
              <w:t>%</w:t>
            </w:r>
          </w:p>
        </w:tc>
      </w:tr>
      <w:tr w14:paraId="5CAA9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1" w:hRule="atLeast"/>
          <w:jc w:val="center"/>
        </w:trPr>
        <w:tc>
          <w:tcPr>
            <w:tcW w:w="786" w:type="dxa"/>
            <w:tcBorders>
              <w:tl2br w:val="nil"/>
              <w:tr2bl w:val="nil"/>
            </w:tcBorders>
            <w:shd w:val="clear" w:color="auto" w:fill="auto"/>
            <w:noWrap/>
            <w:vAlign w:val="center"/>
          </w:tcPr>
          <w:p w14:paraId="0463E545">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2</w:t>
            </w:r>
          </w:p>
        </w:tc>
        <w:tc>
          <w:tcPr>
            <w:tcW w:w="5989" w:type="dxa"/>
            <w:tcBorders>
              <w:tl2br w:val="nil"/>
              <w:tr2bl w:val="nil"/>
            </w:tcBorders>
            <w:shd w:val="clear" w:color="auto" w:fill="auto"/>
            <w:noWrap/>
            <w:vAlign w:val="center"/>
          </w:tcPr>
          <w:p w14:paraId="2B57F09A">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网络运维服务和应急服务</w:t>
            </w:r>
          </w:p>
        </w:tc>
        <w:tc>
          <w:tcPr>
            <w:tcW w:w="720" w:type="dxa"/>
            <w:tcBorders>
              <w:tl2br w:val="nil"/>
              <w:tr2bl w:val="nil"/>
            </w:tcBorders>
            <w:shd w:val="clear" w:color="auto" w:fill="auto"/>
            <w:noWrap/>
            <w:vAlign w:val="center"/>
          </w:tcPr>
          <w:p w14:paraId="5F490634">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季度</w:t>
            </w:r>
          </w:p>
        </w:tc>
        <w:tc>
          <w:tcPr>
            <w:tcW w:w="1221" w:type="dxa"/>
            <w:tcBorders>
              <w:tl2br w:val="nil"/>
              <w:tr2bl w:val="nil"/>
            </w:tcBorders>
            <w:shd w:val="clear" w:color="auto" w:fill="auto"/>
            <w:noWrap/>
            <w:vAlign w:val="center"/>
          </w:tcPr>
          <w:p w14:paraId="6EA9A063">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4</w:t>
            </w:r>
          </w:p>
        </w:tc>
        <w:tc>
          <w:tcPr>
            <w:tcW w:w="1625" w:type="dxa"/>
            <w:tcBorders>
              <w:tl2br w:val="nil"/>
              <w:tr2bl w:val="nil"/>
            </w:tcBorders>
            <w:shd w:val="clear" w:color="auto" w:fill="auto"/>
            <w:vAlign w:val="center"/>
          </w:tcPr>
          <w:p w14:paraId="5405779A">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774008AE">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5ED1882A">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vertAlign w:val="baseline"/>
                <w:lang w:val="en-US" w:eastAsia="zh-CN"/>
              </w:rPr>
              <w:t>%</w:t>
            </w:r>
          </w:p>
        </w:tc>
      </w:tr>
      <w:tr w14:paraId="4AF7F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1" w:hRule="atLeast"/>
          <w:jc w:val="center"/>
        </w:trPr>
        <w:tc>
          <w:tcPr>
            <w:tcW w:w="786" w:type="dxa"/>
            <w:tcBorders>
              <w:tl2br w:val="nil"/>
              <w:tr2bl w:val="nil"/>
            </w:tcBorders>
            <w:shd w:val="clear" w:color="auto" w:fill="auto"/>
            <w:noWrap/>
            <w:vAlign w:val="center"/>
          </w:tcPr>
          <w:p w14:paraId="49E48760">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5989" w:type="dxa"/>
            <w:tcBorders>
              <w:tl2br w:val="nil"/>
              <w:tr2bl w:val="nil"/>
            </w:tcBorders>
            <w:shd w:val="clear" w:color="auto" w:fill="auto"/>
            <w:noWrap/>
            <w:vAlign w:val="center"/>
          </w:tcPr>
          <w:p w14:paraId="31BB17C3">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办公设备维修配件及维修费（详见办公设备维修配件及维修费报价明细表）</w:t>
            </w:r>
          </w:p>
        </w:tc>
        <w:tc>
          <w:tcPr>
            <w:tcW w:w="720" w:type="dxa"/>
            <w:tcBorders>
              <w:tl2br w:val="nil"/>
              <w:tr2bl w:val="nil"/>
            </w:tcBorders>
            <w:shd w:val="clear" w:color="auto" w:fill="auto"/>
            <w:noWrap/>
            <w:vAlign w:val="center"/>
          </w:tcPr>
          <w:p w14:paraId="43762B52">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221" w:type="dxa"/>
            <w:tcBorders>
              <w:tl2br w:val="nil"/>
              <w:tr2bl w:val="nil"/>
            </w:tcBorders>
            <w:shd w:val="clear" w:color="auto" w:fill="auto"/>
            <w:noWrap/>
            <w:vAlign w:val="center"/>
          </w:tcPr>
          <w:p w14:paraId="05BE375E">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625" w:type="dxa"/>
            <w:tcBorders>
              <w:tl2br w:val="nil"/>
              <w:tr2bl w:val="nil"/>
            </w:tcBorders>
            <w:shd w:val="clear" w:color="auto" w:fill="auto"/>
            <w:vAlign w:val="center"/>
          </w:tcPr>
          <w:p w14:paraId="1C49FCB4">
            <w:pPr>
              <w:pStyle w:val="16"/>
              <w:jc w:val="center"/>
              <w:rPr>
                <w:rFonts w:hint="default" w:ascii="仿宋" w:hAnsi="仿宋" w:eastAsia="仿宋" w:cs="仿宋"/>
                <w:sz w:val="21"/>
                <w:szCs w:val="21"/>
                <w:vertAlign w:val="baseline"/>
                <w:lang w:val="en-US" w:eastAsia="zh-CN"/>
              </w:rPr>
            </w:pPr>
          </w:p>
        </w:tc>
        <w:tc>
          <w:tcPr>
            <w:tcW w:w="1692" w:type="dxa"/>
            <w:tcBorders>
              <w:tl2br w:val="nil"/>
              <w:tr2bl w:val="nil"/>
            </w:tcBorders>
            <w:shd w:val="clear" w:color="auto" w:fill="auto"/>
            <w:vAlign w:val="center"/>
          </w:tcPr>
          <w:p w14:paraId="60EAFBB7">
            <w:pPr>
              <w:pStyle w:val="16"/>
              <w:jc w:val="center"/>
              <w:rPr>
                <w:rFonts w:hint="default" w:ascii="仿宋" w:hAnsi="仿宋" w:eastAsia="仿宋" w:cs="仿宋"/>
                <w:sz w:val="21"/>
                <w:szCs w:val="21"/>
                <w:vertAlign w:val="baseline"/>
                <w:lang w:val="en-US" w:eastAsia="zh-CN"/>
              </w:rPr>
            </w:pPr>
          </w:p>
        </w:tc>
        <w:tc>
          <w:tcPr>
            <w:tcW w:w="1692" w:type="dxa"/>
            <w:tcBorders>
              <w:tl2br w:val="nil"/>
              <w:tr2bl w:val="nil"/>
            </w:tcBorders>
            <w:shd w:val="clear" w:color="auto" w:fill="auto"/>
            <w:vAlign w:val="center"/>
          </w:tcPr>
          <w:p w14:paraId="5423131E">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vertAlign w:val="baseline"/>
                <w:lang w:val="en-US" w:eastAsia="zh-CN"/>
              </w:rPr>
              <w:t>%，税率应满足设备修理修配要求。</w:t>
            </w:r>
          </w:p>
        </w:tc>
      </w:tr>
      <w:tr w14:paraId="5EE0F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1" w:hRule="atLeast"/>
          <w:jc w:val="center"/>
        </w:trPr>
        <w:tc>
          <w:tcPr>
            <w:tcW w:w="7495" w:type="dxa"/>
            <w:gridSpan w:val="3"/>
            <w:tcBorders>
              <w:tl2br w:val="nil"/>
              <w:tr2bl w:val="nil"/>
            </w:tcBorders>
            <w:shd w:val="clear" w:color="auto" w:fill="auto"/>
            <w:noWrap/>
            <w:vAlign w:val="center"/>
          </w:tcPr>
          <w:p w14:paraId="4B285A1C">
            <w:pPr>
              <w:keepNext w:val="0"/>
              <w:keepLines w:val="0"/>
              <w:widowControl/>
              <w:suppressLineNumbers w:val="0"/>
              <w:tabs>
                <w:tab w:val="left" w:pos="2392"/>
              </w:tabs>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响应报价合计（小写）</w:t>
            </w:r>
          </w:p>
        </w:tc>
        <w:tc>
          <w:tcPr>
            <w:tcW w:w="6230" w:type="dxa"/>
            <w:gridSpan w:val="4"/>
            <w:tcBorders>
              <w:tl2br w:val="nil"/>
              <w:tr2bl w:val="nil"/>
            </w:tcBorders>
            <w:shd w:val="clear" w:color="auto" w:fill="auto"/>
            <w:noWrap/>
            <w:vAlign w:val="center"/>
          </w:tcPr>
          <w:p w14:paraId="064E6DDC">
            <w:pPr>
              <w:jc w:val="center"/>
              <w:rPr>
                <w:rFonts w:hint="eastAsia" w:ascii="宋体" w:hAnsi="宋体" w:eastAsia="宋体" w:cs="宋体"/>
                <w:i w:val="0"/>
                <w:iCs w:val="0"/>
                <w:color w:val="000000"/>
                <w:sz w:val="18"/>
                <w:szCs w:val="18"/>
                <w:u w:val="none"/>
              </w:rPr>
            </w:pPr>
          </w:p>
        </w:tc>
      </w:tr>
      <w:tr w14:paraId="002F8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2" w:hRule="atLeast"/>
          <w:jc w:val="center"/>
        </w:trPr>
        <w:tc>
          <w:tcPr>
            <w:tcW w:w="7495" w:type="dxa"/>
            <w:gridSpan w:val="3"/>
            <w:tcBorders>
              <w:tl2br w:val="nil"/>
              <w:tr2bl w:val="nil"/>
            </w:tcBorders>
            <w:shd w:val="clear" w:color="auto" w:fill="auto"/>
            <w:noWrap/>
            <w:vAlign w:val="center"/>
          </w:tcPr>
          <w:p w14:paraId="0A2559EA">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响应报价合计（大写）</w:t>
            </w:r>
          </w:p>
        </w:tc>
        <w:tc>
          <w:tcPr>
            <w:tcW w:w="6230" w:type="dxa"/>
            <w:gridSpan w:val="4"/>
            <w:tcBorders>
              <w:tl2br w:val="nil"/>
              <w:tr2bl w:val="nil"/>
            </w:tcBorders>
            <w:shd w:val="clear" w:color="auto" w:fill="auto"/>
            <w:noWrap/>
            <w:vAlign w:val="center"/>
          </w:tcPr>
          <w:p w14:paraId="36584F6E">
            <w:pPr>
              <w:jc w:val="center"/>
              <w:rPr>
                <w:rFonts w:hint="eastAsia" w:ascii="宋体" w:hAnsi="宋体" w:eastAsia="宋体" w:cs="宋体"/>
                <w:i w:val="0"/>
                <w:iCs w:val="0"/>
                <w:color w:val="000000"/>
                <w:sz w:val="18"/>
                <w:szCs w:val="18"/>
                <w:u w:val="none"/>
              </w:rPr>
            </w:pPr>
          </w:p>
        </w:tc>
      </w:tr>
    </w:tbl>
    <w:p w14:paraId="35226AEE">
      <w:pPr>
        <w:pStyle w:val="16"/>
        <w:jc w:val="center"/>
        <w:rPr>
          <w:rFonts w:hint="default" w:eastAsiaTheme="minorEastAsia"/>
          <w:lang w:val="en-US" w:eastAsia="zh-CN"/>
        </w:rPr>
      </w:pPr>
      <w:r>
        <w:rPr>
          <w:rFonts w:hint="eastAsia" w:cs="仿宋" w:asciiTheme="minorEastAsia" w:hAnsiTheme="minorEastAsia"/>
          <w:b/>
          <w:color w:val="auto"/>
          <w:kern w:val="0"/>
          <w:sz w:val="24"/>
          <w:lang w:val="en-US" w:eastAsia="zh-CN"/>
        </w:rPr>
        <w:t>办公设备维修配件及维修费报价明细表</w:t>
      </w:r>
    </w:p>
    <w:tbl>
      <w:tblPr>
        <w:tblStyle w:val="17"/>
        <w:tblW w:w="13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2026"/>
        <w:gridCol w:w="1413"/>
        <w:gridCol w:w="2925"/>
        <w:gridCol w:w="1119"/>
        <w:gridCol w:w="1015"/>
        <w:gridCol w:w="1320"/>
        <w:gridCol w:w="1320"/>
        <w:gridCol w:w="1320"/>
      </w:tblGrid>
      <w:tr w14:paraId="374B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F927">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序号</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107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产品名称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3522">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品牌</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E77A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型号规格</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4174">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暂估数量</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9DEA5">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单位</w:t>
            </w:r>
          </w:p>
        </w:tc>
        <w:tc>
          <w:tcPr>
            <w:tcW w:w="1320" w:type="dxa"/>
            <w:tcBorders>
              <w:top w:val="single" w:color="000000" w:sz="4" w:space="0"/>
              <w:left w:val="single" w:color="000000" w:sz="4" w:space="0"/>
              <w:bottom w:val="nil"/>
              <w:right w:val="single" w:color="000000" w:sz="4" w:space="0"/>
            </w:tcBorders>
            <w:shd w:val="clear" w:color="auto" w:fill="auto"/>
            <w:vAlign w:val="center"/>
          </w:tcPr>
          <w:p w14:paraId="7BDEB2FE">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320" w:type="dxa"/>
            <w:tcBorders>
              <w:top w:val="single" w:color="000000" w:sz="4" w:space="0"/>
              <w:left w:val="single" w:color="000000" w:sz="4" w:space="0"/>
              <w:bottom w:val="nil"/>
              <w:right w:val="single" w:color="000000" w:sz="4" w:space="0"/>
            </w:tcBorders>
            <w:shd w:val="clear" w:color="auto" w:fill="auto"/>
            <w:vAlign w:val="center"/>
          </w:tcPr>
          <w:p w14:paraId="410F257B">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c>
          <w:tcPr>
            <w:tcW w:w="1320" w:type="dxa"/>
            <w:tcBorders>
              <w:top w:val="single" w:color="000000" w:sz="4" w:space="0"/>
              <w:left w:val="single" w:color="000000" w:sz="4" w:space="0"/>
              <w:bottom w:val="nil"/>
              <w:right w:val="single" w:color="000000" w:sz="4" w:space="0"/>
            </w:tcBorders>
            <w:shd w:val="clear" w:color="auto" w:fill="auto"/>
            <w:vAlign w:val="center"/>
          </w:tcPr>
          <w:p w14:paraId="25205AF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税率（%）</w:t>
            </w:r>
          </w:p>
        </w:tc>
      </w:tr>
      <w:tr w14:paraId="2976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439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E2F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7DBE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7F0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- 608A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4F10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707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65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57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FA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14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D2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572D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53E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041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3E66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80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68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8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82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35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CF7D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5EB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DE5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282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- 14PFX - 4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929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2ECA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07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7E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5E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FF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F74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152C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音频处理器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E42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D87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P440</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13C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AB98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F5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67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91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E2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546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F20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抑制器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477E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FB1E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- 224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F6F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30A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48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1C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E1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11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E15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A77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电源时序器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140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2E74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PMY012315</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09B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564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AC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D4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B9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99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6DF9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363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0DA7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0B2D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- 521UH</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E6C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A9F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E0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2A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E7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2B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0BF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6B84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桌插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C3F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E07C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- 18A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03B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3D36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C7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B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A0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31B4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6C6D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D55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096F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B829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0C1D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35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7B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04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8C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85E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0D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90C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C86F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- 0202</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4062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CEA0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E8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CF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58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8F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064E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34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8CE1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40D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- 20D</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CE0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98F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24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47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28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D2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57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0A2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插座</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9150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4FF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- 6C</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5268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13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82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95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E4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95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B84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00EB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B3B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FA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GL1.8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61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E05D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2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B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CA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DF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6EDC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216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89D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D41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PL1.8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F147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4D1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17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2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C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D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B90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F78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079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DE2B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- 606H</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CF67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03DD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45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4D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7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E8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A5D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6FBC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045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7B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D6C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191C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98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A6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06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3E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CCD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1027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6C44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2DF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- 02B</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2EAF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50B8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F5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A0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76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38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0BD9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75C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D309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5C92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DL1.8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A9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CDA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6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CE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E7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F4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A91F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64E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1A2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71F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- 710H</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4B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B4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F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5A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19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94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002E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7BBA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2279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CDB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- 500PI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1A3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B51E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08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46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C2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4B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7A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8E3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6F1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614D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C4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A610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66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DC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BE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6F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EDD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9952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85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A8E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E649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FA22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D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0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35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04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C89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B03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发射箱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472A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6F9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W111</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73D3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BF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22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EF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A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E1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6D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9AA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8509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D112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W180</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77C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6700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E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53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5F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8C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62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C077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13A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6C27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- 615S</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7B4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91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13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1D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8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6F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F3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774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973D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C71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- 700PI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359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48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1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AC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7E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5D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A08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9E3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2ED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9608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- 16PFX - 4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DF58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4166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1E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8C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A2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E2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033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A2BB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46B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3A8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- 521US</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92B4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3675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F3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6E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12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DD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7B66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F3B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话筒天线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FCB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648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- 522S</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4722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2BC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D4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A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C1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43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CA7C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FA0B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天线分配器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2E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D33B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D6F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B7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7F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D8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3E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18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6820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F93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吸顶扬声器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C3E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6EF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- 208R</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2C6A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9D6F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46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67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3A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12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613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5D67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一拖四无线话筒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3BB3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39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0A8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841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2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2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A9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6C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8E7B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AP</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A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AP4050DN - SI (11ac wave2, 室内型，2X2 双频，内置天线，1xGE 口，不含 AP 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96C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F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8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D5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E8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39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49EE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7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2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C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 - SFP - GE - 单模模块 -(1310nm,10km,LC)</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1A75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9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70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50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6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DB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CBE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9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 控制器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3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D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AC6507S 主机 (10 个千兆以太口，2 万个 SFP+, 含 AC/DC 电源适配器)</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8BF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8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20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6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DD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8A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29C5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D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wifi 控制器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D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C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华为管理 96 个 AP</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B509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9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C2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93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33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A2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8158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37</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A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7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DS-8864N-R16</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BD5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6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2F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AB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F6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D0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B9B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38</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6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8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A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DS-8832N-R8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CB2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C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33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ED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D2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63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E7F32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39</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9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6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惠普HP Pro SFF ZHAN 66 G9</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D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6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71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3A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7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83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AE20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1B76">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47E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D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D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7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51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0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39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98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1B0298">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4B9A">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066B">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2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5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E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7E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88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EB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C8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3E36B">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41D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3512">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5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F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E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EB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0D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5F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89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D6E4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12A8">
            <w:pPr>
              <w:jc w:val="center"/>
              <w:rPr>
                <w:rFonts w:hint="eastAsia" w:ascii="仿宋" w:hAnsi="仿宋" w:eastAsia="仿宋" w:cs="仿宋"/>
                <w:i w:val="0"/>
                <w:iCs w:val="0"/>
                <w:color w:val="000000"/>
                <w:sz w:val="18"/>
                <w:szCs w:val="18"/>
                <w:u w:val="none"/>
              </w:rPr>
            </w:pPr>
          </w:p>
        </w:tc>
        <w:tc>
          <w:tcPr>
            <w:tcW w:w="1413" w:type="dxa"/>
            <w:vMerge w:val="restart"/>
            <w:tcBorders>
              <w:top w:val="nil"/>
              <w:left w:val="single" w:color="000000" w:sz="4" w:space="0"/>
              <w:bottom w:val="single" w:color="000000" w:sz="4" w:space="0"/>
              <w:right w:val="single" w:color="000000" w:sz="4" w:space="0"/>
            </w:tcBorders>
            <w:shd w:val="clear" w:color="auto" w:fill="FFFFFF"/>
            <w:vAlign w:val="center"/>
          </w:tcPr>
          <w:p w14:paraId="53AD0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惠普Pro Tower 288 G9</w:t>
            </w: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E7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8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34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39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E24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93B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2D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9A7E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0FE9">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0D49AF9">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1D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2B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2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DC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C6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F54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87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45CD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7AC1">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7DD622E7">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0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C5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C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E7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88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27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86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BB5E8">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D111">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22FBB026">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5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88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C6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CC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43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6C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2E6BB">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F8E9">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3F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戴尔3046MT </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B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1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E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48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64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70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FD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6C8D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3240">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A18B">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B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0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2A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E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28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9F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380A1">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1496">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A052">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3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0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3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5D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3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9C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95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6E929">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739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849C">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5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1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2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CB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3A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BB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FC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3F5E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0ADD">
            <w:pPr>
              <w:jc w:val="center"/>
              <w:rPr>
                <w:rFonts w:hint="eastAsia" w:ascii="仿宋" w:hAnsi="仿宋" w:eastAsia="仿宋" w:cs="仿宋"/>
                <w:i w:val="0"/>
                <w:iCs w:val="0"/>
                <w:color w:val="000000"/>
                <w:sz w:val="18"/>
                <w:szCs w:val="18"/>
                <w:u w:val="none"/>
              </w:rPr>
            </w:pPr>
          </w:p>
        </w:tc>
        <w:tc>
          <w:tcPr>
            <w:tcW w:w="1413" w:type="dxa"/>
            <w:vMerge w:val="restart"/>
            <w:tcBorders>
              <w:top w:val="nil"/>
              <w:left w:val="single" w:color="000000" w:sz="4" w:space="0"/>
              <w:bottom w:val="single" w:color="000000" w:sz="4" w:space="0"/>
              <w:right w:val="single" w:color="000000" w:sz="4" w:space="0"/>
            </w:tcBorders>
            <w:shd w:val="clear" w:color="auto" w:fill="FFFFFF"/>
            <w:vAlign w:val="center"/>
          </w:tcPr>
          <w:p w14:paraId="39296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戴尔3050</w:t>
            </w: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D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8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0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8B9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313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C76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4E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74D1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6539">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6D328D6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5D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87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7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9E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25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51B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EC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8A45F">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EC85">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1EA372FB">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3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4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1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9B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EA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2C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8E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E5E74">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6A3B">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4B3096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24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8C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2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24E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9B6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5A6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31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4A25AB">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1659">
            <w:pPr>
              <w:jc w:val="center"/>
              <w:rPr>
                <w:rFonts w:hint="eastAsia" w:ascii="仿宋" w:hAnsi="仿宋" w:eastAsia="仿宋" w:cs="仿宋"/>
                <w:i w:val="0"/>
                <w:iCs w:val="0"/>
                <w:color w:val="000000"/>
                <w:sz w:val="18"/>
                <w:szCs w:val="18"/>
                <w:u w:val="none"/>
              </w:rPr>
            </w:pPr>
          </w:p>
        </w:tc>
        <w:tc>
          <w:tcPr>
            <w:tcW w:w="1413" w:type="dxa"/>
            <w:vMerge w:val="restart"/>
            <w:tcBorders>
              <w:top w:val="nil"/>
              <w:left w:val="single" w:color="000000" w:sz="4" w:space="0"/>
              <w:bottom w:val="single" w:color="000000" w:sz="4" w:space="0"/>
              <w:right w:val="single" w:color="000000" w:sz="4" w:space="0"/>
            </w:tcBorders>
            <w:shd w:val="clear" w:color="auto" w:fill="FFFFFF"/>
            <w:vAlign w:val="center"/>
          </w:tcPr>
          <w:p w14:paraId="37EFB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戴尔成就系列</w:t>
            </w: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85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2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F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CCD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3C2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6F0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81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8699C">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F540">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6E16E6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2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EF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42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C9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01D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9AB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DE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19BF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9513">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0F6FE9B0">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C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2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C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6B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6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9A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ED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B263C">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A01B">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C1F52E1">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6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4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3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23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6B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E9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C9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5B3D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40</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2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E4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理光IMC2510 PCL 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C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A2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68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83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8F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40D4C">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9DBC">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4AC0">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A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49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0E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F8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85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1EE9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A32E">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AD59">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5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0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E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D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8C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DC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85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6136F">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24D">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6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佳能Canon IC MF641Cw</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8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6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3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69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9E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72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56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7F71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4415">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0B4A">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A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A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B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72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DA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FD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31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1A260">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AAB6">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38CC">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D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A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1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9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92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6A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DB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FBD61">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D8C8">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59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惠普128FN</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0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9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0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8E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CD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1D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3E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3EAD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15CA">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E052">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4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D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C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5F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D9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6E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89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272F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A438">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AC65">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7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3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0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1E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A3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35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9E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309F5">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BDB3">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F9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惠普1106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C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C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6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6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08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BE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F5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CCF36">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6E4F">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F0E5">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D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A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12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0E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AC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3A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B1BA3">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C7C2">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AD7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0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8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C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05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6C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12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43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AAD26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0546">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A0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惠普M136w</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5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0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5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C5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A4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2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6A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1834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730">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A381">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7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6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3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50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BE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4D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FD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518D3">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5F03">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ECE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0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7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00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70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C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00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D90E5">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9E8B">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32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惠普132HP</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C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3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F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54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04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1C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4C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296B4">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E3B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A1D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3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B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C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51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2E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CE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6A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B5D3F">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FEAD">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613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B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0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8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F2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7E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9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5F367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41</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2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投影仪</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09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夏普XG-H420XA</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F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A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F9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1D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B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B5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2538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093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58ED">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2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A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6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BF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0C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F9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98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539A7">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2E7B">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44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NEC NP-CD1200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1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7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6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84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43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6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43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7DE9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EEA9">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F6C0">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6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3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E5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5A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2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C1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B2272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42</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B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扫描仪</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47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清华紫光F25D</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F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搓纸轮</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2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B2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56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29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E2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2E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D3344">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72E">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850F">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4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进纸组件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6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5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42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1F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D0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D4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2B24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43</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B0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维修工时费</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4D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C9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以实际维修时间为准，乙方人员的往返途中时间不计总时间，备件由甲方另行提供（若乙方需增派维修人员，甲方不再额外支付费用）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16C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FC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小时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A8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45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D9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346C2F9B">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1A509"/>
    <w:multiLevelType w:val="singleLevel"/>
    <w:tmpl w:val="95E1A509"/>
    <w:lvl w:ilvl="0" w:tentative="0">
      <w:start w:val="1"/>
      <w:numFmt w:val="decimal"/>
      <w:lvlText w:val="%1."/>
      <w:lvlJc w:val="left"/>
      <w:pPr>
        <w:tabs>
          <w:tab w:val="left" w:pos="312"/>
        </w:tabs>
      </w:pPr>
    </w:lvl>
  </w:abstractNum>
  <w:abstractNum w:abstractNumId="1">
    <w:nsid w:val="A3785720"/>
    <w:multiLevelType w:val="singleLevel"/>
    <w:tmpl w:val="A3785720"/>
    <w:lvl w:ilvl="0" w:tentative="0">
      <w:start w:val="2"/>
      <w:numFmt w:val="decimal"/>
      <w:suff w:val="nothing"/>
      <w:lvlText w:val="（%1）"/>
      <w:lvlJc w:val="left"/>
    </w:lvl>
  </w:abstractNum>
  <w:abstractNum w:abstractNumId="2">
    <w:nsid w:val="F54AACC6"/>
    <w:multiLevelType w:val="singleLevel"/>
    <w:tmpl w:val="F54AACC6"/>
    <w:lvl w:ilvl="0" w:tentative="0">
      <w:start w:val="6"/>
      <w:numFmt w:val="decimal"/>
      <w:lvlText w:val="%1."/>
      <w:lvlJc w:val="left"/>
      <w:pPr>
        <w:tabs>
          <w:tab w:val="left" w:pos="312"/>
        </w:tabs>
      </w:pPr>
    </w:lvl>
  </w:abstractNum>
  <w:abstractNum w:abstractNumId="3">
    <w:nsid w:val="F9E2B237"/>
    <w:multiLevelType w:val="singleLevel"/>
    <w:tmpl w:val="F9E2B237"/>
    <w:lvl w:ilvl="0" w:tentative="0">
      <w:start w:val="5"/>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974919"/>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0F18B8"/>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03E08"/>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B53263"/>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9B501A9"/>
    <w:rsid w:val="69C43C5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C763EF"/>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A2261E4"/>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2052</Words>
  <Characters>2344</Characters>
  <Lines>224</Lines>
  <Paragraphs>63</Paragraphs>
  <TotalTime>31</TotalTime>
  <ScaleCrop>false</ScaleCrop>
  <LinksUpToDate>false</LinksUpToDate>
  <CharactersWithSpaces>2436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2025-08-15T01:06:36Z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