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0"/>
        <w:jc w:val="center"/>
        <w:rPr>
          <w:rFonts w:hint="eastAsia" w:cs="宋体" w:asciiTheme="minorEastAsia" w:hAnsiTheme="minorEastAsia"/>
          <w:color w:val="auto"/>
          <w:sz w:val="48"/>
          <w:szCs w:val="48"/>
          <w:u w:val="single"/>
        </w:rPr>
      </w:pPr>
    </w:p>
    <w:p w14:paraId="779CA489">
      <w:pPr>
        <w:pStyle w:val="10"/>
        <w:jc w:val="center"/>
        <w:rPr>
          <w:rFonts w:hint="eastAsia" w:cs="宋体" w:asciiTheme="minorEastAsia" w:hAnsiTheme="minorEastAsia"/>
          <w:color w:val="auto"/>
          <w:sz w:val="48"/>
          <w:szCs w:val="48"/>
          <w:u w:val="single"/>
        </w:rPr>
      </w:pPr>
    </w:p>
    <w:p w14:paraId="5EB9923E">
      <w:pPr>
        <w:pStyle w:val="10"/>
        <w:jc w:val="center"/>
        <w:rPr>
          <w:rFonts w:hint="eastAsia" w:cs="宋体" w:asciiTheme="minorEastAsia" w:hAnsiTheme="minorEastAsia"/>
          <w:color w:val="auto"/>
          <w:sz w:val="48"/>
          <w:szCs w:val="48"/>
          <w:u w:val="single"/>
        </w:rPr>
      </w:pPr>
    </w:p>
    <w:p w14:paraId="0776E5DA">
      <w:pPr>
        <w:pStyle w:val="10"/>
        <w:jc w:val="center"/>
        <w:rPr>
          <w:rFonts w:hint="eastAsia" w:cs="宋体" w:asciiTheme="minorEastAsia" w:hAnsiTheme="minorEastAsia"/>
          <w:color w:val="auto"/>
          <w:sz w:val="48"/>
          <w:szCs w:val="48"/>
          <w:u w:val="single"/>
        </w:rPr>
      </w:pPr>
    </w:p>
    <w:p w14:paraId="36BB2EEC">
      <w:pPr>
        <w:pStyle w:val="10"/>
        <w:jc w:val="center"/>
        <w:rPr>
          <w:rFonts w:hint="eastAsia" w:cs="宋体" w:asciiTheme="minorEastAsia" w:hAnsiTheme="minorEastAsia"/>
          <w:color w:val="auto"/>
          <w:sz w:val="48"/>
          <w:szCs w:val="48"/>
          <w:u w:val="single"/>
        </w:rPr>
      </w:pPr>
    </w:p>
    <w:p w14:paraId="7D38BC5C">
      <w:pPr>
        <w:pStyle w:val="10"/>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2025年-2026年三固运行中心1.5MW汽轮机维保服务采购项目（重新询价）</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202507071</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0"/>
        <w:rPr>
          <w:color w:val="auto"/>
        </w:rPr>
      </w:pPr>
    </w:p>
    <w:p w14:paraId="743DEDE1">
      <w:pPr>
        <w:rPr>
          <w:color w:val="auto"/>
        </w:rPr>
      </w:pPr>
    </w:p>
    <w:p w14:paraId="735F61A0">
      <w:pPr>
        <w:pStyle w:val="10"/>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0"/>
        <w:rPr>
          <w:rFonts w:cs="仿宋" w:asciiTheme="minorEastAsia" w:hAnsiTheme="minorEastAsia"/>
          <w:color w:val="auto"/>
          <w:sz w:val="24"/>
          <w:szCs w:val="24"/>
        </w:rPr>
      </w:pPr>
    </w:p>
    <w:p w14:paraId="079F01E4">
      <w:pPr>
        <w:pStyle w:val="10"/>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8</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11</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2025年-2026年三固运行中心1.5MW汽轮机维保服务采购项目（重新询价）</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202507071</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2025年-2026年三固运行中心1.5MW汽轮机维保服务采购项目（重新询价）</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25万元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6A02DA7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临江公司三固运行中心因日常运营需要，需委托第三方单位对汽轮机进行维保服务，具体要求以询价通知书第三部分采购需求为准。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80"/>
      <w:bookmarkStart w:id="8" w:name="_Toc28359003"/>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35393623"/>
      <w:bookmarkStart w:id="12" w:name="_Toc28359004"/>
      <w:bookmarkStart w:id="13" w:name="_Toc28359081"/>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年1月1日起至少</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1例</w:t>
      </w:r>
      <w:r>
        <w:rPr>
          <w:rFonts w:hint="eastAsia" w:cs="仿宋" w:asciiTheme="minorEastAsia" w:hAnsiTheme="minorEastAsia"/>
          <w:color w:val="auto"/>
          <w:sz w:val="24"/>
          <w:highlight w:val="none"/>
          <w:u w:val="single"/>
          <w:lang w:val="en-US" w:eastAsia="zh-CN"/>
        </w:rPr>
        <w:t>汽轮机维保或维修服务业绩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highlight w:val="none"/>
          <w:u w:val="none"/>
          <w:lang w:val="en-US" w:eastAsia="zh-CN"/>
        </w:rPr>
      </w:pPr>
      <w:r>
        <w:rPr>
          <w:rFonts w:hint="eastAsia" w:cs="仿宋" w:asciiTheme="minorEastAsia" w:hAnsiTheme="minorEastAsia"/>
          <w:b/>
          <w:bCs/>
          <w:sz w:val="24"/>
          <w:highlight w:val="none"/>
        </w:rPr>
        <w:t>四、询价保证金</w:t>
      </w:r>
      <w:r>
        <w:rPr>
          <w:rFonts w:hint="eastAsia" w:cs="仿宋" w:asciiTheme="minorEastAsia" w:hAnsiTheme="minorEastAsia"/>
          <w:b/>
          <w:bCs/>
          <w:sz w:val="24"/>
          <w:highlight w:val="none"/>
          <w:lang w:eastAsia="zh-CN"/>
        </w:rPr>
        <w:t>：</w:t>
      </w:r>
      <w:r>
        <w:rPr>
          <w:rFonts w:hint="eastAsia" w:eastAsia="宋体" w:cs="宋体"/>
          <w:b w:val="0"/>
          <w:bCs/>
          <w:sz w:val="24"/>
          <w:szCs w:val="24"/>
          <w:highlight w:val="none"/>
          <w:u w:val="none"/>
          <w:lang w:val="en-US" w:eastAsia="zh-CN"/>
        </w:rPr>
        <w:t>本项目</w:t>
      </w:r>
      <w:r>
        <w:rPr>
          <w:rFonts w:hint="eastAsia" w:eastAsia="宋体" w:cs="宋体"/>
          <w:b w:val="0"/>
          <w:bCs/>
          <w:sz w:val="24"/>
          <w:szCs w:val="24"/>
          <w:highlight w:val="none"/>
          <w:u w:val="single"/>
          <w:lang w:val="en-US" w:eastAsia="zh-CN"/>
        </w:rPr>
        <w:t xml:space="preserve"> </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eastAsia" w:eastAsia="宋体" w:cs="宋体"/>
          <w:b w:val="0"/>
          <w:bCs/>
          <w:sz w:val="24"/>
          <w:szCs w:val="24"/>
          <w:highlight w:val="none"/>
          <w:u w:val="single"/>
          <w:lang w:val="en-US" w:eastAsia="zh-CN"/>
        </w:rPr>
        <w:t>需要</w:t>
      </w:r>
      <w:r>
        <w:rPr>
          <w:rFonts w:hint="eastAsia" w:cs="宋体"/>
          <w:b w:val="0"/>
          <w:bCs/>
          <w:sz w:val="24"/>
          <w:szCs w:val="24"/>
          <w:highlight w:val="none"/>
          <w:u w:val="single"/>
          <w:lang w:val="en-US" w:eastAsia="zh-CN"/>
        </w:rPr>
        <w:t>/</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default" w:cs="宋体"/>
          <w:b w:val="0"/>
          <w:bCs/>
          <w:sz w:val="24"/>
          <w:szCs w:val="24"/>
          <w:highlight w:val="none"/>
          <w:u w:val="single"/>
          <w:lang w:val="en-US" w:eastAsia="zh-CN"/>
        </w:rPr>
        <w:t>不需要</w:t>
      </w:r>
      <w:r>
        <w:rPr>
          <w:rFonts w:hint="eastAsia" w:cs="宋体"/>
          <w:b w:val="0"/>
          <w:bCs/>
          <w:sz w:val="24"/>
          <w:szCs w:val="24"/>
          <w:highlight w:val="none"/>
          <w:u w:val="single"/>
          <w:lang w:val="en-US" w:eastAsia="zh-CN"/>
        </w:rPr>
        <w:t xml:space="preserve"> </w:t>
      </w:r>
      <w:r>
        <w:rPr>
          <w:rFonts w:hint="eastAsia" w:cs="宋体"/>
          <w:b w:val="0"/>
          <w:bCs/>
          <w:sz w:val="24"/>
          <w:szCs w:val="24"/>
          <w:highlight w:val="none"/>
          <w:u w:val="none"/>
          <w:lang w:val="en-US" w:eastAsia="zh-CN"/>
        </w:rPr>
        <w:t>交纳</w:t>
      </w:r>
      <w:r>
        <w:rPr>
          <w:rFonts w:hint="eastAsia" w:cs="宋体"/>
          <w:b w:val="0"/>
          <w:bCs/>
          <w:sz w:val="24"/>
          <w:szCs w:val="24"/>
          <w:highlight w:val="none"/>
          <w:lang w:val="en-US" w:eastAsia="zh-CN"/>
        </w:rPr>
        <w:t>询价</w:t>
      </w:r>
      <w:r>
        <w:rPr>
          <w:rFonts w:hint="default" w:cs="宋体"/>
          <w:b w:val="0"/>
          <w:bCs/>
          <w:sz w:val="24"/>
          <w:szCs w:val="24"/>
          <w:highlight w:val="none"/>
          <w:lang w:val="en-US" w:eastAsia="zh-CN"/>
        </w:rPr>
        <w:t>保证</w:t>
      </w:r>
      <w:r>
        <w:rPr>
          <w:rFonts w:hint="eastAsia" w:cs="宋体"/>
          <w:b w:val="0"/>
          <w:bCs/>
          <w:sz w:val="24"/>
          <w:szCs w:val="24"/>
          <w:highlight w:val="none"/>
          <w:lang w:val="en-US" w:eastAsia="zh-CN"/>
        </w:rPr>
        <w:t>金。交纳投标保证金</w:t>
      </w:r>
      <w:r>
        <w:rPr>
          <w:rFonts w:hint="eastAsia" w:cs="宋体"/>
          <w:sz w:val="24"/>
          <w:szCs w:val="24"/>
          <w:highlight w:val="none"/>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5000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color w:val="auto"/>
          <w:sz w:val="24"/>
          <w:highlight w:val="none"/>
          <w:u w:val="single"/>
          <w:lang w:val="en-US" w:eastAsia="zh-CN"/>
        </w:rPr>
        <w:t>2025年-2026年三固运行中心1.5MW汽轮机维保服务采购项目（重新询价）询价保证金</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8月11</w:t>
      </w:r>
      <w:bookmarkStart w:id="467" w:name="_GoBack"/>
      <w:bookmarkEnd w:id="467"/>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0EA2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8"/>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540B287E">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767F2D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kern w:val="2"/>
          <w:sz w:val="24"/>
          <w:szCs w:val="24"/>
          <w:lang w:val="en-US" w:eastAsia="zh-CN" w:bidi="ar-SA"/>
        </w:rPr>
        <w:t>一、项目</w:t>
      </w:r>
      <w:r>
        <w:rPr>
          <w:rFonts w:hint="eastAsia" w:ascii="宋体" w:hAnsi="宋体" w:eastAsia="宋体" w:cs="宋体"/>
          <w:b/>
          <w:bCs w:val="0"/>
          <w:color w:val="auto"/>
          <w:sz w:val="24"/>
          <w:szCs w:val="24"/>
          <w:lang w:val="en-US" w:eastAsia="zh-CN"/>
        </w:rPr>
        <w:t>概况</w:t>
      </w:r>
    </w:p>
    <w:p w14:paraId="2EEEE2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1.</w:t>
      </w:r>
      <w:r>
        <w:rPr>
          <w:rFonts w:hint="eastAsia" w:ascii="宋体" w:hAnsi="Times New Roman" w:cs="Times New Roman" w:eastAsiaTheme="minorEastAsia"/>
          <w:snapToGrid/>
          <w:color w:val="auto"/>
          <w:kern w:val="2"/>
          <w:sz w:val="24"/>
          <w:szCs w:val="20"/>
          <w:lang w:val="en-US" w:eastAsia="zh-CN" w:bidi="ar-SA"/>
        </w:rPr>
        <w:t>主要对</w:t>
      </w:r>
      <w:r>
        <w:rPr>
          <w:rFonts w:hint="eastAsia" w:ascii="宋体" w:hAnsi="Times New Roman" w:cs="Times New Roman"/>
          <w:snapToGrid/>
          <w:color w:val="auto"/>
          <w:kern w:val="2"/>
          <w:sz w:val="24"/>
          <w:szCs w:val="20"/>
          <w:lang w:val="en-US" w:eastAsia="zh-CN" w:bidi="ar-SA"/>
        </w:rPr>
        <w:t>三固运行中心1.5MW汽轮机</w:t>
      </w:r>
      <w:r>
        <w:rPr>
          <w:rFonts w:hint="eastAsia" w:ascii="宋体" w:hAnsi="Times New Roman" w:cs="Times New Roman" w:eastAsiaTheme="minorEastAsia"/>
          <w:snapToGrid/>
          <w:color w:val="auto"/>
          <w:kern w:val="2"/>
          <w:sz w:val="24"/>
          <w:szCs w:val="20"/>
          <w:lang w:val="en-US" w:eastAsia="zh-CN" w:bidi="ar-SA"/>
        </w:rPr>
        <w:t>进行定期维护保养</w:t>
      </w:r>
      <w:r>
        <w:rPr>
          <w:rFonts w:hint="eastAsia" w:ascii="宋体" w:hAnsi="Times New Roman" w:cs="Times New Roman"/>
          <w:snapToGrid/>
          <w:color w:val="auto"/>
          <w:kern w:val="2"/>
          <w:sz w:val="24"/>
          <w:szCs w:val="20"/>
          <w:lang w:val="en-US" w:eastAsia="zh-CN" w:bidi="ar-SA"/>
        </w:rPr>
        <w:t>，具体详见维保内容要求。</w:t>
      </w:r>
    </w:p>
    <w:p w14:paraId="7B8971F5">
      <w:pPr>
        <w:pStyle w:val="6"/>
        <w:numPr>
          <w:ilvl w:val="0"/>
          <w:numId w:val="0"/>
        </w:numPr>
        <w:ind w:firstLine="480" w:firstLineChars="200"/>
        <w:rPr>
          <w:rFonts w:hint="eastAsia"/>
          <w:color w:val="auto"/>
          <w:lang w:val="en-US" w:eastAsia="zh-CN"/>
        </w:rPr>
      </w:pPr>
      <w:r>
        <w:rPr>
          <w:rFonts w:hint="eastAsia"/>
          <w:color w:val="auto"/>
          <w:lang w:val="en-US" w:eastAsia="zh-CN"/>
        </w:rPr>
        <w:t>2.维保地点：浙江省杭州市钱塘区临江街道红十五路10388-123号。</w:t>
      </w:r>
    </w:p>
    <w:p w14:paraId="544F3706">
      <w:pPr>
        <w:pStyle w:val="6"/>
        <w:numPr>
          <w:ilvl w:val="0"/>
          <w:numId w:val="0"/>
        </w:numPr>
        <w:ind w:firstLine="482" w:firstLineChars="200"/>
        <w:rPr>
          <w:rFonts w:hint="eastAsia"/>
          <w:b/>
          <w:bCs/>
          <w:color w:val="auto"/>
          <w:lang w:val="en-US" w:eastAsia="zh-CN"/>
        </w:rPr>
      </w:pPr>
      <w:r>
        <w:rPr>
          <w:rFonts w:hint="eastAsia"/>
          <w:b/>
          <w:bCs/>
          <w:color w:val="auto"/>
          <w:lang w:val="en-US" w:eastAsia="zh-CN"/>
        </w:rPr>
        <w:t>3.汽轮机技术参数：</w:t>
      </w:r>
    </w:p>
    <w:p w14:paraId="12A65BE0">
      <w:pPr>
        <w:pStyle w:val="6"/>
        <w:numPr>
          <w:ilvl w:val="0"/>
          <w:numId w:val="0"/>
        </w:numPr>
        <w:ind w:firstLine="482" w:firstLineChars="200"/>
        <w:rPr>
          <w:rFonts w:hint="eastAsia" w:ascii="宋体"/>
          <w:b/>
          <w:bCs/>
          <w:color w:val="auto"/>
          <w:lang w:val="en-US" w:eastAsia="zh-CN"/>
        </w:rPr>
      </w:pPr>
      <w:r>
        <w:rPr>
          <w:rFonts w:hint="eastAsia" w:ascii="宋体"/>
          <w:b/>
          <w:bCs/>
          <w:color w:val="auto"/>
          <w:lang w:val="en-US" w:eastAsia="zh-CN"/>
        </w:rPr>
        <w:t>3.1主要设备参数</w:t>
      </w: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755"/>
        <w:gridCol w:w="1238"/>
        <w:gridCol w:w="1538"/>
        <w:gridCol w:w="682"/>
        <w:gridCol w:w="3314"/>
      </w:tblGrid>
      <w:tr w14:paraId="3DBC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Align w:val="center"/>
          </w:tcPr>
          <w:p w14:paraId="590ADC0F">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序号</w:t>
            </w:r>
          </w:p>
        </w:tc>
        <w:tc>
          <w:tcPr>
            <w:tcW w:w="1755" w:type="dxa"/>
            <w:vAlign w:val="center"/>
          </w:tcPr>
          <w:p w14:paraId="114C7820">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设备名称</w:t>
            </w:r>
          </w:p>
        </w:tc>
        <w:tc>
          <w:tcPr>
            <w:tcW w:w="1238" w:type="dxa"/>
            <w:vAlign w:val="center"/>
          </w:tcPr>
          <w:p w14:paraId="7FE4D448">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制造厂</w:t>
            </w:r>
          </w:p>
        </w:tc>
        <w:tc>
          <w:tcPr>
            <w:tcW w:w="1538" w:type="dxa"/>
            <w:vAlign w:val="center"/>
          </w:tcPr>
          <w:p w14:paraId="4BD5846D">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规格型号</w:t>
            </w:r>
          </w:p>
        </w:tc>
        <w:tc>
          <w:tcPr>
            <w:tcW w:w="682" w:type="dxa"/>
            <w:vAlign w:val="center"/>
          </w:tcPr>
          <w:p w14:paraId="62B1E56F">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数量</w:t>
            </w:r>
          </w:p>
        </w:tc>
        <w:tc>
          <w:tcPr>
            <w:tcW w:w="3314" w:type="dxa"/>
            <w:vAlign w:val="center"/>
          </w:tcPr>
          <w:p w14:paraId="73503459">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备注</w:t>
            </w:r>
          </w:p>
        </w:tc>
      </w:tr>
      <w:tr w14:paraId="3EA4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44" w:type="dxa"/>
            <w:vAlign w:val="center"/>
          </w:tcPr>
          <w:p w14:paraId="5F35C143">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755" w:type="dxa"/>
            <w:vAlign w:val="center"/>
          </w:tcPr>
          <w:p w14:paraId="5A45C12B">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汽轮机本体</w:t>
            </w:r>
          </w:p>
        </w:tc>
        <w:tc>
          <w:tcPr>
            <w:tcW w:w="1238" w:type="dxa"/>
            <w:vAlign w:val="center"/>
          </w:tcPr>
          <w:p w14:paraId="06FB76D6">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青岛捷能</w:t>
            </w:r>
          </w:p>
        </w:tc>
        <w:tc>
          <w:tcPr>
            <w:tcW w:w="1538" w:type="dxa"/>
            <w:vAlign w:val="center"/>
          </w:tcPr>
          <w:p w14:paraId="6131DB9C">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N1.5-1.35</w:t>
            </w:r>
          </w:p>
          <w:p w14:paraId="44ED605C">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（a 饱和）</w:t>
            </w:r>
          </w:p>
        </w:tc>
        <w:tc>
          <w:tcPr>
            <w:tcW w:w="682" w:type="dxa"/>
            <w:vAlign w:val="center"/>
          </w:tcPr>
          <w:p w14:paraId="4B49D13A">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1台</w:t>
            </w:r>
          </w:p>
        </w:tc>
        <w:tc>
          <w:tcPr>
            <w:tcW w:w="3314" w:type="dxa"/>
            <w:vAlign w:val="center"/>
          </w:tcPr>
          <w:p w14:paraId="7DF658BA">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整装式（无需扣缸）、电动盘车、撬装1</w:t>
            </w:r>
          </w:p>
        </w:tc>
      </w:tr>
      <w:tr w14:paraId="3E76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44" w:type="dxa"/>
            <w:vAlign w:val="center"/>
          </w:tcPr>
          <w:p w14:paraId="3CE66826">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755" w:type="dxa"/>
            <w:vAlign w:val="center"/>
          </w:tcPr>
          <w:p w14:paraId="4EE3AC96">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汽轮机调节系（DEH）</w:t>
            </w:r>
          </w:p>
        </w:tc>
        <w:tc>
          <w:tcPr>
            <w:tcW w:w="1238" w:type="dxa"/>
            <w:vAlign w:val="center"/>
          </w:tcPr>
          <w:p w14:paraId="7ACD4359">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和利时</w:t>
            </w:r>
          </w:p>
        </w:tc>
        <w:tc>
          <w:tcPr>
            <w:tcW w:w="1538" w:type="dxa"/>
            <w:vAlign w:val="center"/>
          </w:tcPr>
          <w:p w14:paraId="44830A33">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T80电调自容式系统</w:t>
            </w:r>
          </w:p>
        </w:tc>
        <w:tc>
          <w:tcPr>
            <w:tcW w:w="682" w:type="dxa"/>
            <w:vAlign w:val="center"/>
          </w:tcPr>
          <w:p w14:paraId="459AF161">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14:paraId="77250640">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数字式电液调节器及执行机构，箱柜等</w:t>
            </w:r>
          </w:p>
        </w:tc>
      </w:tr>
      <w:tr w14:paraId="299E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544" w:type="dxa"/>
            <w:vAlign w:val="center"/>
          </w:tcPr>
          <w:p w14:paraId="5CB93028">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1755" w:type="dxa"/>
            <w:vAlign w:val="center"/>
          </w:tcPr>
          <w:p w14:paraId="5D054927">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汽机保安系统（ETS）</w:t>
            </w:r>
          </w:p>
        </w:tc>
        <w:tc>
          <w:tcPr>
            <w:tcW w:w="1238" w:type="dxa"/>
            <w:vAlign w:val="center"/>
          </w:tcPr>
          <w:p w14:paraId="7DEBE4F7">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ATOS</w:t>
            </w:r>
          </w:p>
        </w:tc>
        <w:tc>
          <w:tcPr>
            <w:tcW w:w="1538" w:type="dxa"/>
            <w:vAlign w:val="center"/>
          </w:tcPr>
          <w:p w14:paraId="4C0DCC18">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682" w:type="dxa"/>
            <w:vAlign w:val="center"/>
          </w:tcPr>
          <w:p w14:paraId="780A6AE5">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14:paraId="0239890A">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含危急遮断器、停机电磁阀，箱柜等</w:t>
            </w:r>
          </w:p>
        </w:tc>
      </w:tr>
      <w:tr w14:paraId="35EE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44" w:type="dxa"/>
            <w:vAlign w:val="center"/>
          </w:tcPr>
          <w:p w14:paraId="7686CC51">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1755" w:type="dxa"/>
            <w:vAlign w:val="center"/>
          </w:tcPr>
          <w:p w14:paraId="61A3F99F">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安全监测系统（TSI）</w:t>
            </w:r>
          </w:p>
        </w:tc>
        <w:tc>
          <w:tcPr>
            <w:tcW w:w="1238" w:type="dxa"/>
            <w:vAlign w:val="center"/>
          </w:tcPr>
          <w:p w14:paraId="46197BB1">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江阴天亿、</w:t>
            </w:r>
          </w:p>
          <w:p w14:paraId="33F222F7">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无锡厚德</w:t>
            </w:r>
          </w:p>
        </w:tc>
        <w:tc>
          <w:tcPr>
            <w:tcW w:w="1538" w:type="dxa"/>
            <w:vAlign w:val="center"/>
          </w:tcPr>
          <w:p w14:paraId="63273B69">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HZO-850</w:t>
            </w:r>
          </w:p>
        </w:tc>
        <w:tc>
          <w:tcPr>
            <w:tcW w:w="682" w:type="dxa"/>
            <w:vAlign w:val="center"/>
          </w:tcPr>
          <w:p w14:paraId="32A79BD4">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14:paraId="66C63FC7">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含转速、位移、振动，箱柜等</w:t>
            </w:r>
          </w:p>
        </w:tc>
      </w:tr>
      <w:tr w14:paraId="35D0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544" w:type="dxa"/>
            <w:vAlign w:val="center"/>
          </w:tcPr>
          <w:p w14:paraId="34AC0BB0">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1755" w:type="dxa"/>
            <w:vAlign w:val="center"/>
          </w:tcPr>
          <w:p w14:paraId="24ED87D0">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凝结系统</w:t>
            </w:r>
          </w:p>
        </w:tc>
        <w:tc>
          <w:tcPr>
            <w:tcW w:w="1238" w:type="dxa"/>
            <w:vAlign w:val="center"/>
          </w:tcPr>
          <w:p w14:paraId="67FE7CFD">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青岛捷能</w:t>
            </w:r>
          </w:p>
        </w:tc>
        <w:tc>
          <w:tcPr>
            <w:tcW w:w="1538" w:type="dxa"/>
            <w:vAlign w:val="center"/>
          </w:tcPr>
          <w:p w14:paraId="33B0295C">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N-1-280</w:t>
            </w:r>
          </w:p>
        </w:tc>
        <w:tc>
          <w:tcPr>
            <w:tcW w:w="682" w:type="dxa"/>
            <w:vAlign w:val="center"/>
          </w:tcPr>
          <w:p w14:paraId="763C350C">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14:paraId="7FE9B232">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含与汽机连接部及补偿器（单发）、</w:t>
            </w:r>
          </w:p>
          <w:p w14:paraId="5F0ECAA6">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凝结水泵（苏尔寿＋西门子）2台、撬装2</w:t>
            </w:r>
          </w:p>
        </w:tc>
      </w:tr>
      <w:tr w14:paraId="13E4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44" w:type="dxa"/>
            <w:vAlign w:val="center"/>
          </w:tcPr>
          <w:p w14:paraId="63676105">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1755" w:type="dxa"/>
            <w:vAlign w:val="center"/>
          </w:tcPr>
          <w:p w14:paraId="56198280">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真空系统</w:t>
            </w:r>
          </w:p>
        </w:tc>
        <w:tc>
          <w:tcPr>
            <w:tcW w:w="1238" w:type="dxa"/>
            <w:vAlign w:val="center"/>
          </w:tcPr>
          <w:p w14:paraId="429F2B50">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青岛捷能</w:t>
            </w:r>
          </w:p>
        </w:tc>
        <w:tc>
          <w:tcPr>
            <w:tcW w:w="1538" w:type="dxa"/>
            <w:vAlign w:val="center"/>
          </w:tcPr>
          <w:p w14:paraId="2D48A27D">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682" w:type="dxa"/>
            <w:vAlign w:val="center"/>
          </w:tcPr>
          <w:p w14:paraId="6C68B40A">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14:paraId="10081C54">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含启动、运行、疏水、撬装2</w:t>
            </w:r>
          </w:p>
        </w:tc>
      </w:tr>
      <w:tr w14:paraId="6622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544" w:type="dxa"/>
            <w:vAlign w:val="center"/>
          </w:tcPr>
          <w:p w14:paraId="4F2B59A5">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1755" w:type="dxa"/>
            <w:vAlign w:val="center"/>
          </w:tcPr>
          <w:p w14:paraId="6B73E100">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汽机润滑、冷却系统</w:t>
            </w:r>
          </w:p>
        </w:tc>
        <w:tc>
          <w:tcPr>
            <w:tcW w:w="1238" w:type="dxa"/>
            <w:vAlign w:val="center"/>
          </w:tcPr>
          <w:p w14:paraId="3184B85A">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青岛捷能</w:t>
            </w:r>
          </w:p>
        </w:tc>
        <w:tc>
          <w:tcPr>
            <w:tcW w:w="1538" w:type="dxa"/>
            <w:vAlign w:val="center"/>
          </w:tcPr>
          <w:p w14:paraId="0B1344AF">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682" w:type="dxa"/>
            <w:vAlign w:val="center"/>
          </w:tcPr>
          <w:p w14:paraId="410D2534">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14:paraId="584327E8">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含油泵、过滤网、双油冷器、油路、油箱、撬装1、真空滤油机等</w:t>
            </w:r>
          </w:p>
        </w:tc>
      </w:tr>
      <w:tr w14:paraId="4152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14:paraId="4D18AB49">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1755" w:type="dxa"/>
            <w:vAlign w:val="center"/>
          </w:tcPr>
          <w:p w14:paraId="7F3C6B8B">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辅机系统及管路</w:t>
            </w:r>
          </w:p>
        </w:tc>
        <w:tc>
          <w:tcPr>
            <w:tcW w:w="1238" w:type="dxa"/>
            <w:vAlign w:val="center"/>
          </w:tcPr>
          <w:p w14:paraId="419A84F6">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青岛捷能</w:t>
            </w:r>
          </w:p>
        </w:tc>
        <w:tc>
          <w:tcPr>
            <w:tcW w:w="1538" w:type="dxa"/>
            <w:vAlign w:val="center"/>
          </w:tcPr>
          <w:p w14:paraId="2F2224F9">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682" w:type="dxa"/>
            <w:vAlign w:val="center"/>
          </w:tcPr>
          <w:p w14:paraId="7942D8E6">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14:paraId="13F36FB9">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含疏水膨胀箱、均压箱（含调节阀、节流孔板、阀等）、滤水器、安全膜板（撬装）</w:t>
            </w:r>
          </w:p>
        </w:tc>
      </w:tr>
      <w:tr w14:paraId="60D0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44" w:type="dxa"/>
            <w:vAlign w:val="center"/>
          </w:tcPr>
          <w:p w14:paraId="58D336AF">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9</w:t>
            </w:r>
          </w:p>
        </w:tc>
        <w:tc>
          <w:tcPr>
            <w:tcW w:w="1755" w:type="dxa"/>
            <w:vAlign w:val="center"/>
          </w:tcPr>
          <w:p w14:paraId="2836354D">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减速箱</w:t>
            </w:r>
          </w:p>
        </w:tc>
        <w:tc>
          <w:tcPr>
            <w:tcW w:w="1238" w:type="dxa"/>
            <w:vAlign w:val="center"/>
          </w:tcPr>
          <w:p w14:paraId="6771E20E">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郑州机械研究所</w:t>
            </w:r>
          </w:p>
        </w:tc>
        <w:tc>
          <w:tcPr>
            <w:tcW w:w="1538" w:type="dxa"/>
            <w:vAlign w:val="center"/>
          </w:tcPr>
          <w:p w14:paraId="0BE7ACDD">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5600/1500</w:t>
            </w:r>
          </w:p>
        </w:tc>
        <w:tc>
          <w:tcPr>
            <w:tcW w:w="682" w:type="dxa"/>
            <w:vAlign w:val="center"/>
          </w:tcPr>
          <w:p w14:paraId="7D09BE92">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1台</w:t>
            </w:r>
          </w:p>
        </w:tc>
        <w:tc>
          <w:tcPr>
            <w:tcW w:w="3314" w:type="dxa"/>
            <w:vAlign w:val="center"/>
          </w:tcPr>
          <w:p w14:paraId="6BD75DD0">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撬装1</w:t>
            </w:r>
          </w:p>
        </w:tc>
      </w:tr>
      <w:tr w14:paraId="0681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14:paraId="17E8F740">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1755" w:type="dxa"/>
            <w:vAlign w:val="center"/>
          </w:tcPr>
          <w:p w14:paraId="448E275D">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同步交流发电机</w:t>
            </w:r>
          </w:p>
        </w:tc>
        <w:tc>
          <w:tcPr>
            <w:tcW w:w="1238" w:type="dxa"/>
            <w:vAlign w:val="center"/>
          </w:tcPr>
          <w:p w14:paraId="5203D69A">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柳州佳力</w:t>
            </w:r>
          </w:p>
        </w:tc>
        <w:tc>
          <w:tcPr>
            <w:tcW w:w="1538" w:type="dxa"/>
            <w:vAlign w:val="center"/>
          </w:tcPr>
          <w:p w14:paraId="68ABA3E4">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JFG1800-4/10500 1800Kw、10.5KV、1500rpm</w:t>
            </w:r>
          </w:p>
        </w:tc>
        <w:tc>
          <w:tcPr>
            <w:tcW w:w="682" w:type="dxa"/>
            <w:vAlign w:val="center"/>
          </w:tcPr>
          <w:p w14:paraId="0A7F5300">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1台</w:t>
            </w:r>
          </w:p>
        </w:tc>
        <w:tc>
          <w:tcPr>
            <w:tcW w:w="3314" w:type="dxa"/>
            <w:vAlign w:val="center"/>
          </w:tcPr>
          <w:p w14:paraId="072AD19C">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冷却方式：风扇自冷IC01</w:t>
            </w:r>
          </w:p>
        </w:tc>
      </w:tr>
    </w:tbl>
    <w:p w14:paraId="5F471960">
      <w:pPr>
        <w:pStyle w:val="6"/>
        <w:numPr>
          <w:ilvl w:val="0"/>
          <w:numId w:val="0"/>
        </w:numPr>
        <w:ind w:firstLine="482" w:firstLineChars="200"/>
        <w:rPr>
          <w:rFonts w:hint="eastAsia" w:ascii="宋体"/>
          <w:b/>
          <w:bCs/>
          <w:color w:val="auto"/>
          <w:lang w:val="en-US" w:eastAsia="zh-CN"/>
        </w:rPr>
      </w:pPr>
    </w:p>
    <w:p w14:paraId="2FCA3DC5">
      <w:pPr>
        <w:pStyle w:val="6"/>
        <w:numPr>
          <w:ilvl w:val="0"/>
          <w:numId w:val="0"/>
        </w:numPr>
        <w:ind w:firstLine="482" w:firstLineChars="200"/>
        <w:rPr>
          <w:rFonts w:hint="eastAsia" w:ascii="宋体"/>
          <w:b/>
          <w:bCs/>
          <w:color w:val="auto"/>
          <w:lang w:val="en-US" w:eastAsia="zh-CN"/>
        </w:rPr>
      </w:pPr>
    </w:p>
    <w:p w14:paraId="2DA838A8">
      <w:pPr>
        <w:pStyle w:val="6"/>
        <w:numPr>
          <w:ilvl w:val="0"/>
          <w:numId w:val="0"/>
        </w:numPr>
        <w:ind w:firstLine="482" w:firstLineChars="200"/>
        <w:rPr>
          <w:rFonts w:hint="eastAsia" w:ascii="宋体"/>
          <w:b/>
          <w:bCs/>
          <w:color w:val="auto"/>
          <w:lang w:val="en-US" w:eastAsia="zh-CN"/>
        </w:rPr>
      </w:pPr>
      <w:r>
        <w:rPr>
          <w:rFonts w:hint="eastAsia" w:ascii="宋体"/>
          <w:b/>
          <w:bCs/>
          <w:color w:val="auto"/>
          <w:lang w:val="en-US" w:eastAsia="zh-CN"/>
        </w:rPr>
        <w:t>3.2机组参数</w:t>
      </w:r>
    </w:p>
    <w:tbl>
      <w:tblPr>
        <w:tblStyle w:val="15"/>
        <w:tblW w:w="892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7" w:type="dxa"/>
          <w:bottom w:w="0" w:type="dxa"/>
          <w:right w:w="107" w:type="dxa"/>
        </w:tblCellMar>
      </w:tblPr>
      <w:tblGrid>
        <w:gridCol w:w="2351"/>
        <w:gridCol w:w="1800"/>
        <w:gridCol w:w="1260"/>
        <w:gridCol w:w="3512"/>
      </w:tblGrid>
      <w:tr w14:paraId="49643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20A5DA20">
            <w:pPr>
              <w:spacing w:line="360" w:lineRule="auto"/>
              <w:rPr>
                <w:rFonts w:hint="eastAsia" w:ascii="宋体" w:hAnsi="宋体" w:eastAsia="宋体" w:cs="宋体"/>
                <w:color w:val="000000"/>
                <w:szCs w:val="21"/>
              </w:rPr>
            </w:pPr>
            <w:r>
              <w:rPr>
                <w:rFonts w:hint="eastAsia" w:ascii="宋体" w:hAnsi="宋体" w:eastAsia="宋体" w:cs="宋体"/>
                <w:color w:val="000000"/>
                <w:szCs w:val="21"/>
              </w:rPr>
              <w:t>产品代号</w:t>
            </w:r>
          </w:p>
        </w:tc>
        <w:tc>
          <w:tcPr>
            <w:tcW w:w="1260" w:type="dxa"/>
            <w:vAlign w:val="center"/>
          </w:tcPr>
          <w:p w14:paraId="651AA14C">
            <w:pPr>
              <w:spacing w:line="360" w:lineRule="auto"/>
              <w:jc w:val="center"/>
              <w:rPr>
                <w:rFonts w:hint="eastAsia" w:ascii="宋体" w:hAnsi="宋体" w:eastAsia="宋体" w:cs="宋体"/>
                <w:color w:val="000000"/>
                <w:szCs w:val="21"/>
              </w:rPr>
            </w:pPr>
          </w:p>
        </w:tc>
        <w:tc>
          <w:tcPr>
            <w:tcW w:w="3512" w:type="dxa"/>
            <w:vAlign w:val="center"/>
          </w:tcPr>
          <w:p w14:paraId="2F53C067">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KBN40A0L</w:t>
            </w:r>
          </w:p>
        </w:tc>
      </w:tr>
      <w:tr w14:paraId="2B210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09258899">
            <w:pPr>
              <w:spacing w:line="360" w:lineRule="auto"/>
              <w:rPr>
                <w:rFonts w:hint="eastAsia" w:ascii="宋体" w:hAnsi="宋体" w:eastAsia="宋体" w:cs="宋体"/>
                <w:color w:val="000000"/>
                <w:szCs w:val="21"/>
              </w:rPr>
            </w:pPr>
            <w:r>
              <w:rPr>
                <w:rFonts w:hint="eastAsia" w:ascii="宋体" w:hAnsi="宋体" w:eastAsia="宋体" w:cs="宋体"/>
                <w:color w:val="000000"/>
                <w:szCs w:val="21"/>
              </w:rPr>
              <w:t>产品型号</w:t>
            </w:r>
          </w:p>
        </w:tc>
        <w:tc>
          <w:tcPr>
            <w:tcW w:w="1260" w:type="dxa"/>
            <w:vAlign w:val="center"/>
          </w:tcPr>
          <w:p w14:paraId="797B574B">
            <w:pPr>
              <w:spacing w:line="360" w:lineRule="auto"/>
              <w:jc w:val="center"/>
              <w:rPr>
                <w:rFonts w:hint="eastAsia" w:ascii="宋体" w:hAnsi="宋体" w:eastAsia="宋体" w:cs="宋体"/>
                <w:color w:val="000000"/>
                <w:szCs w:val="21"/>
              </w:rPr>
            </w:pPr>
          </w:p>
        </w:tc>
        <w:tc>
          <w:tcPr>
            <w:tcW w:w="3512" w:type="dxa"/>
            <w:vAlign w:val="center"/>
          </w:tcPr>
          <w:p w14:paraId="2858664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N1.5-1.35</w:t>
            </w:r>
          </w:p>
        </w:tc>
      </w:tr>
      <w:tr w14:paraId="1840E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3C930E73">
            <w:pPr>
              <w:spacing w:line="360" w:lineRule="auto"/>
              <w:rPr>
                <w:rFonts w:hint="eastAsia" w:ascii="宋体" w:hAnsi="宋体" w:eastAsia="宋体" w:cs="宋体"/>
                <w:color w:val="000000"/>
                <w:szCs w:val="21"/>
              </w:rPr>
            </w:pPr>
            <w:r>
              <w:rPr>
                <w:rFonts w:hint="eastAsia" w:ascii="宋体" w:hAnsi="宋体" w:eastAsia="宋体" w:cs="宋体"/>
                <w:color w:val="000000"/>
                <w:szCs w:val="21"/>
              </w:rPr>
              <w:t>额定功率</w:t>
            </w:r>
          </w:p>
        </w:tc>
        <w:tc>
          <w:tcPr>
            <w:tcW w:w="1260" w:type="dxa"/>
            <w:vAlign w:val="center"/>
          </w:tcPr>
          <w:p w14:paraId="550AC64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MW</w:t>
            </w:r>
          </w:p>
        </w:tc>
        <w:tc>
          <w:tcPr>
            <w:tcW w:w="3512" w:type="dxa"/>
            <w:vAlign w:val="center"/>
          </w:tcPr>
          <w:p w14:paraId="179FA46A">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1.5</w:t>
            </w:r>
          </w:p>
        </w:tc>
      </w:tr>
      <w:tr w14:paraId="2FFD6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42361F9E">
            <w:pPr>
              <w:spacing w:line="360" w:lineRule="auto"/>
              <w:rPr>
                <w:rFonts w:hint="eastAsia" w:ascii="宋体" w:hAnsi="宋体" w:eastAsia="宋体" w:cs="宋体"/>
                <w:color w:val="000000"/>
                <w:szCs w:val="21"/>
              </w:rPr>
            </w:pPr>
            <w:r>
              <w:rPr>
                <w:rFonts w:hint="eastAsia" w:ascii="宋体" w:hAnsi="宋体" w:eastAsia="宋体" w:cs="宋体"/>
                <w:color w:val="000000"/>
                <w:szCs w:val="21"/>
              </w:rPr>
              <w:t>最大功率</w:t>
            </w:r>
          </w:p>
        </w:tc>
        <w:tc>
          <w:tcPr>
            <w:tcW w:w="1260" w:type="dxa"/>
            <w:vAlign w:val="center"/>
          </w:tcPr>
          <w:p w14:paraId="183212C1">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MW</w:t>
            </w:r>
          </w:p>
        </w:tc>
        <w:tc>
          <w:tcPr>
            <w:tcW w:w="3512" w:type="dxa"/>
            <w:vAlign w:val="center"/>
          </w:tcPr>
          <w:p w14:paraId="34D82C1E">
            <w:pPr>
              <w:spacing w:line="360" w:lineRule="auto"/>
              <w:jc w:val="center"/>
              <w:rPr>
                <w:rFonts w:hint="eastAsia" w:ascii="宋体" w:hAnsi="宋体" w:eastAsia="宋体" w:cs="宋体"/>
                <w:color w:val="000000"/>
                <w:szCs w:val="21"/>
              </w:rPr>
            </w:pPr>
          </w:p>
        </w:tc>
      </w:tr>
      <w:tr w14:paraId="70E8A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0CB1E712">
            <w:pPr>
              <w:spacing w:line="360" w:lineRule="auto"/>
              <w:rPr>
                <w:rFonts w:hint="eastAsia" w:ascii="宋体" w:hAnsi="宋体" w:eastAsia="宋体" w:cs="宋体"/>
                <w:color w:val="000000"/>
                <w:szCs w:val="21"/>
              </w:rPr>
            </w:pPr>
            <w:r>
              <w:rPr>
                <w:rFonts w:hint="eastAsia" w:ascii="宋体" w:hAnsi="宋体" w:eastAsia="宋体" w:cs="宋体"/>
                <w:color w:val="000000"/>
                <w:szCs w:val="21"/>
              </w:rPr>
              <w:t>额定转速</w:t>
            </w:r>
          </w:p>
        </w:tc>
        <w:tc>
          <w:tcPr>
            <w:tcW w:w="1260" w:type="dxa"/>
            <w:vAlign w:val="center"/>
          </w:tcPr>
          <w:p w14:paraId="23EDA29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r/min</w:t>
            </w:r>
          </w:p>
        </w:tc>
        <w:tc>
          <w:tcPr>
            <w:tcW w:w="3512" w:type="dxa"/>
            <w:vAlign w:val="center"/>
          </w:tcPr>
          <w:p w14:paraId="1A00CD41">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5600/1500</w:t>
            </w:r>
          </w:p>
        </w:tc>
      </w:tr>
      <w:tr w14:paraId="07BF7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2CBC01C8">
            <w:pPr>
              <w:spacing w:line="360" w:lineRule="auto"/>
              <w:rPr>
                <w:rFonts w:hint="eastAsia" w:ascii="宋体" w:hAnsi="宋体" w:eastAsia="宋体" w:cs="宋体"/>
                <w:color w:val="000000"/>
                <w:szCs w:val="21"/>
              </w:rPr>
            </w:pPr>
            <w:r>
              <w:rPr>
                <w:rFonts w:hint="eastAsia" w:ascii="宋体" w:hAnsi="宋体" w:eastAsia="宋体" w:cs="宋体"/>
                <w:color w:val="000000"/>
                <w:szCs w:val="21"/>
              </w:rPr>
              <w:t>旋转方向</w:t>
            </w:r>
          </w:p>
        </w:tc>
        <w:tc>
          <w:tcPr>
            <w:tcW w:w="1260" w:type="dxa"/>
            <w:vAlign w:val="center"/>
          </w:tcPr>
          <w:p w14:paraId="49B89954">
            <w:pPr>
              <w:spacing w:line="360" w:lineRule="auto"/>
              <w:jc w:val="center"/>
              <w:rPr>
                <w:rFonts w:hint="eastAsia" w:ascii="宋体" w:hAnsi="宋体" w:eastAsia="宋体" w:cs="宋体"/>
                <w:color w:val="000000"/>
                <w:szCs w:val="21"/>
              </w:rPr>
            </w:pPr>
          </w:p>
        </w:tc>
        <w:tc>
          <w:tcPr>
            <w:tcW w:w="3512" w:type="dxa"/>
            <w:vAlign w:val="center"/>
          </w:tcPr>
          <w:p w14:paraId="12F511F3">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逆时针（顺汽流方向看）</w:t>
            </w:r>
          </w:p>
        </w:tc>
      </w:tr>
      <w:tr w14:paraId="66922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2B22FA06">
            <w:pPr>
              <w:spacing w:line="360" w:lineRule="auto"/>
              <w:rPr>
                <w:rFonts w:hint="eastAsia" w:ascii="宋体" w:hAnsi="宋体" w:eastAsia="宋体" w:cs="宋体"/>
                <w:color w:val="000000"/>
                <w:szCs w:val="21"/>
              </w:rPr>
            </w:pPr>
            <w:r>
              <w:rPr>
                <w:rFonts w:hint="eastAsia" w:ascii="宋体" w:hAnsi="宋体" w:eastAsia="宋体" w:cs="宋体"/>
                <w:color w:val="000000"/>
                <w:szCs w:val="21"/>
              </w:rPr>
              <w:t>额定进汽压力及变化范围</w:t>
            </w:r>
          </w:p>
        </w:tc>
        <w:tc>
          <w:tcPr>
            <w:tcW w:w="1260" w:type="dxa"/>
            <w:vAlign w:val="center"/>
          </w:tcPr>
          <w:p w14:paraId="371B0DD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Mpa</w:t>
            </w:r>
          </w:p>
        </w:tc>
        <w:tc>
          <w:tcPr>
            <w:tcW w:w="3512" w:type="dxa"/>
            <w:vAlign w:val="center"/>
          </w:tcPr>
          <w:p w14:paraId="1F70CB4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1.35（绝对）</w:t>
            </w:r>
          </w:p>
        </w:tc>
      </w:tr>
      <w:tr w14:paraId="4870A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7FF7D4AA">
            <w:pPr>
              <w:spacing w:line="360" w:lineRule="auto"/>
              <w:rPr>
                <w:rFonts w:hint="eastAsia" w:ascii="宋体" w:hAnsi="宋体" w:eastAsia="宋体" w:cs="宋体"/>
                <w:color w:val="000000"/>
                <w:szCs w:val="21"/>
              </w:rPr>
            </w:pPr>
            <w:r>
              <w:rPr>
                <w:rFonts w:hint="eastAsia" w:ascii="宋体" w:hAnsi="宋体" w:eastAsia="宋体" w:cs="宋体"/>
                <w:color w:val="000000"/>
                <w:szCs w:val="21"/>
              </w:rPr>
              <w:t>额定进汽温度及变化范围</w:t>
            </w:r>
          </w:p>
        </w:tc>
        <w:tc>
          <w:tcPr>
            <w:tcW w:w="1260" w:type="dxa"/>
            <w:vAlign w:val="center"/>
          </w:tcPr>
          <w:p w14:paraId="4D7E911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3512" w:type="dxa"/>
            <w:vAlign w:val="center"/>
          </w:tcPr>
          <w:p w14:paraId="0CBF7D77">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193.35（饱和温度）</w:t>
            </w:r>
          </w:p>
        </w:tc>
      </w:tr>
      <w:tr w14:paraId="2B35F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351" w:type="dxa"/>
            <w:vMerge w:val="restart"/>
            <w:vAlign w:val="center"/>
          </w:tcPr>
          <w:p w14:paraId="79C8446B">
            <w:pPr>
              <w:spacing w:line="360" w:lineRule="auto"/>
              <w:rPr>
                <w:rFonts w:hint="eastAsia" w:ascii="宋体" w:hAnsi="宋体" w:eastAsia="宋体" w:cs="宋体"/>
                <w:color w:val="000000"/>
                <w:szCs w:val="21"/>
              </w:rPr>
            </w:pPr>
            <w:r>
              <w:rPr>
                <w:rFonts w:hint="eastAsia" w:ascii="宋体" w:hAnsi="宋体" w:eastAsia="宋体" w:cs="宋体"/>
                <w:color w:val="000000"/>
                <w:szCs w:val="21"/>
              </w:rPr>
              <w:t>进汽量</w:t>
            </w:r>
          </w:p>
        </w:tc>
        <w:tc>
          <w:tcPr>
            <w:tcW w:w="1800" w:type="dxa"/>
            <w:vAlign w:val="center"/>
          </w:tcPr>
          <w:p w14:paraId="7C7E8B7D">
            <w:pPr>
              <w:spacing w:line="360" w:lineRule="auto"/>
              <w:rPr>
                <w:rFonts w:hint="eastAsia" w:ascii="宋体" w:hAnsi="宋体" w:eastAsia="宋体" w:cs="宋体"/>
                <w:color w:val="000000"/>
                <w:szCs w:val="21"/>
              </w:rPr>
            </w:pPr>
            <w:r>
              <w:rPr>
                <w:rFonts w:hint="eastAsia" w:ascii="宋体" w:hAnsi="宋体" w:eastAsia="宋体" w:cs="宋体"/>
                <w:color w:val="000000"/>
                <w:szCs w:val="21"/>
              </w:rPr>
              <w:t>额定点</w:t>
            </w:r>
          </w:p>
        </w:tc>
        <w:tc>
          <w:tcPr>
            <w:tcW w:w="1260" w:type="dxa"/>
            <w:vAlign w:val="center"/>
          </w:tcPr>
          <w:p w14:paraId="054A7432">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t/h</w:t>
            </w:r>
          </w:p>
        </w:tc>
        <w:tc>
          <w:tcPr>
            <w:tcW w:w="3512" w:type="dxa"/>
            <w:vAlign w:val="center"/>
          </w:tcPr>
          <w:p w14:paraId="5B9AE747">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13.5</w:t>
            </w:r>
          </w:p>
        </w:tc>
      </w:tr>
      <w:tr w14:paraId="1353B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351" w:type="dxa"/>
            <w:vMerge w:val="continue"/>
            <w:vAlign w:val="center"/>
          </w:tcPr>
          <w:p w14:paraId="676329A2">
            <w:pPr>
              <w:spacing w:line="360" w:lineRule="auto"/>
              <w:rPr>
                <w:rFonts w:hint="eastAsia" w:ascii="宋体" w:hAnsi="宋体" w:eastAsia="宋体" w:cs="宋体"/>
                <w:color w:val="000000"/>
                <w:szCs w:val="21"/>
              </w:rPr>
            </w:pPr>
          </w:p>
        </w:tc>
        <w:tc>
          <w:tcPr>
            <w:tcW w:w="1800" w:type="dxa"/>
            <w:vAlign w:val="center"/>
          </w:tcPr>
          <w:p w14:paraId="4511BBB2">
            <w:pPr>
              <w:spacing w:line="360" w:lineRule="auto"/>
              <w:rPr>
                <w:rFonts w:hint="eastAsia" w:ascii="宋体" w:hAnsi="宋体" w:eastAsia="宋体" w:cs="宋体"/>
                <w:color w:val="000000"/>
                <w:szCs w:val="21"/>
              </w:rPr>
            </w:pPr>
            <w:r>
              <w:rPr>
                <w:rFonts w:hint="eastAsia" w:ascii="宋体" w:hAnsi="宋体" w:eastAsia="宋体" w:cs="宋体"/>
                <w:color w:val="000000"/>
                <w:szCs w:val="21"/>
              </w:rPr>
              <w:t>最  大</w:t>
            </w:r>
          </w:p>
        </w:tc>
        <w:tc>
          <w:tcPr>
            <w:tcW w:w="1260" w:type="dxa"/>
            <w:vAlign w:val="center"/>
          </w:tcPr>
          <w:p w14:paraId="5E6CE4C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t/h</w:t>
            </w:r>
          </w:p>
        </w:tc>
        <w:tc>
          <w:tcPr>
            <w:tcW w:w="3512" w:type="dxa"/>
            <w:vAlign w:val="center"/>
          </w:tcPr>
          <w:p w14:paraId="785D7F73">
            <w:pPr>
              <w:spacing w:line="360" w:lineRule="auto"/>
              <w:jc w:val="center"/>
              <w:rPr>
                <w:rFonts w:hint="eastAsia" w:ascii="宋体" w:hAnsi="宋体" w:eastAsia="宋体" w:cs="宋体"/>
                <w:color w:val="000000"/>
                <w:szCs w:val="21"/>
              </w:rPr>
            </w:pPr>
          </w:p>
        </w:tc>
      </w:tr>
      <w:tr w14:paraId="51B0F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351" w:type="dxa"/>
            <w:vMerge w:val="restart"/>
            <w:vAlign w:val="center"/>
          </w:tcPr>
          <w:p w14:paraId="3C320C80">
            <w:pPr>
              <w:spacing w:line="360" w:lineRule="auto"/>
              <w:rPr>
                <w:rFonts w:hint="eastAsia" w:ascii="宋体" w:hAnsi="宋体" w:eastAsia="宋体" w:cs="宋体"/>
                <w:color w:val="000000"/>
                <w:szCs w:val="21"/>
              </w:rPr>
            </w:pPr>
            <w:r>
              <w:rPr>
                <w:rFonts w:hint="eastAsia" w:ascii="宋体" w:hAnsi="宋体" w:eastAsia="宋体" w:cs="宋体"/>
                <w:color w:val="000000"/>
                <w:szCs w:val="21"/>
              </w:rPr>
              <w:t>冷却水温</w:t>
            </w:r>
          </w:p>
        </w:tc>
        <w:tc>
          <w:tcPr>
            <w:tcW w:w="1800" w:type="dxa"/>
            <w:vAlign w:val="center"/>
          </w:tcPr>
          <w:p w14:paraId="7593ACA6">
            <w:pPr>
              <w:spacing w:line="360" w:lineRule="auto"/>
              <w:rPr>
                <w:rFonts w:hint="eastAsia" w:ascii="宋体" w:hAnsi="宋体" w:eastAsia="宋体" w:cs="宋体"/>
                <w:color w:val="000000"/>
                <w:szCs w:val="21"/>
              </w:rPr>
            </w:pPr>
            <w:r>
              <w:rPr>
                <w:rFonts w:hint="eastAsia" w:ascii="宋体" w:hAnsi="宋体" w:eastAsia="宋体" w:cs="宋体"/>
                <w:color w:val="000000"/>
                <w:szCs w:val="21"/>
              </w:rPr>
              <w:t>正  常</w:t>
            </w:r>
          </w:p>
        </w:tc>
        <w:tc>
          <w:tcPr>
            <w:tcW w:w="1260" w:type="dxa"/>
            <w:vAlign w:val="center"/>
          </w:tcPr>
          <w:p w14:paraId="0E92BFD6">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3512" w:type="dxa"/>
            <w:vAlign w:val="center"/>
          </w:tcPr>
          <w:p w14:paraId="5FEACA76">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28</w:t>
            </w:r>
          </w:p>
        </w:tc>
      </w:tr>
      <w:tr w14:paraId="789AD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351" w:type="dxa"/>
            <w:vMerge w:val="continue"/>
            <w:vAlign w:val="center"/>
          </w:tcPr>
          <w:p w14:paraId="45CCF18C">
            <w:pPr>
              <w:spacing w:line="360" w:lineRule="auto"/>
              <w:rPr>
                <w:rFonts w:hint="eastAsia" w:ascii="宋体" w:hAnsi="宋体" w:eastAsia="宋体" w:cs="宋体"/>
                <w:color w:val="000000"/>
                <w:szCs w:val="21"/>
              </w:rPr>
            </w:pPr>
          </w:p>
        </w:tc>
        <w:tc>
          <w:tcPr>
            <w:tcW w:w="1800" w:type="dxa"/>
            <w:vAlign w:val="center"/>
          </w:tcPr>
          <w:p w14:paraId="6D77A571">
            <w:pPr>
              <w:spacing w:line="360" w:lineRule="auto"/>
              <w:rPr>
                <w:rFonts w:hint="eastAsia" w:ascii="宋体" w:hAnsi="宋体" w:eastAsia="宋体" w:cs="宋体"/>
                <w:color w:val="000000"/>
                <w:szCs w:val="21"/>
              </w:rPr>
            </w:pPr>
            <w:r>
              <w:rPr>
                <w:rFonts w:hint="eastAsia" w:ascii="宋体" w:hAnsi="宋体" w:eastAsia="宋体" w:cs="宋体"/>
                <w:color w:val="000000"/>
                <w:szCs w:val="21"/>
              </w:rPr>
              <w:t>最  高</w:t>
            </w:r>
          </w:p>
        </w:tc>
        <w:tc>
          <w:tcPr>
            <w:tcW w:w="1260" w:type="dxa"/>
            <w:vAlign w:val="center"/>
          </w:tcPr>
          <w:p w14:paraId="10D8DB5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3512" w:type="dxa"/>
            <w:vAlign w:val="center"/>
          </w:tcPr>
          <w:p w14:paraId="2F639451">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r>
      <w:tr w14:paraId="3DA99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5AE131B4">
            <w:pPr>
              <w:spacing w:line="360" w:lineRule="auto"/>
              <w:rPr>
                <w:rFonts w:hint="eastAsia" w:ascii="宋体" w:hAnsi="宋体" w:eastAsia="宋体" w:cs="宋体"/>
                <w:color w:val="000000"/>
                <w:szCs w:val="21"/>
              </w:rPr>
            </w:pPr>
            <w:r>
              <w:rPr>
                <w:rFonts w:hint="eastAsia" w:ascii="宋体" w:hAnsi="宋体" w:eastAsia="宋体" w:cs="宋体"/>
                <w:color w:val="000000"/>
                <w:szCs w:val="21"/>
              </w:rPr>
              <w:t>额定排汽压力</w:t>
            </w:r>
          </w:p>
        </w:tc>
        <w:tc>
          <w:tcPr>
            <w:tcW w:w="1260" w:type="dxa"/>
            <w:vAlign w:val="center"/>
          </w:tcPr>
          <w:p w14:paraId="09000944">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Mpa</w:t>
            </w:r>
          </w:p>
        </w:tc>
        <w:tc>
          <w:tcPr>
            <w:tcW w:w="3512" w:type="dxa"/>
            <w:vAlign w:val="center"/>
          </w:tcPr>
          <w:p w14:paraId="0A3B84D7">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0.01（绝对）</w:t>
            </w:r>
          </w:p>
        </w:tc>
      </w:tr>
      <w:tr w14:paraId="791C8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070DDE79">
            <w:pPr>
              <w:spacing w:line="360" w:lineRule="auto"/>
              <w:rPr>
                <w:rFonts w:hint="eastAsia" w:ascii="宋体" w:hAnsi="宋体" w:eastAsia="宋体" w:cs="宋体"/>
                <w:color w:val="000000"/>
                <w:szCs w:val="21"/>
              </w:rPr>
            </w:pPr>
            <w:r>
              <w:rPr>
                <w:rFonts w:hint="eastAsia" w:ascii="宋体" w:hAnsi="宋体" w:eastAsia="宋体" w:cs="宋体"/>
                <w:color w:val="000000"/>
                <w:szCs w:val="21"/>
              </w:rPr>
              <w:t>排汽温度</w:t>
            </w:r>
          </w:p>
        </w:tc>
        <w:tc>
          <w:tcPr>
            <w:tcW w:w="1260" w:type="dxa"/>
            <w:vAlign w:val="center"/>
          </w:tcPr>
          <w:p w14:paraId="1A73BAB1">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3512" w:type="dxa"/>
            <w:vAlign w:val="center"/>
          </w:tcPr>
          <w:p w14:paraId="4C77DABD">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45.81（饱和温度）</w:t>
            </w:r>
          </w:p>
        </w:tc>
      </w:tr>
      <w:tr w14:paraId="05F94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351" w:type="dxa"/>
            <w:vMerge w:val="restart"/>
            <w:vAlign w:val="center"/>
          </w:tcPr>
          <w:p w14:paraId="5F17800A">
            <w:pPr>
              <w:spacing w:line="360" w:lineRule="auto"/>
              <w:rPr>
                <w:rFonts w:hint="eastAsia" w:ascii="宋体" w:hAnsi="宋体" w:eastAsia="宋体" w:cs="宋体"/>
                <w:color w:val="000000"/>
                <w:szCs w:val="21"/>
              </w:rPr>
            </w:pPr>
            <w:r>
              <w:rPr>
                <w:rFonts w:hint="eastAsia" w:ascii="宋体" w:hAnsi="宋体" w:eastAsia="宋体" w:cs="宋体"/>
                <w:color w:val="000000"/>
                <w:szCs w:val="21"/>
              </w:rPr>
              <w:t>汽 耗 率</w:t>
            </w:r>
          </w:p>
        </w:tc>
        <w:tc>
          <w:tcPr>
            <w:tcW w:w="1800" w:type="dxa"/>
            <w:vAlign w:val="center"/>
          </w:tcPr>
          <w:p w14:paraId="000DC890">
            <w:pPr>
              <w:spacing w:line="360" w:lineRule="auto"/>
              <w:rPr>
                <w:rFonts w:hint="eastAsia" w:ascii="宋体" w:hAnsi="宋体" w:eastAsia="宋体" w:cs="宋体"/>
                <w:color w:val="000000"/>
                <w:szCs w:val="21"/>
              </w:rPr>
            </w:pPr>
            <w:r>
              <w:rPr>
                <w:rFonts w:hint="eastAsia" w:ascii="宋体" w:hAnsi="宋体" w:eastAsia="宋体" w:cs="宋体"/>
                <w:color w:val="000000"/>
                <w:szCs w:val="21"/>
              </w:rPr>
              <w:t>额定点</w:t>
            </w:r>
          </w:p>
        </w:tc>
        <w:tc>
          <w:tcPr>
            <w:tcW w:w="1260" w:type="dxa"/>
            <w:vAlign w:val="center"/>
          </w:tcPr>
          <w:p w14:paraId="043CAE1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kg/kw.h</w:t>
            </w:r>
          </w:p>
        </w:tc>
        <w:tc>
          <w:tcPr>
            <w:tcW w:w="3512" w:type="dxa"/>
            <w:vAlign w:val="center"/>
          </w:tcPr>
          <w:p w14:paraId="3E20AA87">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9</w:t>
            </w:r>
          </w:p>
        </w:tc>
      </w:tr>
      <w:tr w14:paraId="66F47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351" w:type="dxa"/>
            <w:vMerge w:val="continue"/>
            <w:vAlign w:val="center"/>
          </w:tcPr>
          <w:p w14:paraId="7799CBBF">
            <w:pPr>
              <w:spacing w:line="360" w:lineRule="auto"/>
              <w:rPr>
                <w:rFonts w:hint="eastAsia" w:ascii="宋体" w:hAnsi="宋体" w:eastAsia="宋体" w:cs="宋体"/>
                <w:color w:val="000000"/>
                <w:szCs w:val="21"/>
              </w:rPr>
            </w:pPr>
          </w:p>
        </w:tc>
        <w:tc>
          <w:tcPr>
            <w:tcW w:w="1800" w:type="dxa"/>
            <w:vAlign w:val="center"/>
          </w:tcPr>
          <w:p w14:paraId="51D685E2">
            <w:pPr>
              <w:spacing w:line="360" w:lineRule="auto"/>
              <w:rPr>
                <w:rFonts w:hint="eastAsia" w:ascii="宋体" w:hAnsi="宋体" w:eastAsia="宋体" w:cs="宋体"/>
                <w:color w:val="000000"/>
                <w:szCs w:val="21"/>
              </w:rPr>
            </w:pPr>
            <w:r>
              <w:rPr>
                <w:rFonts w:hint="eastAsia" w:ascii="宋体" w:hAnsi="宋体" w:eastAsia="宋体" w:cs="宋体"/>
                <w:color w:val="000000"/>
                <w:szCs w:val="21"/>
              </w:rPr>
              <w:t>最大点</w:t>
            </w:r>
          </w:p>
        </w:tc>
        <w:tc>
          <w:tcPr>
            <w:tcW w:w="1260" w:type="dxa"/>
            <w:vAlign w:val="center"/>
          </w:tcPr>
          <w:p w14:paraId="46437194">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kg/kw.h</w:t>
            </w:r>
          </w:p>
        </w:tc>
        <w:tc>
          <w:tcPr>
            <w:tcW w:w="3512" w:type="dxa"/>
            <w:vAlign w:val="center"/>
          </w:tcPr>
          <w:p w14:paraId="15154364">
            <w:pPr>
              <w:spacing w:line="360" w:lineRule="auto"/>
              <w:jc w:val="center"/>
              <w:rPr>
                <w:rFonts w:hint="eastAsia" w:ascii="宋体" w:hAnsi="宋体" w:eastAsia="宋体" w:cs="宋体"/>
                <w:color w:val="000000"/>
                <w:szCs w:val="21"/>
              </w:rPr>
            </w:pPr>
          </w:p>
        </w:tc>
      </w:tr>
      <w:tr w14:paraId="7182C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718D72D8">
            <w:pPr>
              <w:spacing w:line="360" w:lineRule="auto"/>
              <w:rPr>
                <w:rFonts w:hint="eastAsia" w:ascii="宋体" w:hAnsi="宋体" w:eastAsia="宋体" w:cs="宋体"/>
                <w:color w:val="000000"/>
                <w:szCs w:val="21"/>
              </w:rPr>
            </w:pPr>
            <w:r>
              <w:rPr>
                <w:rFonts w:hint="eastAsia" w:ascii="宋体" w:hAnsi="宋体" w:eastAsia="宋体" w:cs="宋体"/>
                <w:color w:val="000000"/>
                <w:szCs w:val="21"/>
              </w:rPr>
              <w:t>临界转速（一阶）</w:t>
            </w:r>
          </w:p>
        </w:tc>
        <w:tc>
          <w:tcPr>
            <w:tcW w:w="1260" w:type="dxa"/>
            <w:vAlign w:val="center"/>
          </w:tcPr>
          <w:p w14:paraId="1C3C3F1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r/min</w:t>
            </w:r>
          </w:p>
        </w:tc>
        <w:tc>
          <w:tcPr>
            <w:tcW w:w="3512" w:type="dxa"/>
            <w:vAlign w:val="center"/>
          </w:tcPr>
          <w:p w14:paraId="6A8D846A">
            <w:pPr>
              <w:spacing w:line="360" w:lineRule="auto"/>
              <w:jc w:val="center"/>
              <w:rPr>
                <w:rFonts w:hint="eastAsia" w:ascii="宋体" w:hAnsi="宋体" w:eastAsia="宋体" w:cs="宋体"/>
                <w:color w:val="000000"/>
                <w:szCs w:val="21"/>
              </w:rPr>
            </w:pPr>
          </w:p>
        </w:tc>
      </w:tr>
      <w:tr w14:paraId="38C94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7AFEFA49">
            <w:pPr>
              <w:spacing w:line="360" w:lineRule="auto"/>
              <w:rPr>
                <w:rFonts w:hint="eastAsia" w:ascii="宋体" w:hAnsi="宋体" w:eastAsia="宋体" w:cs="宋体"/>
                <w:color w:val="000000"/>
                <w:szCs w:val="21"/>
              </w:rPr>
            </w:pPr>
            <w:r>
              <w:rPr>
                <w:rFonts w:hint="eastAsia" w:ascii="宋体" w:hAnsi="宋体" w:eastAsia="宋体" w:cs="宋体"/>
                <w:color w:val="000000"/>
                <w:szCs w:val="21"/>
              </w:rPr>
              <w:t>额定转速时轴承座振动值(全振幅)</w:t>
            </w:r>
          </w:p>
        </w:tc>
        <w:tc>
          <w:tcPr>
            <w:tcW w:w="1260" w:type="dxa"/>
            <w:vAlign w:val="center"/>
          </w:tcPr>
          <w:p w14:paraId="40B56139">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mm</w:t>
            </w:r>
          </w:p>
        </w:tc>
        <w:tc>
          <w:tcPr>
            <w:tcW w:w="3512" w:type="dxa"/>
            <w:vAlign w:val="center"/>
          </w:tcPr>
          <w:p w14:paraId="6609ABB3">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≤0.03（全振幅）</w:t>
            </w:r>
          </w:p>
        </w:tc>
      </w:tr>
      <w:tr w14:paraId="4051F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4665FE71">
            <w:pPr>
              <w:spacing w:line="360" w:lineRule="auto"/>
              <w:rPr>
                <w:rFonts w:hint="eastAsia" w:ascii="宋体" w:hAnsi="宋体" w:eastAsia="宋体" w:cs="宋体"/>
                <w:color w:val="000000"/>
                <w:szCs w:val="21"/>
              </w:rPr>
            </w:pPr>
            <w:r>
              <w:rPr>
                <w:rFonts w:hint="eastAsia" w:ascii="宋体" w:hAnsi="宋体" w:eastAsia="宋体" w:cs="宋体"/>
                <w:color w:val="000000"/>
                <w:szCs w:val="21"/>
              </w:rPr>
              <w:t>临界转速时轴承座振动值(全振幅)</w:t>
            </w:r>
          </w:p>
        </w:tc>
        <w:tc>
          <w:tcPr>
            <w:tcW w:w="1260" w:type="dxa"/>
            <w:vAlign w:val="center"/>
          </w:tcPr>
          <w:p w14:paraId="31227432">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mm</w:t>
            </w:r>
          </w:p>
        </w:tc>
        <w:tc>
          <w:tcPr>
            <w:tcW w:w="3512" w:type="dxa"/>
            <w:vAlign w:val="center"/>
          </w:tcPr>
          <w:p w14:paraId="247F95D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≤0.15（全振幅）</w:t>
            </w:r>
          </w:p>
        </w:tc>
      </w:tr>
      <w:tr w14:paraId="19BFE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243AB07C">
            <w:pPr>
              <w:spacing w:line="360" w:lineRule="auto"/>
              <w:rPr>
                <w:rFonts w:hint="eastAsia" w:ascii="宋体" w:hAnsi="宋体" w:eastAsia="宋体" w:cs="宋体"/>
                <w:color w:val="000000"/>
                <w:szCs w:val="21"/>
              </w:rPr>
            </w:pPr>
            <w:r>
              <w:rPr>
                <w:rFonts w:hint="eastAsia" w:ascii="宋体" w:hAnsi="宋体" w:eastAsia="宋体" w:cs="宋体"/>
                <w:color w:val="000000"/>
                <w:szCs w:val="21"/>
              </w:rPr>
              <w:t>汽轮机本体重量</w:t>
            </w:r>
          </w:p>
        </w:tc>
        <w:tc>
          <w:tcPr>
            <w:tcW w:w="1260" w:type="dxa"/>
            <w:vAlign w:val="center"/>
          </w:tcPr>
          <w:p w14:paraId="340F2C21">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t</w:t>
            </w:r>
          </w:p>
        </w:tc>
        <w:tc>
          <w:tcPr>
            <w:tcW w:w="3512" w:type="dxa"/>
            <w:vAlign w:val="center"/>
          </w:tcPr>
          <w:p w14:paraId="4EEB620D">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~14</w:t>
            </w:r>
          </w:p>
        </w:tc>
      </w:tr>
      <w:tr w14:paraId="615F0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60A465A6">
            <w:pPr>
              <w:spacing w:line="360" w:lineRule="auto"/>
              <w:rPr>
                <w:rFonts w:hint="eastAsia" w:ascii="宋体" w:hAnsi="宋体" w:eastAsia="宋体" w:cs="宋体"/>
                <w:color w:val="000000"/>
                <w:szCs w:val="21"/>
              </w:rPr>
            </w:pPr>
            <w:r>
              <w:rPr>
                <w:rFonts w:hint="eastAsia" w:ascii="宋体" w:hAnsi="宋体" w:eastAsia="宋体" w:cs="宋体"/>
                <w:color w:val="000000"/>
                <w:szCs w:val="21"/>
              </w:rPr>
              <w:t>汽轮机安装时最大件重量(整体安装)</w:t>
            </w:r>
          </w:p>
        </w:tc>
        <w:tc>
          <w:tcPr>
            <w:tcW w:w="1260" w:type="dxa"/>
            <w:vAlign w:val="center"/>
          </w:tcPr>
          <w:p w14:paraId="29A0D4A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t</w:t>
            </w:r>
          </w:p>
        </w:tc>
        <w:tc>
          <w:tcPr>
            <w:tcW w:w="3512" w:type="dxa"/>
            <w:vAlign w:val="center"/>
          </w:tcPr>
          <w:p w14:paraId="29070AD5">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~14</w:t>
            </w:r>
          </w:p>
        </w:tc>
      </w:tr>
      <w:tr w14:paraId="0BED0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162560C0">
            <w:pPr>
              <w:spacing w:line="360" w:lineRule="auto"/>
              <w:rPr>
                <w:rFonts w:hint="eastAsia" w:ascii="宋体" w:hAnsi="宋体" w:eastAsia="宋体" w:cs="宋体"/>
                <w:color w:val="000000"/>
                <w:szCs w:val="21"/>
              </w:rPr>
            </w:pPr>
            <w:r>
              <w:rPr>
                <w:rFonts w:hint="eastAsia" w:ascii="宋体" w:hAnsi="宋体" w:eastAsia="宋体" w:cs="宋体"/>
                <w:color w:val="000000"/>
                <w:szCs w:val="21"/>
              </w:rPr>
              <w:t>汽轮机检修时最大件重量</w:t>
            </w:r>
          </w:p>
        </w:tc>
        <w:tc>
          <w:tcPr>
            <w:tcW w:w="1260" w:type="dxa"/>
            <w:vAlign w:val="center"/>
          </w:tcPr>
          <w:p w14:paraId="1ED24D2E">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t</w:t>
            </w:r>
          </w:p>
        </w:tc>
        <w:tc>
          <w:tcPr>
            <w:tcW w:w="3512" w:type="dxa"/>
            <w:vAlign w:val="center"/>
          </w:tcPr>
          <w:p w14:paraId="549E6DC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w:t>
            </w:r>
          </w:p>
        </w:tc>
      </w:tr>
      <w:tr w14:paraId="037DE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32EF5A6F">
            <w:pPr>
              <w:spacing w:line="360" w:lineRule="auto"/>
              <w:rPr>
                <w:rFonts w:hint="eastAsia" w:ascii="宋体" w:hAnsi="宋体" w:eastAsia="宋体" w:cs="宋体"/>
                <w:color w:val="000000"/>
                <w:szCs w:val="21"/>
              </w:rPr>
            </w:pPr>
            <w:r>
              <w:rPr>
                <w:rFonts w:hint="eastAsia" w:ascii="宋体" w:hAnsi="宋体" w:eastAsia="宋体" w:cs="宋体"/>
                <w:color w:val="000000"/>
                <w:szCs w:val="21"/>
              </w:rPr>
              <w:t>转子重量</w:t>
            </w:r>
          </w:p>
        </w:tc>
        <w:tc>
          <w:tcPr>
            <w:tcW w:w="1260" w:type="dxa"/>
            <w:vAlign w:val="center"/>
          </w:tcPr>
          <w:p w14:paraId="36A49AE6">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Kg</w:t>
            </w:r>
          </w:p>
        </w:tc>
        <w:tc>
          <w:tcPr>
            <w:tcW w:w="3512" w:type="dxa"/>
            <w:vAlign w:val="center"/>
          </w:tcPr>
          <w:p w14:paraId="64B70EFE">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~869</w:t>
            </w:r>
          </w:p>
        </w:tc>
      </w:tr>
      <w:tr w14:paraId="72037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79F364E1">
            <w:pPr>
              <w:spacing w:line="360" w:lineRule="auto"/>
              <w:rPr>
                <w:rFonts w:hint="eastAsia" w:ascii="宋体" w:hAnsi="宋体" w:eastAsia="宋体" w:cs="宋体"/>
                <w:color w:val="000000"/>
                <w:szCs w:val="21"/>
              </w:rPr>
            </w:pPr>
            <w:r>
              <w:rPr>
                <w:rFonts w:hint="eastAsia" w:ascii="宋体" w:hAnsi="宋体" w:eastAsia="宋体" w:cs="宋体"/>
                <w:color w:val="000000"/>
                <w:szCs w:val="21"/>
              </w:rPr>
              <w:t>汽轮机外形尺寸（运行平台以上）</w:t>
            </w:r>
          </w:p>
        </w:tc>
        <w:tc>
          <w:tcPr>
            <w:tcW w:w="1260" w:type="dxa"/>
            <w:vAlign w:val="center"/>
          </w:tcPr>
          <w:p w14:paraId="61D043BB">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w:t>
            </w:r>
          </w:p>
        </w:tc>
        <w:tc>
          <w:tcPr>
            <w:tcW w:w="3512" w:type="dxa"/>
            <w:vAlign w:val="center"/>
          </w:tcPr>
          <w:p w14:paraId="37885633">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~3.84×2.8×2.015</w:t>
            </w:r>
          </w:p>
          <w:p w14:paraId="03062C6A">
            <w:pPr>
              <w:spacing w:line="360" w:lineRule="auto"/>
              <w:ind w:left="165" w:hanging="165"/>
              <w:jc w:val="center"/>
              <w:rPr>
                <w:rFonts w:hint="eastAsia" w:ascii="宋体" w:hAnsi="宋体" w:eastAsia="宋体" w:cs="宋体"/>
                <w:color w:val="000000"/>
                <w:szCs w:val="21"/>
              </w:rPr>
            </w:pPr>
            <w:r>
              <w:rPr>
                <w:rFonts w:hint="eastAsia" w:ascii="宋体" w:hAnsi="宋体" w:eastAsia="宋体" w:cs="宋体"/>
                <w:color w:val="000000"/>
                <w:szCs w:val="21"/>
              </w:rPr>
              <w:t>（L×W×H）</w:t>
            </w:r>
          </w:p>
        </w:tc>
      </w:tr>
      <w:tr w14:paraId="65467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tcBorders>
              <w:bottom w:val="single" w:color="auto" w:sz="8" w:space="0"/>
            </w:tcBorders>
            <w:vAlign w:val="center"/>
          </w:tcPr>
          <w:p w14:paraId="7C6D96EF">
            <w:pPr>
              <w:spacing w:line="360" w:lineRule="auto"/>
              <w:rPr>
                <w:rFonts w:hint="eastAsia" w:ascii="宋体" w:hAnsi="宋体" w:eastAsia="宋体" w:cs="宋体"/>
                <w:color w:val="000000"/>
                <w:szCs w:val="21"/>
              </w:rPr>
            </w:pPr>
            <w:r>
              <w:rPr>
                <w:rFonts w:hint="eastAsia" w:ascii="宋体" w:hAnsi="宋体" w:eastAsia="宋体" w:cs="宋体"/>
                <w:color w:val="000000"/>
                <w:szCs w:val="21"/>
              </w:rPr>
              <w:t>汽轮机中心标高（距运行平台）</w:t>
            </w:r>
          </w:p>
        </w:tc>
        <w:tc>
          <w:tcPr>
            <w:tcW w:w="1260" w:type="dxa"/>
            <w:tcBorders>
              <w:bottom w:val="single" w:color="auto" w:sz="8" w:space="0"/>
            </w:tcBorders>
            <w:vAlign w:val="center"/>
          </w:tcPr>
          <w:p w14:paraId="64C586AE">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w:t>
            </w:r>
          </w:p>
        </w:tc>
        <w:tc>
          <w:tcPr>
            <w:tcW w:w="3512" w:type="dxa"/>
            <w:tcBorders>
              <w:bottom w:val="single" w:color="auto" w:sz="8" w:space="0"/>
            </w:tcBorders>
            <w:vAlign w:val="center"/>
          </w:tcPr>
          <w:p w14:paraId="586DABB5">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1.050</w:t>
            </w:r>
          </w:p>
        </w:tc>
      </w:tr>
    </w:tbl>
    <w:p w14:paraId="63E8ED89">
      <w:pPr>
        <w:spacing w:line="360" w:lineRule="auto"/>
        <w:rPr>
          <w:color w:val="000000"/>
          <w:sz w:val="24"/>
          <w:szCs w:val="24"/>
        </w:rPr>
      </w:pPr>
    </w:p>
    <w:p w14:paraId="5EA071C0">
      <w:pPr>
        <w:pStyle w:val="6"/>
        <w:numPr>
          <w:ilvl w:val="0"/>
          <w:numId w:val="0"/>
        </w:numPr>
        <w:ind w:firstLine="482" w:firstLineChars="200"/>
        <w:rPr>
          <w:rFonts w:hint="eastAsia" w:ascii="宋体"/>
          <w:b/>
          <w:bCs/>
          <w:color w:val="auto"/>
          <w:lang w:val="en-US" w:eastAsia="zh-CN"/>
        </w:rPr>
      </w:pPr>
    </w:p>
    <w:p w14:paraId="2B73CF84">
      <w:pPr>
        <w:pStyle w:val="6"/>
        <w:numPr>
          <w:ilvl w:val="0"/>
          <w:numId w:val="0"/>
        </w:numPr>
        <w:ind w:firstLine="482" w:firstLineChars="200"/>
        <w:rPr>
          <w:rFonts w:hint="eastAsia" w:ascii="宋体"/>
          <w:b/>
          <w:bCs/>
          <w:color w:val="auto"/>
          <w:lang w:val="en-US" w:eastAsia="zh-CN"/>
        </w:rPr>
      </w:pPr>
      <w:r>
        <w:rPr>
          <w:rFonts w:hint="eastAsia" w:ascii="宋体"/>
          <w:b/>
          <w:bCs/>
          <w:color w:val="auto"/>
          <w:lang w:val="en-US" w:eastAsia="zh-CN"/>
        </w:rPr>
        <w:t>3.3调节保安润滑系统</w:t>
      </w:r>
    </w:p>
    <w:tbl>
      <w:tblPr>
        <w:tblStyle w:val="15"/>
        <w:tblW w:w="89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7" w:type="dxa"/>
          <w:bottom w:w="0" w:type="dxa"/>
          <w:right w:w="107" w:type="dxa"/>
        </w:tblCellMar>
      </w:tblPr>
      <w:tblGrid>
        <w:gridCol w:w="4017"/>
        <w:gridCol w:w="1260"/>
        <w:gridCol w:w="3653"/>
      </w:tblGrid>
      <w:tr w14:paraId="06CF4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14:paraId="3621F5C3">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调速范围</w:t>
            </w:r>
          </w:p>
        </w:tc>
        <w:tc>
          <w:tcPr>
            <w:tcW w:w="1260" w:type="dxa"/>
            <w:vAlign w:val="center"/>
          </w:tcPr>
          <w:p w14:paraId="7FD4E693">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r/min</w:t>
            </w:r>
          </w:p>
        </w:tc>
        <w:tc>
          <w:tcPr>
            <w:tcW w:w="3653" w:type="dxa"/>
            <w:vAlign w:val="center"/>
          </w:tcPr>
          <w:p w14:paraId="7D11586B">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position w:val="-34"/>
                <w:sz w:val="21"/>
                <w:szCs w:val="21"/>
              </w:rPr>
              <w:t>4200～5880</w:t>
            </w:r>
          </w:p>
        </w:tc>
      </w:tr>
      <w:tr w14:paraId="16ED8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14:paraId="7697C15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危急遮断器动作转速</w:t>
            </w:r>
          </w:p>
        </w:tc>
        <w:tc>
          <w:tcPr>
            <w:tcW w:w="1260" w:type="dxa"/>
            <w:vAlign w:val="center"/>
          </w:tcPr>
          <w:p w14:paraId="2EF129C8">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r/min</w:t>
            </w:r>
          </w:p>
        </w:tc>
        <w:tc>
          <w:tcPr>
            <w:tcW w:w="3653" w:type="dxa"/>
            <w:vAlign w:val="center"/>
          </w:tcPr>
          <w:p w14:paraId="1AD806C8">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position w:val="-34"/>
                <w:sz w:val="21"/>
                <w:szCs w:val="21"/>
              </w:rPr>
              <w:t>6160±56</w:t>
            </w:r>
          </w:p>
        </w:tc>
      </w:tr>
      <w:tr w14:paraId="5DB02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tcPr>
          <w:p w14:paraId="537B1FFB">
            <w:pPr>
              <w:spacing w:line="360" w:lineRule="auto"/>
              <w:rPr>
                <w:rFonts w:hint="eastAsia" w:ascii="宋体" w:hAnsi="宋体" w:eastAsia="宋体" w:cs="宋体"/>
                <w:position w:val="-34"/>
                <w:sz w:val="21"/>
                <w:szCs w:val="21"/>
              </w:rPr>
            </w:pPr>
            <w:r>
              <w:rPr>
                <w:rFonts w:hint="eastAsia" w:ascii="宋体" w:hAnsi="宋体" w:eastAsia="宋体" w:cs="宋体"/>
                <w:position w:val="-34"/>
                <w:sz w:val="21"/>
                <w:szCs w:val="21"/>
              </w:rPr>
              <w:t>电调超速保护</w:t>
            </w:r>
          </w:p>
        </w:tc>
        <w:tc>
          <w:tcPr>
            <w:tcW w:w="1260" w:type="dxa"/>
          </w:tcPr>
          <w:p w14:paraId="77F7C8D3">
            <w:pPr>
              <w:spacing w:line="360" w:lineRule="auto"/>
              <w:jc w:val="center"/>
              <w:rPr>
                <w:rFonts w:hint="eastAsia" w:ascii="宋体" w:hAnsi="宋体" w:eastAsia="宋体" w:cs="宋体"/>
                <w:position w:val="-34"/>
                <w:sz w:val="21"/>
                <w:szCs w:val="21"/>
              </w:rPr>
            </w:pPr>
            <w:r>
              <w:rPr>
                <w:rFonts w:hint="eastAsia" w:ascii="宋体" w:hAnsi="宋体" w:eastAsia="宋体" w:cs="宋体"/>
                <w:position w:val="-34"/>
                <w:sz w:val="21"/>
                <w:szCs w:val="21"/>
              </w:rPr>
              <w:t>r/min</w:t>
            </w:r>
          </w:p>
        </w:tc>
        <w:tc>
          <w:tcPr>
            <w:tcW w:w="3653" w:type="dxa"/>
          </w:tcPr>
          <w:p w14:paraId="2A460D9E">
            <w:pPr>
              <w:spacing w:line="360" w:lineRule="auto"/>
              <w:jc w:val="center"/>
              <w:rPr>
                <w:rFonts w:hint="eastAsia" w:ascii="宋体" w:hAnsi="宋体" w:eastAsia="宋体" w:cs="宋体"/>
                <w:color w:val="000000"/>
                <w:position w:val="-34"/>
                <w:sz w:val="21"/>
                <w:szCs w:val="21"/>
              </w:rPr>
            </w:pPr>
            <w:r>
              <w:rPr>
                <w:rFonts w:hint="eastAsia" w:ascii="宋体" w:hAnsi="宋体" w:eastAsia="宋体" w:cs="宋体"/>
                <w:color w:val="000000"/>
                <w:position w:val="-34"/>
                <w:sz w:val="21"/>
                <w:szCs w:val="21"/>
              </w:rPr>
              <w:t>6216</w:t>
            </w:r>
          </w:p>
        </w:tc>
      </w:tr>
      <w:tr w14:paraId="26DC2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14:paraId="6C21881C">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调节汽阀最大行程</w:t>
            </w:r>
          </w:p>
        </w:tc>
        <w:tc>
          <w:tcPr>
            <w:tcW w:w="1260" w:type="dxa"/>
            <w:vAlign w:val="center"/>
          </w:tcPr>
          <w:p w14:paraId="5361B309">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mm</w:t>
            </w:r>
          </w:p>
        </w:tc>
        <w:tc>
          <w:tcPr>
            <w:tcW w:w="3653" w:type="dxa"/>
            <w:vAlign w:val="center"/>
          </w:tcPr>
          <w:p w14:paraId="3939B11A">
            <w:pPr>
              <w:spacing w:line="360" w:lineRule="auto"/>
              <w:jc w:val="center"/>
              <w:rPr>
                <w:rFonts w:hint="eastAsia" w:ascii="宋体" w:hAnsi="宋体" w:eastAsia="宋体" w:cs="宋体"/>
                <w:color w:val="000000"/>
                <w:sz w:val="21"/>
                <w:szCs w:val="21"/>
              </w:rPr>
            </w:pPr>
            <w:r>
              <w:rPr>
                <w:rFonts w:hint="eastAsia" w:ascii="宋体" w:hAnsi="宋体" w:eastAsia="宋体" w:cs="宋体"/>
                <w:sz w:val="21"/>
                <w:szCs w:val="21"/>
              </w:rPr>
              <w:t>42</w:t>
            </w:r>
          </w:p>
        </w:tc>
      </w:tr>
      <w:tr w14:paraId="28B10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14:paraId="5BE3EE0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调节油压</w:t>
            </w:r>
          </w:p>
        </w:tc>
        <w:tc>
          <w:tcPr>
            <w:tcW w:w="1260" w:type="dxa"/>
            <w:vAlign w:val="center"/>
          </w:tcPr>
          <w:p w14:paraId="2A40D22B">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653" w:type="dxa"/>
            <w:vAlign w:val="center"/>
          </w:tcPr>
          <w:p w14:paraId="2A2DF513">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14:paraId="21300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14:paraId="05BD17E3">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润滑油压</w:t>
            </w:r>
          </w:p>
        </w:tc>
        <w:tc>
          <w:tcPr>
            <w:tcW w:w="1260" w:type="dxa"/>
            <w:vAlign w:val="center"/>
          </w:tcPr>
          <w:p w14:paraId="4AC4691D">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653" w:type="dxa"/>
            <w:vAlign w:val="center"/>
          </w:tcPr>
          <w:p w14:paraId="4369CE2A">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0.08~0.12</w:t>
            </w:r>
          </w:p>
        </w:tc>
      </w:tr>
      <w:tr w14:paraId="2B6B7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14:paraId="3A725A3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汽轮机油牌号</w:t>
            </w:r>
          </w:p>
        </w:tc>
        <w:tc>
          <w:tcPr>
            <w:tcW w:w="1260" w:type="dxa"/>
            <w:vAlign w:val="center"/>
          </w:tcPr>
          <w:p w14:paraId="26C4AA9D">
            <w:pPr>
              <w:spacing w:line="360" w:lineRule="auto"/>
              <w:jc w:val="center"/>
              <w:rPr>
                <w:rFonts w:hint="eastAsia" w:ascii="宋体" w:hAnsi="宋体" w:eastAsia="宋体" w:cs="宋体"/>
                <w:color w:val="000000"/>
                <w:sz w:val="21"/>
                <w:szCs w:val="21"/>
              </w:rPr>
            </w:pPr>
          </w:p>
        </w:tc>
        <w:tc>
          <w:tcPr>
            <w:tcW w:w="3653" w:type="dxa"/>
            <w:vAlign w:val="center"/>
          </w:tcPr>
          <w:p w14:paraId="776458FF">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L-TSA46</w:t>
            </w:r>
          </w:p>
        </w:tc>
      </w:tr>
      <w:tr w14:paraId="25568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14:paraId="18412A84">
            <w:pPr>
              <w:spacing w:line="360" w:lineRule="auto"/>
              <w:rPr>
                <w:rFonts w:hint="eastAsia" w:ascii="宋体" w:hAnsi="宋体" w:eastAsia="宋体" w:cs="宋体"/>
                <w:color w:val="000000"/>
                <w:position w:val="-34"/>
                <w:sz w:val="21"/>
                <w:szCs w:val="21"/>
              </w:rPr>
            </w:pPr>
            <w:r>
              <w:rPr>
                <w:rFonts w:hint="eastAsia" w:ascii="宋体" w:hAnsi="宋体" w:eastAsia="宋体" w:cs="宋体"/>
                <w:color w:val="000000"/>
                <w:position w:val="-34"/>
                <w:sz w:val="21"/>
                <w:szCs w:val="21"/>
              </w:rPr>
              <w:t>润滑油耗量</w:t>
            </w:r>
          </w:p>
        </w:tc>
        <w:tc>
          <w:tcPr>
            <w:tcW w:w="1260" w:type="dxa"/>
          </w:tcPr>
          <w:p w14:paraId="212C24C3">
            <w:pPr>
              <w:spacing w:line="360" w:lineRule="auto"/>
              <w:jc w:val="center"/>
              <w:rPr>
                <w:rFonts w:hint="eastAsia" w:ascii="宋体" w:hAnsi="宋体" w:eastAsia="宋体" w:cs="宋体"/>
                <w:color w:val="000000"/>
                <w:position w:val="-34"/>
                <w:sz w:val="21"/>
                <w:szCs w:val="21"/>
              </w:rPr>
            </w:pPr>
            <w:r>
              <w:rPr>
                <w:rFonts w:hint="eastAsia" w:ascii="宋体" w:hAnsi="宋体" w:eastAsia="宋体" w:cs="宋体"/>
                <w:color w:val="000000"/>
                <w:position w:val="-34"/>
                <w:sz w:val="21"/>
                <w:szCs w:val="21"/>
              </w:rPr>
              <w:t>L/min</w:t>
            </w:r>
          </w:p>
        </w:tc>
        <w:tc>
          <w:tcPr>
            <w:tcW w:w="3653" w:type="dxa"/>
          </w:tcPr>
          <w:p w14:paraId="6996898F">
            <w:pPr>
              <w:spacing w:line="360" w:lineRule="auto"/>
              <w:jc w:val="center"/>
              <w:rPr>
                <w:rFonts w:hint="eastAsia" w:ascii="宋体" w:hAnsi="宋体" w:eastAsia="宋体" w:cs="宋体"/>
                <w:color w:val="000000"/>
                <w:position w:val="-34"/>
                <w:sz w:val="21"/>
                <w:szCs w:val="21"/>
              </w:rPr>
            </w:pPr>
            <w:r>
              <w:rPr>
                <w:rFonts w:hint="eastAsia" w:ascii="宋体" w:hAnsi="宋体" w:eastAsia="宋体" w:cs="宋体"/>
                <w:color w:val="000000"/>
                <w:position w:val="-34"/>
                <w:sz w:val="21"/>
                <w:szCs w:val="21"/>
              </w:rPr>
              <w:t>200</w:t>
            </w:r>
          </w:p>
        </w:tc>
      </w:tr>
    </w:tbl>
    <w:p w14:paraId="7A5E6024">
      <w:pPr>
        <w:pStyle w:val="6"/>
        <w:numPr>
          <w:ilvl w:val="0"/>
          <w:numId w:val="0"/>
        </w:numPr>
        <w:ind w:firstLine="482" w:firstLineChars="200"/>
        <w:rPr>
          <w:rFonts w:hint="eastAsia" w:ascii="宋体"/>
          <w:b/>
          <w:bCs/>
          <w:color w:val="auto"/>
          <w:lang w:val="en-US" w:eastAsia="zh-CN"/>
        </w:rPr>
      </w:pPr>
      <w:r>
        <w:rPr>
          <w:rFonts w:hint="eastAsia" w:ascii="宋体"/>
          <w:b/>
          <w:bCs/>
          <w:color w:val="auto"/>
          <w:lang w:val="en-US" w:eastAsia="zh-CN"/>
        </w:rPr>
        <w:t>3.4整定值</w:t>
      </w:r>
    </w:p>
    <w:tbl>
      <w:tblPr>
        <w:tblStyle w:val="15"/>
        <w:tblW w:w="8954" w:type="dxa"/>
        <w:tblInd w:w="9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7" w:type="dxa"/>
          <w:bottom w:w="0" w:type="dxa"/>
          <w:right w:w="107" w:type="dxa"/>
        </w:tblCellMar>
      </w:tblPr>
      <w:tblGrid>
        <w:gridCol w:w="1585"/>
        <w:gridCol w:w="700"/>
        <w:gridCol w:w="26"/>
        <w:gridCol w:w="1586"/>
        <w:gridCol w:w="1166"/>
        <w:gridCol w:w="3891"/>
      </w:tblGrid>
      <w:tr w14:paraId="2F915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3897" w:type="dxa"/>
            <w:gridSpan w:val="4"/>
            <w:vAlign w:val="center"/>
          </w:tcPr>
          <w:p w14:paraId="342DBA3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排汽压力高限报警</w:t>
            </w:r>
          </w:p>
        </w:tc>
        <w:tc>
          <w:tcPr>
            <w:tcW w:w="1166" w:type="dxa"/>
            <w:vAlign w:val="center"/>
          </w:tcPr>
          <w:p w14:paraId="635A41CE">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891" w:type="dxa"/>
            <w:vAlign w:val="center"/>
          </w:tcPr>
          <w:p w14:paraId="251214A4">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-0.084（表）</w:t>
            </w:r>
          </w:p>
        </w:tc>
      </w:tr>
      <w:tr w14:paraId="05FD1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3897" w:type="dxa"/>
            <w:gridSpan w:val="4"/>
            <w:vAlign w:val="center"/>
          </w:tcPr>
          <w:p w14:paraId="61D3EEC7">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排汽安全阀开启压力</w:t>
            </w:r>
          </w:p>
        </w:tc>
        <w:tc>
          <w:tcPr>
            <w:tcW w:w="1166" w:type="dxa"/>
            <w:vAlign w:val="center"/>
          </w:tcPr>
          <w:p w14:paraId="01B006CD">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891" w:type="dxa"/>
            <w:vAlign w:val="center"/>
          </w:tcPr>
          <w:p w14:paraId="43F7A280">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-0.040（表）</w:t>
            </w:r>
          </w:p>
        </w:tc>
      </w:tr>
      <w:tr w14:paraId="54B22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3897" w:type="dxa"/>
            <w:gridSpan w:val="4"/>
            <w:vAlign w:val="center"/>
          </w:tcPr>
          <w:p w14:paraId="3F6CD207">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排汽温度高限报警</w:t>
            </w:r>
          </w:p>
        </w:tc>
        <w:tc>
          <w:tcPr>
            <w:tcW w:w="1166" w:type="dxa"/>
            <w:vAlign w:val="center"/>
          </w:tcPr>
          <w:p w14:paraId="6A30F367">
            <w:pPr>
              <w:spacing w:line="360" w:lineRule="auto"/>
              <w:jc w:val="center"/>
              <w:rPr>
                <w:rFonts w:hint="eastAsia" w:ascii="宋体" w:hAnsi="宋体" w:eastAsia="宋体" w:cs="宋体"/>
                <w:color w:val="000000"/>
                <w:sz w:val="21"/>
                <w:szCs w:val="21"/>
              </w:rPr>
            </w:pPr>
            <w:r>
              <w:rPr>
                <w:rFonts w:hint="eastAsia" w:ascii="宋体" w:hAnsi="宋体" w:eastAsia="宋体" w:cs="宋体"/>
                <w:sz w:val="21"/>
                <w:szCs w:val="21"/>
              </w:rPr>
              <w:t>℃</w:t>
            </w:r>
          </w:p>
        </w:tc>
        <w:tc>
          <w:tcPr>
            <w:tcW w:w="3891" w:type="dxa"/>
            <w:vAlign w:val="center"/>
          </w:tcPr>
          <w:p w14:paraId="48F4CA8C">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80（表）</w:t>
            </w:r>
          </w:p>
        </w:tc>
      </w:tr>
      <w:tr w14:paraId="7A7E2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585" w:type="dxa"/>
            <w:vMerge w:val="restart"/>
            <w:vAlign w:val="center"/>
          </w:tcPr>
          <w:p w14:paraId="5C81C3D9">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润滑油压</w:t>
            </w:r>
          </w:p>
          <w:p w14:paraId="7EBEBD7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降低保护</w:t>
            </w:r>
          </w:p>
        </w:tc>
        <w:tc>
          <w:tcPr>
            <w:tcW w:w="2312" w:type="dxa"/>
            <w:gridSpan w:val="3"/>
            <w:vAlign w:val="center"/>
          </w:tcPr>
          <w:p w14:paraId="6DE28E26">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报 警</w:t>
            </w:r>
          </w:p>
        </w:tc>
        <w:tc>
          <w:tcPr>
            <w:tcW w:w="1166" w:type="dxa"/>
            <w:vAlign w:val="center"/>
          </w:tcPr>
          <w:p w14:paraId="69104576">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891" w:type="dxa"/>
            <w:vAlign w:val="center"/>
          </w:tcPr>
          <w:p w14:paraId="24D3C602">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0.07（表）</w:t>
            </w:r>
          </w:p>
        </w:tc>
      </w:tr>
      <w:tr w14:paraId="3455B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585" w:type="dxa"/>
            <w:vMerge w:val="continue"/>
            <w:vAlign w:val="center"/>
          </w:tcPr>
          <w:p w14:paraId="006CE3DD">
            <w:pPr>
              <w:spacing w:line="360" w:lineRule="auto"/>
              <w:rPr>
                <w:rFonts w:hint="eastAsia" w:ascii="宋体" w:hAnsi="宋体" w:eastAsia="宋体" w:cs="宋体"/>
                <w:color w:val="000000"/>
                <w:sz w:val="21"/>
                <w:szCs w:val="21"/>
              </w:rPr>
            </w:pPr>
          </w:p>
        </w:tc>
        <w:tc>
          <w:tcPr>
            <w:tcW w:w="2312" w:type="dxa"/>
            <w:gridSpan w:val="3"/>
            <w:vAlign w:val="center"/>
          </w:tcPr>
          <w:p w14:paraId="5D24F4D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交流润滑油泵投入</w:t>
            </w:r>
          </w:p>
        </w:tc>
        <w:tc>
          <w:tcPr>
            <w:tcW w:w="1166" w:type="dxa"/>
            <w:vAlign w:val="center"/>
          </w:tcPr>
          <w:p w14:paraId="58119A1C">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891" w:type="dxa"/>
            <w:vAlign w:val="center"/>
          </w:tcPr>
          <w:p w14:paraId="6B9C7403">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0.06（表）</w:t>
            </w:r>
          </w:p>
        </w:tc>
      </w:tr>
      <w:tr w14:paraId="6E3D4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585" w:type="dxa"/>
            <w:vMerge w:val="continue"/>
            <w:vAlign w:val="center"/>
          </w:tcPr>
          <w:p w14:paraId="4C7944B4">
            <w:pPr>
              <w:spacing w:line="360" w:lineRule="auto"/>
              <w:rPr>
                <w:rFonts w:hint="eastAsia" w:ascii="宋体" w:hAnsi="宋体" w:eastAsia="宋体" w:cs="宋体"/>
                <w:color w:val="000000"/>
                <w:sz w:val="21"/>
                <w:szCs w:val="21"/>
              </w:rPr>
            </w:pPr>
          </w:p>
        </w:tc>
        <w:tc>
          <w:tcPr>
            <w:tcW w:w="2312" w:type="dxa"/>
            <w:gridSpan w:val="3"/>
            <w:vAlign w:val="center"/>
          </w:tcPr>
          <w:p w14:paraId="6E0AA4D0">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直流润滑油泵投入</w:t>
            </w:r>
          </w:p>
        </w:tc>
        <w:tc>
          <w:tcPr>
            <w:tcW w:w="1166" w:type="dxa"/>
            <w:vAlign w:val="center"/>
          </w:tcPr>
          <w:p w14:paraId="724F9AC6">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891" w:type="dxa"/>
            <w:vAlign w:val="center"/>
          </w:tcPr>
          <w:p w14:paraId="0A3DE9B3">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0.04（表）</w:t>
            </w:r>
          </w:p>
        </w:tc>
      </w:tr>
      <w:tr w14:paraId="31866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585" w:type="dxa"/>
            <w:vMerge w:val="continue"/>
            <w:vAlign w:val="center"/>
          </w:tcPr>
          <w:p w14:paraId="6B27D6CD">
            <w:pPr>
              <w:spacing w:line="360" w:lineRule="auto"/>
              <w:rPr>
                <w:rFonts w:hint="eastAsia" w:ascii="宋体" w:hAnsi="宋体" w:eastAsia="宋体" w:cs="宋体"/>
                <w:color w:val="000000"/>
                <w:sz w:val="21"/>
                <w:szCs w:val="21"/>
              </w:rPr>
            </w:pPr>
          </w:p>
        </w:tc>
        <w:tc>
          <w:tcPr>
            <w:tcW w:w="2312" w:type="dxa"/>
            <w:gridSpan w:val="3"/>
            <w:vAlign w:val="center"/>
          </w:tcPr>
          <w:p w14:paraId="0AD8A7A9">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停 机</w:t>
            </w:r>
          </w:p>
        </w:tc>
        <w:tc>
          <w:tcPr>
            <w:tcW w:w="1166" w:type="dxa"/>
            <w:vAlign w:val="center"/>
          </w:tcPr>
          <w:p w14:paraId="076DBF79">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891" w:type="dxa"/>
            <w:vAlign w:val="center"/>
          </w:tcPr>
          <w:p w14:paraId="35532488">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0.04（表）</w:t>
            </w:r>
          </w:p>
        </w:tc>
      </w:tr>
      <w:tr w14:paraId="4E0AB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3897" w:type="dxa"/>
            <w:gridSpan w:val="4"/>
            <w:vAlign w:val="center"/>
          </w:tcPr>
          <w:p w14:paraId="0FBBAC77">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高压油压力低启备泵</w:t>
            </w:r>
          </w:p>
        </w:tc>
        <w:tc>
          <w:tcPr>
            <w:tcW w:w="1166" w:type="dxa"/>
            <w:vAlign w:val="center"/>
          </w:tcPr>
          <w:p w14:paraId="6B1BFBA4">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891" w:type="dxa"/>
            <w:vAlign w:val="center"/>
          </w:tcPr>
          <w:p w14:paraId="0A3891A3">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0.48（表）</w:t>
            </w:r>
          </w:p>
        </w:tc>
      </w:tr>
      <w:tr w14:paraId="2B210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3897" w:type="dxa"/>
            <w:gridSpan w:val="4"/>
            <w:vAlign w:val="center"/>
          </w:tcPr>
          <w:p w14:paraId="4C963F1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保安油压力低停机</w:t>
            </w:r>
          </w:p>
        </w:tc>
        <w:tc>
          <w:tcPr>
            <w:tcW w:w="1166" w:type="dxa"/>
            <w:vAlign w:val="center"/>
          </w:tcPr>
          <w:p w14:paraId="758E9859">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891" w:type="dxa"/>
            <w:vAlign w:val="center"/>
          </w:tcPr>
          <w:p w14:paraId="34D264A0">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0.2（表）</w:t>
            </w:r>
          </w:p>
        </w:tc>
      </w:tr>
      <w:tr w14:paraId="28B2E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585" w:type="dxa"/>
            <w:vMerge w:val="restart"/>
            <w:vAlign w:val="center"/>
          </w:tcPr>
          <w:p w14:paraId="01800D60">
            <w:pPr>
              <w:spacing w:line="360" w:lineRule="auto"/>
              <w:rPr>
                <w:rFonts w:hint="eastAsia" w:ascii="宋体" w:hAnsi="宋体" w:eastAsia="宋体" w:cs="宋体"/>
                <w:sz w:val="21"/>
                <w:szCs w:val="21"/>
              </w:rPr>
            </w:pPr>
            <w:r>
              <w:rPr>
                <w:rFonts w:hint="eastAsia" w:ascii="宋体" w:hAnsi="宋体" w:eastAsia="宋体" w:cs="宋体"/>
                <w:sz w:val="21"/>
                <w:szCs w:val="21"/>
              </w:rPr>
              <w:t>轴承温度</w:t>
            </w:r>
          </w:p>
          <w:p w14:paraId="3715912B">
            <w:pPr>
              <w:spacing w:line="360" w:lineRule="auto"/>
              <w:rPr>
                <w:rFonts w:hint="eastAsia" w:ascii="宋体" w:hAnsi="宋体" w:eastAsia="宋体" w:cs="宋体"/>
                <w:sz w:val="21"/>
                <w:szCs w:val="21"/>
              </w:rPr>
            </w:pPr>
            <w:r>
              <w:rPr>
                <w:rFonts w:hint="eastAsia" w:ascii="宋体" w:hAnsi="宋体" w:eastAsia="宋体" w:cs="宋体"/>
                <w:sz w:val="21"/>
                <w:szCs w:val="21"/>
              </w:rPr>
              <w:t>升高保护</w:t>
            </w:r>
          </w:p>
        </w:tc>
        <w:tc>
          <w:tcPr>
            <w:tcW w:w="700" w:type="dxa"/>
            <w:vMerge w:val="restart"/>
            <w:vAlign w:val="center"/>
          </w:tcPr>
          <w:p w14:paraId="1AB3068E">
            <w:pPr>
              <w:spacing w:line="360" w:lineRule="auto"/>
              <w:rPr>
                <w:rFonts w:hint="eastAsia" w:ascii="宋体" w:hAnsi="宋体" w:eastAsia="宋体" w:cs="宋体"/>
                <w:sz w:val="21"/>
                <w:szCs w:val="21"/>
              </w:rPr>
            </w:pPr>
            <w:r>
              <w:rPr>
                <w:rFonts w:hint="eastAsia" w:ascii="宋体" w:hAnsi="宋体" w:eastAsia="宋体" w:cs="宋体"/>
                <w:sz w:val="21"/>
                <w:szCs w:val="21"/>
              </w:rPr>
              <w:t>报 警</w:t>
            </w:r>
          </w:p>
        </w:tc>
        <w:tc>
          <w:tcPr>
            <w:tcW w:w="1612" w:type="dxa"/>
            <w:gridSpan w:val="2"/>
            <w:vAlign w:val="center"/>
          </w:tcPr>
          <w:p w14:paraId="6967A694">
            <w:pPr>
              <w:spacing w:line="360" w:lineRule="auto"/>
              <w:rPr>
                <w:rFonts w:hint="eastAsia" w:ascii="宋体" w:hAnsi="宋体" w:eastAsia="宋体" w:cs="宋体"/>
                <w:sz w:val="21"/>
                <w:szCs w:val="21"/>
              </w:rPr>
            </w:pPr>
            <w:r>
              <w:rPr>
                <w:rFonts w:hint="eastAsia" w:ascii="宋体" w:hAnsi="宋体" w:eastAsia="宋体" w:cs="宋体"/>
                <w:sz w:val="21"/>
                <w:szCs w:val="21"/>
              </w:rPr>
              <w:t>回 油 温 度</w:t>
            </w:r>
          </w:p>
        </w:tc>
        <w:tc>
          <w:tcPr>
            <w:tcW w:w="1166" w:type="dxa"/>
            <w:vAlign w:val="center"/>
          </w:tcPr>
          <w:p w14:paraId="1BC4B96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3891" w:type="dxa"/>
            <w:vAlign w:val="center"/>
          </w:tcPr>
          <w:p w14:paraId="32A7AD5B">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70</w:t>
            </w:r>
          </w:p>
        </w:tc>
      </w:tr>
      <w:tr w14:paraId="07531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585" w:type="dxa"/>
            <w:vMerge w:val="continue"/>
            <w:vAlign w:val="center"/>
          </w:tcPr>
          <w:p w14:paraId="4B47F5CB">
            <w:pPr>
              <w:spacing w:line="360" w:lineRule="auto"/>
              <w:rPr>
                <w:rFonts w:hint="eastAsia" w:ascii="宋体" w:hAnsi="宋体" w:eastAsia="宋体" w:cs="宋体"/>
                <w:color w:val="000000"/>
                <w:sz w:val="21"/>
                <w:szCs w:val="21"/>
              </w:rPr>
            </w:pPr>
          </w:p>
        </w:tc>
        <w:tc>
          <w:tcPr>
            <w:tcW w:w="700" w:type="dxa"/>
            <w:vMerge w:val="continue"/>
            <w:vAlign w:val="center"/>
          </w:tcPr>
          <w:p w14:paraId="16B77E06">
            <w:pPr>
              <w:spacing w:line="360" w:lineRule="auto"/>
              <w:rPr>
                <w:rFonts w:hint="eastAsia" w:ascii="宋体" w:hAnsi="宋体" w:eastAsia="宋体" w:cs="宋体"/>
                <w:color w:val="000000"/>
                <w:sz w:val="21"/>
                <w:szCs w:val="21"/>
              </w:rPr>
            </w:pPr>
          </w:p>
        </w:tc>
        <w:tc>
          <w:tcPr>
            <w:tcW w:w="1612" w:type="dxa"/>
            <w:gridSpan w:val="2"/>
            <w:vAlign w:val="center"/>
          </w:tcPr>
          <w:p w14:paraId="11AF1D1B">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轴 瓦 温 度</w:t>
            </w:r>
          </w:p>
        </w:tc>
        <w:tc>
          <w:tcPr>
            <w:tcW w:w="1166" w:type="dxa"/>
            <w:vAlign w:val="center"/>
          </w:tcPr>
          <w:p w14:paraId="286D424A">
            <w:pPr>
              <w:spacing w:line="360" w:lineRule="auto"/>
              <w:jc w:val="center"/>
              <w:rPr>
                <w:rFonts w:hint="eastAsia" w:ascii="宋体" w:hAnsi="宋体" w:eastAsia="宋体" w:cs="宋体"/>
                <w:color w:val="000000"/>
                <w:sz w:val="21"/>
                <w:szCs w:val="21"/>
              </w:rPr>
            </w:pPr>
            <w:r>
              <w:rPr>
                <w:rFonts w:hint="eastAsia" w:ascii="宋体" w:hAnsi="宋体" w:eastAsia="宋体" w:cs="宋体"/>
                <w:sz w:val="21"/>
                <w:szCs w:val="21"/>
              </w:rPr>
              <w:t>℃</w:t>
            </w:r>
          </w:p>
        </w:tc>
        <w:tc>
          <w:tcPr>
            <w:tcW w:w="3891" w:type="dxa"/>
            <w:vAlign w:val="center"/>
          </w:tcPr>
          <w:p w14:paraId="02235440">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90</w:t>
            </w:r>
          </w:p>
        </w:tc>
      </w:tr>
      <w:tr w14:paraId="4AF6B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585" w:type="dxa"/>
            <w:vMerge w:val="continue"/>
            <w:shd w:val="clear" w:color="auto" w:fill="auto"/>
            <w:vAlign w:val="center"/>
          </w:tcPr>
          <w:p w14:paraId="7277F298">
            <w:pPr>
              <w:spacing w:line="360" w:lineRule="auto"/>
              <w:rPr>
                <w:rFonts w:hint="eastAsia" w:ascii="宋体" w:hAnsi="宋体" w:eastAsia="宋体" w:cs="宋体"/>
                <w:color w:val="000000"/>
                <w:sz w:val="21"/>
                <w:szCs w:val="21"/>
              </w:rPr>
            </w:pPr>
          </w:p>
        </w:tc>
        <w:tc>
          <w:tcPr>
            <w:tcW w:w="700" w:type="dxa"/>
            <w:vMerge w:val="restart"/>
            <w:shd w:val="clear" w:color="auto" w:fill="auto"/>
            <w:vAlign w:val="center"/>
          </w:tcPr>
          <w:p w14:paraId="6FEF3D75">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停 机</w:t>
            </w:r>
          </w:p>
        </w:tc>
        <w:tc>
          <w:tcPr>
            <w:tcW w:w="1612" w:type="dxa"/>
            <w:gridSpan w:val="2"/>
            <w:shd w:val="clear" w:color="auto" w:fill="auto"/>
            <w:vAlign w:val="center"/>
          </w:tcPr>
          <w:p w14:paraId="786CC0E8">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回 油 温 度</w:t>
            </w:r>
          </w:p>
        </w:tc>
        <w:tc>
          <w:tcPr>
            <w:tcW w:w="1166" w:type="dxa"/>
            <w:vAlign w:val="center"/>
          </w:tcPr>
          <w:p w14:paraId="37683C16">
            <w:pPr>
              <w:spacing w:line="360" w:lineRule="auto"/>
              <w:jc w:val="center"/>
              <w:rPr>
                <w:rFonts w:hint="eastAsia" w:ascii="宋体" w:hAnsi="宋体" w:eastAsia="宋体" w:cs="宋体"/>
                <w:color w:val="000000"/>
                <w:sz w:val="21"/>
                <w:szCs w:val="21"/>
              </w:rPr>
            </w:pPr>
            <w:r>
              <w:rPr>
                <w:rFonts w:hint="eastAsia" w:ascii="宋体" w:hAnsi="宋体" w:eastAsia="宋体" w:cs="宋体"/>
                <w:sz w:val="21"/>
                <w:szCs w:val="21"/>
              </w:rPr>
              <w:t>℃</w:t>
            </w:r>
          </w:p>
        </w:tc>
        <w:tc>
          <w:tcPr>
            <w:tcW w:w="3891" w:type="dxa"/>
            <w:vAlign w:val="center"/>
          </w:tcPr>
          <w:p w14:paraId="2EBF9DBF">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75</w:t>
            </w:r>
          </w:p>
        </w:tc>
      </w:tr>
      <w:tr w14:paraId="49242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585" w:type="dxa"/>
            <w:vMerge w:val="continue"/>
            <w:shd w:val="clear" w:color="auto" w:fill="auto"/>
            <w:vAlign w:val="center"/>
          </w:tcPr>
          <w:p w14:paraId="16A007F9">
            <w:pPr>
              <w:spacing w:line="360" w:lineRule="auto"/>
              <w:rPr>
                <w:rFonts w:hint="eastAsia" w:ascii="宋体" w:hAnsi="宋体" w:eastAsia="宋体" w:cs="宋体"/>
                <w:color w:val="000000"/>
                <w:sz w:val="21"/>
                <w:szCs w:val="21"/>
              </w:rPr>
            </w:pPr>
          </w:p>
        </w:tc>
        <w:tc>
          <w:tcPr>
            <w:tcW w:w="700" w:type="dxa"/>
            <w:vMerge w:val="continue"/>
            <w:shd w:val="clear" w:color="auto" w:fill="auto"/>
            <w:vAlign w:val="center"/>
          </w:tcPr>
          <w:p w14:paraId="6F042762">
            <w:pPr>
              <w:spacing w:line="360" w:lineRule="auto"/>
              <w:rPr>
                <w:rFonts w:hint="eastAsia" w:ascii="宋体" w:hAnsi="宋体" w:eastAsia="宋体" w:cs="宋体"/>
                <w:color w:val="000000"/>
                <w:sz w:val="21"/>
                <w:szCs w:val="21"/>
              </w:rPr>
            </w:pPr>
          </w:p>
        </w:tc>
        <w:tc>
          <w:tcPr>
            <w:tcW w:w="1612" w:type="dxa"/>
            <w:gridSpan w:val="2"/>
            <w:shd w:val="clear" w:color="auto" w:fill="auto"/>
            <w:vAlign w:val="center"/>
          </w:tcPr>
          <w:p w14:paraId="5CCD43B9">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轴 瓦 温 度</w:t>
            </w:r>
          </w:p>
        </w:tc>
        <w:tc>
          <w:tcPr>
            <w:tcW w:w="1166" w:type="dxa"/>
            <w:vAlign w:val="center"/>
          </w:tcPr>
          <w:p w14:paraId="7D9C9C2B">
            <w:pPr>
              <w:spacing w:line="360" w:lineRule="auto"/>
              <w:jc w:val="center"/>
              <w:rPr>
                <w:rFonts w:hint="eastAsia" w:ascii="宋体" w:hAnsi="宋体" w:eastAsia="宋体" w:cs="宋体"/>
                <w:color w:val="000000"/>
                <w:sz w:val="21"/>
                <w:szCs w:val="21"/>
              </w:rPr>
            </w:pPr>
            <w:r>
              <w:rPr>
                <w:rFonts w:hint="eastAsia" w:ascii="宋体" w:hAnsi="宋体" w:eastAsia="宋体" w:cs="宋体"/>
                <w:sz w:val="21"/>
                <w:szCs w:val="21"/>
              </w:rPr>
              <w:t>℃</w:t>
            </w:r>
          </w:p>
        </w:tc>
        <w:tc>
          <w:tcPr>
            <w:tcW w:w="3891" w:type="dxa"/>
            <w:vAlign w:val="center"/>
          </w:tcPr>
          <w:p w14:paraId="520D2AE5">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r>
      <w:tr w14:paraId="0BA99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585" w:type="dxa"/>
            <w:vMerge w:val="restart"/>
            <w:shd w:val="clear" w:color="auto" w:fill="auto"/>
            <w:vAlign w:val="center"/>
          </w:tcPr>
          <w:p w14:paraId="1E776325">
            <w:pPr>
              <w:spacing w:line="360" w:lineRule="auto"/>
              <w:rPr>
                <w:rFonts w:hint="eastAsia" w:ascii="宋体" w:hAnsi="宋体" w:eastAsia="宋体" w:cs="宋体"/>
                <w:sz w:val="21"/>
                <w:szCs w:val="21"/>
              </w:rPr>
            </w:pPr>
            <w:r>
              <w:rPr>
                <w:rFonts w:hint="eastAsia" w:ascii="宋体" w:hAnsi="宋体" w:eastAsia="宋体" w:cs="宋体"/>
                <w:sz w:val="21"/>
                <w:szCs w:val="21"/>
              </w:rPr>
              <w:t>轴瓦振动</w:t>
            </w:r>
          </w:p>
        </w:tc>
        <w:tc>
          <w:tcPr>
            <w:tcW w:w="726" w:type="dxa"/>
            <w:gridSpan w:val="2"/>
            <w:shd w:val="clear" w:color="auto" w:fill="auto"/>
            <w:vAlign w:val="center"/>
          </w:tcPr>
          <w:p w14:paraId="20696096">
            <w:pPr>
              <w:spacing w:line="360" w:lineRule="auto"/>
              <w:rPr>
                <w:rFonts w:hint="eastAsia" w:ascii="宋体" w:hAnsi="宋体" w:eastAsia="宋体" w:cs="宋体"/>
                <w:sz w:val="21"/>
                <w:szCs w:val="21"/>
              </w:rPr>
            </w:pPr>
            <w:r>
              <w:rPr>
                <w:rFonts w:hint="eastAsia" w:ascii="宋体" w:hAnsi="宋体" w:eastAsia="宋体" w:cs="宋体"/>
                <w:sz w:val="21"/>
                <w:szCs w:val="21"/>
              </w:rPr>
              <w:t>报警</w:t>
            </w:r>
          </w:p>
        </w:tc>
        <w:tc>
          <w:tcPr>
            <w:tcW w:w="1586" w:type="dxa"/>
            <w:shd w:val="clear" w:color="auto" w:fill="auto"/>
            <w:vAlign w:val="center"/>
          </w:tcPr>
          <w:p w14:paraId="67B176D7">
            <w:pPr>
              <w:spacing w:line="360" w:lineRule="auto"/>
              <w:rPr>
                <w:rFonts w:hint="eastAsia" w:ascii="宋体" w:hAnsi="宋体" w:eastAsia="宋体" w:cs="宋体"/>
                <w:sz w:val="21"/>
                <w:szCs w:val="21"/>
              </w:rPr>
            </w:pPr>
            <w:r>
              <w:rPr>
                <w:rFonts w:hint="eastAsia" w:ascii="宋体" w:hAnsi="宋体" w:eastAsia="宋体" w:cs="宋体"/>
                <w:sz w:val="21"/>
                <w:szCs w:val="21"/>
              </w:rPr>
              <w:t>轴 瓦 振 动</w:t>
            </w:r>
          </w:p>
        </w:tc>
        <w:tc>
          <w:tcPr>
            <w:tcW w:w="1166" w:type="dxa"/>
            <w:vAlign w:val="center"/>
          </w:tcPr>
          <w:p w14:paraId="098AFE4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μm</w:t>
            </w:r>
          </w:p>
        </w:tc>
        <w:tc>
          <w:tcPr>
            <w:tcW w:w="3891" w:type="dxa"/>
            <w:vAlign w:val="center"/>
          </w:tcPr>
          <w:p w14:paraId="3137ADE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r>
      <w:tr w14:paraId="38B25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585" w:type="dxa"/>
            <w:vMerge w:val="continue"/>
            <w:shd w:val="clear" w:color="auto" w:fill="auto"/>
            <w:vAlign w:val="center"/>
          </w:tcPr>
          <w:p w14:paraId="7E688757">
            <w:pPr>
              <w:spacing w:line="360" w:lineRule="auto"/>
              <w:rPr>
                <w:rFonts w:hint="eastAsia" w:ascii="宋体" w:hAnsi="宋体" w:eastAsia="宋体" w:cs="宋体"/>
                <w:color w:val="000000"/>
                <w:sz w:val="21"/>
                <w:szCs w:val="21"/>
              </w:rPr>
            </w:pPr>
          </w:p>
        </w:tc>
        <w:tc>
          <w:tcPr>
            <w:tcW w:w="726" w:type="dxa"/>
            <w:gridSpan w:val="2"/>
            <w:shd w:val="clear" w:color="auto" w:fill="auto"/>
            <w:vAlign w:val="center"/>
          </w:tcPr>
          <w:p w14:paraId="2C715A72">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停机</w:t>
            </w:r>
          </w:p>
        </w:tc>
        <w:tc>
          <w:tcPr>
            <w:tcW w:w="1586" w:type="dxa"/>
            <w:shd w:val="clear" w:color="auto" w:fill="auto"/>
            <w:vAlign w:val="center"/>
          </w:tcPr>
          <w:p w14:paraId="733599D6">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轴 瓦 振 动</w:t>
            </w:r>
          </w:p>
        </w:tc>
        <w:tc>
          <w:tcPr>
            <w:tcW w:w="1166" w:type="dxa"/>
            <w:vAlign w:val="center"/>
          </w:tcPr>
          <w:p w14:paraId="73B6495C">
            <w:pPr>
              <w:spacing w:line="360" w:lineRule="auto"/>
              <w:jc w:val="center"/>
              <w:rPr>
                <w:rFonts w:hint="eastAsia" w:ascii="宋体" w:hAnsi="宋体" w:eastAsia="宋体" w:cs="宋体"/>
                <w:color w:val="000000"/>
                <w:sz w:val="21"/>
                <w:szCs w:val="21"/>
              </w:rPr>
            </w:pPr>
            <w:r>
              <w:rPr>
                <w:rFonts w:hint="eastAsia" w:ascii="宋体" w:hAnsi="宋体" w:eastAsia="宋体" w:cs="宋体"/>
                <w:sz w:val="21"/>
                <w:szCs w:val="21"/>
              </w:rPr>
              <w:t>μm</w:t>
            </w:r>
          </w:p>
        </w:tc>
        <w:tc>
          <w:tcPr>
            <w:tcW w:w="3891" w:type="dxa"/>
            <w:vAlign w:val="center"/>
          </w:tcPr>
          <w:p w14:paraId="1195AE6E">
            <w:pPr>
              <w:spacing w:line="360" w:lineRule="auto"/>
              <w:jc w:val="center"/>
              <w:rPr>
                <w:rFonts w:hint="eastAsia" w:ascii="宋体" w:hAnsi="宋体" w:eastAsia="宋体" w:cs="宋体"/>
                <w:color w:val="000000"/>
                <w:sz w:val="21"/>
                <w:szCs w:val="21"/>
              </w:rPr>
            </w:pPr>
            <w:r>
              <w:rPr>
                <w:rFonts w:hint="eastAsia" w:ascii="宋体" w:hAnsi="宋体" w:eastAsia="宋体" w:cs="宋体"/>
                <w:sz w:val="21"/>
                <w:szCs w:val="21"/>
              </w:rPr>
              <w:t>70</w:t>
            </w:r>
          </w:p>
        </w:tc>
      </w:tr>
      <w:tr w14:paraId="0C1F4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585" w:type="dxa"/>
            <w:vMerge w:val="restart"/>
            <w:shd w:val="clear" w:color="auto" w:fill="auto"/>
            <w:vAlign w:val="center"/>
          </w:tcPr>
          <w:p w14:paraId="151F09F2">
            <w:pPr>
              <w:spacing w:line="360" w:lineRule="auto"/>
              <w:rPr>
                <w:rFonts w:hint="eastAsia" w:ascii="宋体" w:hAnsi="宋体" w:eastAsia="宋体" w:cs="宋体"/>
                <w:sz w:val="21"/>
                <w:szCs w:val="21"/>
              </w:rPr>
            </w:pPr>
            <w:r>
              <w:rPr>
                <w:rFonts w:hint="eastAsia" w:ascii="宋体" w:hAnsi="宋体" w:eastAsia="宋体" w:cs="宋体"/>
                <w:sz w:val="21"/>
                <w:szCs w:val="21"/>
              </w:rPr>
              <w:t>轴向位移</w:t>
            </w:r>
          </w:p>
        </w:tc>
        <w:tc>
          <w:tcPr>
            <w:tcW w:w="726" w:type="dxa"/>
            <w:gridSpan w:val="2"/>
            <w:shd w:val="clear" w:color="auto" w:fill="auto"/>
            <w:vAlign w:val="center"/>
          </w:tcPr>
          <w:p w14:paraId="73C692FC">
            <w:pPr>
              <w:spacing w:line="360" w:lineRule="auto"/>
              <w:rPr>
                <w:rFonts w:hint="eastAsia" w:ascii="宋体" w:hAnsi="宋体" w:eastAsia="宋体" w:cs="宋体"/>
                <w:sz w:val="21"/>
                <w:szCs w:val="21"/>
              </w:rPr>
            </w:pPr>
            <w:r>
              <w:rPr>
                <w:rFonts w:hint="eastAsia" w:ascii="宋体" w:hAnsi="宋体" w:eastAsia="宋体" w:cs="宋体"/>
                <w:sz w:val="21"/>
                <w:szCs w:val="21"/>
              </w:rPr>
              <w:t>报警</w:t>
            </w:r>
          </w:p>
        </w:tc>
        <w:tc>
          <w:tcPr>
            <w:tcW w:w="1586" w:type="dxa"/>
            <w:shd w:val="clear" w:color="auto" w:fill="auto"/>
            <w:vAlign w:val="center"/>
          </w:tcPr>
          <w:p w14:paraId="59A162C3">
            <w:pPr>
              <w:spacing w:line="360" w:lineRule="auto"/>
              <w:rPr>
                <w:rFonts w:hint="eastAsia" w:ascii="宋体" w:hAnsi="宋体" w:eastAsia="宋体" w:cs="宋体"/>
                <w:sz w:val="21"/>
                <w:szCs w:val="21"/>
              </w:rPr>
            </w:pPr>
            <w:r>
              <w:rPr>
                <w:rFonts w:hint="eastAsia" w:ascii="宋体" w:hAnsi="宋体" w:eastAsia="宋体" w:cs="宋体"/>
                <w:sz w:val="21"/>
                <w:szCs w:val="21"/>
              </w:rPr>
              <w:t>轴 向 位 移</w:t>
            </w:r>
          </w:p>
        </w:tc>
        <w:tc>
          <w:tcPr>
            <w:tcW w:w="1166" w:type="dxa"/>
            <w:vAlign w:val="center"/>
          </w:tcPr>
          <w:p w14:paraId="7198CB1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mm</w:t>
            </w:r>
          </w:p>
        </w:tc>
        <w:tc>
          <w:tcPr>
            <w:tcW w:w="3891" w:type="dxa"/>
            <w:vAlign w:val="center"/>
          </w:tcPr>
          <w:p w14:paraId="74F24B6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0.5</w:t>
            </w:r>
          </w:p>
        </w:tc>
      </w:tr>
      <w:tr w14:paraId="03758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585" w:type="dxa"/>
            <w:vMerge w:val="continue"/>
            <w:shd w:val="clear" w:color="auto" w:fill="auto"/>
            <w:vAlign w:val="center"/>
          </w:tcPr>
          <w:p w14:paraId="00F360A5">
            <w:pPr>
              <w:spacing w:line="360" w:lineRule="auto"/>
              <w:rPr>
                <w:rFonts w:hint="eastAsia" w:ascii="宋体" w:hAnsi="宋体" w:eastAsia="宋体" w:cs="宋体"/>
                <w:color w:val="000000"/>
                <w:sz w:val="21"/>
                <w:szCs w:val="21"/>
              </w:rPr>
            </w:pPr>
          </w:p>
        </w:tc>
        <w:tc>
          <w:tcPr>
            <w:tcW w:w="726" w:type="dxa"/>
            <w:gridSpan w:val="2"/>
            <w:shd w:val="clear" w:color="auto" w:fill="auto"/>
            <w:vAlign w:val="center"/>
          </w:tcPr>
          <w:p w14:paraId="178F3932">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停机</w:t>
            </w:r>
          </w:p>
        </w:tc>
        <w:tc>
          <w:tcPr>
            <w:tcW w:w="1586" w:type="dxa"/>
            <w:shd w:val="clear" w:color="auto" w:fill="auto"/>
            <w:vAlign w:val="center"/>
          </w:tcPr>
          <w:p w14:paraId="78A65DF9">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轴 向 位 移</w:t>
            </w:r>
          </w:p>
        </w:tc>
        <w:tc>
          <w:tcPr>
            <w:tcW w:w="1166" w:type="dxa"/>
            <w:vAlign w:val="center"/>
          </w:tcPr>
          <w:p w14:paraId="26F33B89">
            <w:pPr>
              <w:spacing w:line="360" w:lineRule="auto"/>
              <w:jc w:val="center"/>
              <w:rPr>
                <w:rFonts w:hint="eastAsia" w:ascii="宋体" w:hAnsi="宋体" w:eastAsia="宋体" w:cs="宋体"/>
                <w:color w:val="000000"/>
                <w:sz w:val="21"/>
                <w:szCs w:val="21"/>
              </w:rPr>
            </w:pPr>
            <w:r>
              <w:rPr>
                <w:rFonts w:hint="eastAsia" w:ascii="宋体" w:hAnsi="宋体" w:eastAsia="宋体" w:cs="宋体"/>
                <w:sz w:val="21"/>
                <w:szCs w:val="21"/>
              </w:rPr>
              <w:t>mm</w:t>
            </w:r>
          </w:p>
        </w:tc>
        <w:tc>
          <w:tcPr>
            <w:tcW w:w="3891" w:type="dxa"/>
            <w:vAlign w:val="center"/>
          </w:tcPr>
          <w:p w14:paraId="371BB1D0">
            <w:pPr>
              <w:spacing w:line="360" w:lineRule="auto"/>
              <w:jc w:val="center"/>
              <w:rPr>
                <w:rFonts w:hint="eastAsia" w:ascii="宋体" w:hAnsi="宋体" w:eastAsia="宋体" w:cs="宋体"/>
                <w:color w:val="000000"/>
                <w:sz w:val="21"/>
                <w:szCs w:val="21"/>
              </w:rPr>
            </w:pPr>
            <w:r>
              <w:rPr>
                <w:rFonts w:hint="eastAsia" w:ascii="宋体" w:hAnsi="宋体" w:eastAsia="宋体" w:cs="宋体"/>
                <w:sz w:val="21"/>
                <w:szCs w:val="21"/>
              </w:rPr>
              <w:t>0.7</w:t>
            </w:r>
          </w:p>
        </w:tc>
      </w:tr>
    </w:tbl>
    <w:p w14:paraId="05E55B6D">
      <w:pPr>
        <w:pStyle w:val="8"/>
        <w:ind w:left="0" w:leftChars="0" w:firstLine="0" w:firstLineChars="0"/>
        <w:rPr>
          <w:rFonts w:hint="default"/>
          <w:lang w:val="en-US" w:eastAsia="zh-CN"/>
        </w:rPr>
      </w:pPr>
    </w:p>
    <w:p w14:paraId="60335F9C">
      <w:pPr>
        <w:pStyle w:val="6"/>
        <w:numPr>
          <w:ilvl w:val="0"/>
          <w:numId w:val="0"/>
        </w:numPr>
        <w:ind w:firstLine="482" w:firstLineChars="200"/>
        <w:rPr>
          <w:rFonts w:hint="eastAsia" w:ascii="宋体"/>
          <w:b/>
          <w:bCs/>
          <w:color w:val="auto"/>
          <w:lang w:val="en-US" w:eastAsia="zh-CN"/>
        </w:rPr>
      </w:pPr>
      <w:bookmarkStart w:id="19" w:name="_Toc27129"/>
      <w:r>
        <w:rPr>
          <w:rFonts w:hint="eastAsia" w:ascii="宋体"/>
          <w:b/>
          <w:bCs/>
          <w:color w:val="auto"/>
          <w:lang w:val="en-US" w:eastAsia="zh-CN"/>
        </w:rPr>
        <w:t>3.5主要辅助设备</w:t>
      </w:r>
      <w:bookmarkEnd w:id="19"/>
    </w:p>
    <w:tbl>
      <w:tblPr>
        <w:tblStyle w:val="15"/>
        <w:tblW w:w="846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7" w:type="dxa"/>
          <w:bottom w:w="0" w:type="dxa"/>
          <w:right w:w="107" w:type="dxa"/>
        </w:tblCellMar>
      </w:tblPr>
      <w:tblGrid>
        <w:gridCol w:w="1988"/>
        <w:gridCol w:w="1254"/>
        <w:gridCol w:w="1081"/>
        <w:gridCol w:w="1107"/>
        <w:gridCol w:w="3031"/>
      </w:tblGrid>
      <w:tr w14:paraId="5E23D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14:paraId="32CD6153">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xml:space="preserve"> 交流油泵</w:t>
            </w:r>
          </w:p>
        </w:tc>
        <w:tc>
          <w:tcPr>
            <w:tcW w:w="2335" w:type="dxa"/>
            <w:gridSpan w:val="2"/>
            <w:vAlign w:val="center"/>
          </w:tcPr>
          <w:p w14:paraId="181BDE2C">
            <w:pPr>
              <w:spacing w:line="360" w:lineRule="auto"/>
              <w:rPr>
                <w:rFonts w:hint="eastAsia" w:ascii="宋体" w:hAnsi="宋体" w:eastAsia="宋体" w:cs="宋体"/>
                <w:color w:val="000000"/>
                <w:szCs w:val="21"/>
              </w:rPr>
            </w:pPr>
            <w:r>
              <w:rPr>
                <w:rFonts w:hint="eastAsia" w:ascii="宋体" w:hAnsi="宋体" w:eastAsia="宋体" w:cs="宋体"/>
                <w:color w:val="000000"/>
                <w:szCs w:val="21"/>
              </w:rPr>
              <w:t>型  号</w:t>
            </w:r>
          </w:p>
        </w:tc>
        <w:tc>
          <w:tcPr>
            <w:tcW w:w="1107" w:type="dxa"/>
            <w:vAlign w:val="center"/>
          </w:tcPr>
          <w:p w14:paraId="6A28DFAA">
            <w:pPr>
              <w:spacing w:line="360" w:lineRule="auto"/>
              <w:jc w:val="center"/>
              <w:rPr>
                <w:rFonts w:hint="eastAsia" w:ascii="宋体" w:hAnsi="宋体" w:eastAsia="宋体" w:cs="宋体"/>
                <w:color w:val="000000"/>
                <w:szCs w:val="21"/>
              </w:rPr>
            </w:pPr>
          </w:p>
        </w:tc>
        <w:tc>
          <w:tcPr>
            <w:tcW w:w="3031" w:type="dxa"/>
            <w:vAlign w:val="center"/>
          </w:tcPr>
          <w:p w14:paraId="5AC4D93F">
            <w:pPr>
              <w:spacing w:line="360" w:lineRule="auto"/>
              <w:jc w:val="center"/>
              <w:rPr>
                <w:rFonts w:hint="eastAsia" w:ascii="宋体" w:hAnsi="宋体" w:eastAsia="宋体" w:cs="宋体"/>
                <w:color w:val="000000"/>
                <w:szCs w:val="21"/>
              </w:rPr>
            </w:pPr>
          </w:p>
        </w:tc>
      </w:tr>
      <w:tr w14:paraId="608FB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2D3B01C0">
            <w:pPr>
              <w:spacing w:line="360" w:lineRule="auto"/>
              <w:jc w:val="center"/>
              <w:rPr>
                <w:rFonts w:hint="eastAsia" w:ascii="宋体" w:hAnsi="宋体" w:eastAsia="宋体" w:cs="宋体"/>
                <w:color w:val="000000"/>
                <w:szCs w:val="21"/>
              </w:rPr>
            </w:pPr>
          </w:p>
        </w:tc>
        <w:tc>
          <w:tcPr>
            <w:tcW w:w="2335" w:type="dxa"/>
            <w:gridSpan w:val="2"/>
            <w:vAlign w:val="center"/>
          </w:tcPr>
          <w:p w14:paraId="6F91425D">
            <w:pPr>
              <w:spacing w:line="360" w:lineRule="auto"/>
              <w:rPr>
                <w:rFonts w:hint="eastAsia" w:ascii="宋体" w:hAnsi="宋体" w:eastAsia="宋体" w:cs="宋体"/>
                <w:color w:val="000000"/>
                <w:szCs w:val="21"/>
              </w:rPr>
            </w:pPr>
            <w:r>
              <w:rPr>
                <w:rFonts w:hint="eastAsia" w:ascii="宋体" w:hAnsi="宋体" w:eastAsia="宋体" w:cs="宋体"/>
                <w:color w:val="000000"/>
                <w:szCs w:val="21"/>
              </w:rPr>
              <w:t>数  量</w:t>
            </w:r>
          </w:p>
        </w:tc>
        <w:tc>
          <w:tcPr>
            <w:tcW w:w="1107" w:type="dxa"/>
            <w:vAlign w:val="center"/>
          </w:tcPr>
          <w:p w14:paraId="3A459DB6">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台</w:t>
            </w:r>
          </w:p>
        </w:tc>
        <w:tc>
          <w:tcPr>
            <w:tcW w:w="3031" w:type="dxa"/>
            <w:vAlign w:val="center"/>
          </w:tcPr>
          <w:p w14:paraId="2195CA6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w:t>
            </w:r>
          </w:p>
        </w:tc>
      </w:tr>
      <w:tr w14:paraId="72966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28EA21AF">
            <w:pPr>
              <w:spacing w:line="360" w:lineRule="auto"/>
              <w:jc w:val="center"/>
              <w:rPr>
                <w:rFonts w:hint="eastAsia" w:ascii="宋体" w:hAnsi="宋体" w:eastAsia="宋体" w:cs="宋体"/>
                <w:color w:val="000000"/>
                <w:szCs w:val="21"/>
              </w:rPr>
            </w:pPr>
          </w:p>
        </w:tc>
        <w:tc>
          <w:tcPr>
            <w:tcW w:w="2335" w:type="dxa"/>
            <w:gridSpan w:val="2"/>
            <w:vAlign w:val="center"/>
          </w:tcPr>
          <w:p w14:paraId="2168E8ED">
            <w:pPr>
              <w:spacing w:line="360" w:lineRule="auto"/>
              <w:rPr>
                <w:rFonts w:hint="eastAsia" w:ascii="宋体" w:hAnsi="宋体" w:eastAsia="宋体" w:cs="宋体"/>
                <w:color w:val="000000"/>
                <w:szCs w:val="21"/>
              </w:rPr>
            </w:pPr>
            <w:r>
              <w:rPr>
                <w:rFonts w:hint="eastAsia" w:ascii="宋体" w:hAnsi="宋体" w:eastAsia="宋体" w:cs="宋体"/>
                <w:color w:val="000000"/>
                <w:szCs w:val="21"/>
              </w:rPr>
              <w:t>流  量</w:t>
            </w:r>
          </w:p>
        </w:tc>
        <w:tc>
          <w:tcPr>
            <w:tcW w:w="1107" w:type="dxa"/>
            <w:vAlign w:val="center"/>
          </w:tcPr>
          <w:p w14:paraId="56404BA4">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L/h</w:t>
            </w:r>
          </w:p>
        </w:tc>
        <w:tc>
          <w:tcPr>
            <w:tcW w:w="3031" w:type="dxa"/>
            <w:vAlign w:val="center"/>
          </w:tcPr>
          <w:p w14:paraId="54AA8B3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200</w:t>
            </w:r>
          </w:p>
        </w:tc>
      </w:tr>
      <w:tr w14:paraId="58C51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3DE70676">
            <w:pPr>
              <w:spacing w:line="360" w:lineRule="auto"/>
              <w:jc w:val="center"/>
              <w:rPr>
                <w:rFonts w:hint="eastAsia" w:ascii="宋体" w:hAnsi="宋体" w:eastAsia="宋体" w:cs="宋体"/>
                <w:color w:val="000000"/>
                <w:szCs w:val="21"/>
              </w:rPr>
            </w:pPr>
          </w:p>
        </w:tc>
        <w:tc>
          <w:tcPr>
            <w:tcW w:w="2335" w:type="dxa"/>
            <w:gridSpan w:val="2"/>
            <w:vAlign w:val="center"/>
          </w:tcPr>
          <w:p w14:paraId="22272E6A">
            <w:pPr>
              <w:spacing w:line="360" w:lineRule="auto"/>
              <w:rPr>
                <w:rFonts w:hint="eastAsia" w:ascii="宋体" w:hAnsi="宋体" w:eastAsia="宋体" w:cs="宋体"/>
                <w:color w:val="000000"/>
                <w:szCs w:val="21"/>
              </w:rPr>
            </w:pPr>
            <w:r>
              <w:rPr>
                <w:rFonts w:hint="eastAsia" w:ascii="宋体" w:hAnsi="宋体" w:eastAsia="宋体" w:cs="宋体"/>
                <w:color w:val="000000"/>
                <w:szCs w:val="21"/>
              </w:rPr>
              <w:t>压  力</w:t>
            </w:r>
          </w:p>
        </w:tc>
        <w:tc>
          <w:tcPr>
            <w:tcW w:w="1107" w:type="dxa"/>
            <w:vAlign w:val="center"/>
          </w:tcPr>
          <w:p w14:paraId="06AF2A1D">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Mpa</w:t>
            </w:r>
          </w:p>
        </w:tc>
        <w:tc>
          <w:tcPr>
            <w:tcW w:w="3031" w:type="dxa"/>
            <w:vAlign w:val="center"/>
          </w:tcPr>
          <w:p w14:paraId="732D2C0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0.6</w:t>
            </w:r>
          </w:p>
        </w:tc>
      </w:tr>
      <w:tr w14:paraId="37C13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28700B89">
            <w:pPr>
              <w:spacing w:line="360" w:lineRule="auto"/>
              <w:jc w:val="center"/>
              <w:rPr>
                <w:rFonts w:hint="eastAsia" w:ascii="宋体" w:hAnsi="宋体" w:eastAsia="宋体" w:cs="宋体"/>
                <w:color w:val="000000"/>
                <w:szCs w:val="21"/>
              </w:rPr>
            </w:pPr>
          </w:p>
        </w:tc>
        <w:tc>
          <w:tcPr>
            <w:tcW w:w="1254" w:type="dxa"/>
            <w:vMerge w:val="restart"/>
            <w:vAlign w:val="center"/>
          </w:tcPr>
          <w:p w14:paraId="15F01EB0">
            <w:pPr>
              <w:spacing w:line="360" w:lineRule="auto"/>
              <w:rPr>
                <w:rFonts w:hint="eastAsia" w:ascii="宋体" w:hAnsi="宋体" w:eastAsia="宋体" w:cs="宋体"/>
                <w:color w:val="000000"/>
                <w:szCs w:val="21"/>
              </w:rPr>
            </w:pPr>
            <w:r>
              <w:rPr>
                <w:rFonts w:hint="eastAsia" w:ascii="宋体" w:hAnsi="宋体" w:eastAsia="宋体" w:cs="宋体"/>
                <w:color w:val="000000"/>
                <w:szCs w:val="21"/>
              </w:rPr>
              <w:t>电  机</w:t>
            </w:r>
          </w:p>
        </w:tc>
        <w:tc>
          <w:tcPr>
            <w:tcW w:w="1081" w:type="dxa"/>
            <w:vAlign w:val="center"/>
          </w:tcPr>
          <w:p w14:paraId="308333CA">
            <w:pPr>
              <w:spacing w:line="360" w:lineRule="auto"/>
              <w:rPr>
                <w:rFonts w:hint="eastAsia" w:ascii="宋体" w:hAnsi="宋体" w:eastAsia="宋体" w:cs="宋体"/>
                <w:color w:val="000000"/>
                <w:szCs w:val="21"/>
              </w:rPr>
            </w:pPr>
            <w:r>
              <w:rPr>
                <w:rFonts w:hint="eastAsia" w:ascii="宋体" w:hAnsi="宋体" w:eastAsia="宋体" w:cs="宋体"/>
                <w:color w:val="000000"/>
                <w:szCs w:val="21"/>
              </w:rPr>
              <w:t>功  率</w:t>
            </w:r>
          </w:p>
        </w:tc>
        <w:tc>
          <w:tcPr>
            <w:tcW w:w="1107" w:type="dxa"/>
            <w:vAlign w:val="center"/>
          </w:tcPr>
          <w:p w14:paraId="25D0C66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KW</w:t>
            </w:r>
          </w:p>
        </w:tc>
        <w:tc>
          <w:tcPr>
            <w:tcW w:w="3031" w:type="dxa"/>
            <w:vAlign w:val="center"/>
          </w:tcPr>
          <w:p w14:paraId="51E05E2E">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5.5</w:t>
            </w:r>
          </w:p>
        </w:tc>
      </w:tr>
      <w:tr w14:paraId="58D1A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2F25BF75">
            <w:pPr>
              <w:spacing w:line="360" w:lineRule="auto"/>
              <w:jc w:val="center"/>
              <w:rPr>
                <w:rFonts w:hint="eastAsia" w:ascii="宋体" w:hAnsi="宋体" w:eastAsia="宋体" w:cs="宋体"/>
                <w:color w:val="000000"/>
                <w:szCs w:val="21"/>
              </w:rPr>
            </w:pPr>
          </w:p>
        </w:tc>
        <w:tc>
          <w:tcPr>
            <w:tcW w:w="1254" w:type="dxa"/>
            <w:vMerge w:val="continue"/>
            <w:vAlign w:val="center"/>
          </w:tcPr>
          <w:p w14:paraId="29AC071A">
            <w:pPr>
              <w:spacing w:line="360" w:lineRule="auto"/>
              <w:rPr>
                <w:rFonts w:hint="eastAsia" w:ascii="宋体" w:hAnsi="宋体" w:eastAsia="宋体" w:cs="宋体"/>
                <w:color w:val="000000"/>
                <w:szCs w:val="21"/>
              </w:rPr>
            </w:pPr>
          </w:p>
        </w:tc>
        <w:tc>
          <w:tcPr>
            <w:tcW w:w="1081" w:type="dxa"/>
            <w:vAlign w:val="center"/>
          </w:tcPr>
          <w:p w14:paraId="3BB56F0C">
            <w:pPr>
              <w:spacing w:line="360" w:lineRule="auto"/>
              <w:rPr>
                <w:rFonts w:hint="eastAsia" w:ascii="宋体" w:hAnsi="宋体" w:eastAsia="宋体" w:cs="宋体"/>
                <w:color w:val="000000"/>
                <w:szCs w:val="21"/>
              </w:rPr>
            </w:pPr>
            <w:r>
              <w:rPr>
                <w:rFonts w:hint="eastAsia" w:ascii="宋体" w:hAnsi="宋体" w:eastAsia="宋体" w:cs="宋体"/>
                <w:color w:val="000000"/>
                <w:szCs w:val="21"/>
              </w:rPr>
              <w:t>电  压</w:t>
            </w:r>
          </w:p>
        </w:tc>
        <w:tc>
          <w:tcPr>
            <w:tcW w:w="1107" w:type="dxa"/>
            <w:vAlign w:val="center"/>
          </w:tcPr>
          <w:p w14:paraId="0665F80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V</w:t>
            </w:r>
          </w:p>
        </w:tc>
        <w:tc>
          <w:tcPr>
            <w:tcW w:w="3031" w:type="dxa"/>
            <w:vAlign w:val="center"/>
          </w:tcPr>
          <w:p w14:paraId="1A1A89D1">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380（AC）</w:t>
            </w:r>
          </w:p>
        </w:tc>
      </w:tr>
      <w:tr w14:paraId="01EDC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14:paraId="4A6D395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冷油器</w:t>
            </w:r>
          </w:p>
        </w:tc>
        <w:tc>
          <w:tcPr>
            <w:tcW w:w="2335" w:type="dxa"/>
            <w:gridSpan w:val="2"/>
            <w:vAlign w:val="center"/>
          </w:tcPr>
          <w:p w14:paraId="69A7FB6E">
            <w:pPr>
              <w:spacing w:line="360" w:lineRule="auto"/>
              <w:rPr>
                <w:rFonts w:hint="eastAsia" w:ascii="宋体" w:hAnsi="宋体" w:eastAsia="宋体" w:cs="宋体"/>
                <w:color w:val="000000"/>
                <w:szCs w:val="21"/>
              </w:rPr>
            </w:pPr>
            <w:r>
              <w:rPr>
                <w:rFonts w:hint="eastAsia" w:ascii="宋体" w:hAnsi="宋体" w:eastAsia="宋体" w:cs="宋体"/>
                <w:color w:val="000000"/>
                <w:szCs w:val="21"/>
              </w:rPr>
              <w:t>型  号</w:t>
            </w:r>
          </w:p>
        </w:tc>
        <w:tc>
          <w:tcPr>
            <w:tcW w:w="1107" w:type="dxa"/>
            <w:vAlign w:val="center"/>
          </w:tcPr>
          <w:p w14:paraId="1A5761AB">
            <w:pPr>
              <w:spacing w:line="360" w:lineRule="auto"/>
              <w:jc w:val="center"/>
              <w:rPr>
                <w:rFonts w:hint="eastAsia" w:ascii="宋体" w:hAnsi="宋体" w:eastAsia="宋体" w:cs="宋体"/>
                <w:color w:val="000000"/>
                <w:szCs w:val="21"/>
              </w:rPr>
            </w:pPr>
          </w:p>
        </w:tc>
        <w:tc>
          <w:tcPr>
            <w:tcW w:w="3031" w:type="dxa"/>
            <w:vAlign w:val="center"/>
          </w:tcPr>
          <w:p w14:paraId="063A54E5">
            <w:pPr>
              <w:spacing w:line="360" w:lineRule="auto"/>
              <w:jc w:val="center"/>
              <w:rPr>
                <w:rFonts w:hint="eastAsia" w:ascii="宋体" w:hAnsi="宋体" w:eastAsia="宋体" w:cs="宋体"/>
                <w:color w:val="000000"/>
                <w:szCs w:val="21"/>
              </w:rPr>
            </w:pPr>
            <w:r>
              <w:rPr>
                <w:rFonts w:hint="eastAsia" w:ascii="宋体" w:hAnsi="宋体" w:eastAsia="宋体" w:cs="宋体"/>
                <w:szCs w:val="21"/>
              </w:rPr>
              <w:t>1-7602-0012-0000-11</w:t>
            </w:r>
          </w:p>
        </w:tc>
      </w:tr>
      <w:tr w14:paraId="19AA2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39F9AFD5">
            <w:pPr>
              <w:spacing w:line="360" w:lineRule="auto"/>
              <w:jc w:val="center"/>
              <w:rPr>
                <w:rFonts w:hint="eastAsia" w:ascii="宋体" w:hAnsi="宋体" w:eastAsia="宋体" w:cs="宋体"/>
                <w:color w:val="000000"/>
                <w:szCs w:val="21"/>
              </w:rPr>
            </w:pPr>
          </w:p>
        </w:tc>
        <w:tc>
          <w:tcPr>
            <w:tcW w:w="2335" w:type="dxa"/>
            <w:gridSpan w:val="2"/>
            <w:vAlign w:val="center"/>
          </w:tcPr>
          <w:p w14:paraId="7F65255A">
            <w:pPr>
              <w:spacing w:line="360" w:lineRule="auto"/>
              <w:rPr>
                <w:rFonts w:hint="eastAsia" w:ascii="宋体" w:hAnsi="宋体" w:eastAsia="宋体" w:cs="宋体"/>
                <w:color w:val="000000"/>
                <w:szCs w:val="21"/>
              </w:rPr>
            </w:pPr>
            <w:r>
              <w:rPr>
                <w:rFonts w:hint="eastAsia" w:ascii="宋体" w:hAnsi="宋体" w:eastAsia="宋体" w:cs="宋体"/>
                <w:color w:val="000000"/>
                <w:szCs w:val="21"/>
              </w:rPr>
              <w:t>形  式</w:t>
            </w:r>
          </w:p>
        </w:tc>
        <w:tc>
          <w:tcPr>
            <w:tcW w:w="1107" w:type="dxa"/>
            <w:vAlign w:val="center"/>
          </w:tcPr>
          <w:p w14:paraId="4131C202">
            <w:pPr>
              <w:spacing w:line="360" w:lineRule="auto"/>
              <w:jc w:val="center"/>
              <w:rPr>
                <w:rFonts w:hint="eastAsia" w:ascii="宋体" w:hAnsi="宋体" w:eastAsia="宋体" w:cs="宋体"/>
                <w:color w:val="000000"/>
                <w:szCs w:val="21"/>
              </w:rPr>
            </w:pPr>
          </w:p>
        </w:tc>
        <w:tc>
          <w:tcPr>
            <w:tcW w:w="3031" w:type="dxa"/>
            <w:vAlign w:val="center"/>
          </w:tcPr>
          <w:p w14:paraId="188A0468">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管式</w:t>
            </w:r>
          </w:p>
        </w:tc>
      </w:tr>
      <w:tr w14:paraId="10985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053A8A52">
            <w:pPr>
              <w:spacing w:line="360" w:lineRule="auto"/>
              <w:jc w:val="center"/>
              <w:rPr>
                <w:rFonts w:hint="eastAsia" w:ascii="宋体" w:hAnsi="宋体" w:eastAsia="宋体" w:cs="宋体"/>
                <w:color w:val="000000"/>
                <w:szCs w:val="21"/>
              </w:rPr>
            </w:pPr>
          </w:p>
        </w:tc>
        <w:tc>
          <w:tcPr>
            <w:tcW w:w="2335" w:type="dxa"/>
            <w:gridSpan w:val="2"/>
            <w:vAlign w:val="center"/>
          </w:tcPr>
          <w:p w14:paraId="2943E99F">
            <w:pPr>
              <w:spacing w:line="360" w:lineRule="auto"/>
              <w:rPr>
                <w:rFonts w:hint="eastAsia" w:ascii="宋体" w:hAnsi="宋体" w:eastAsia="宋体" w:cs="宋体"/>
                <w:color w:val="000000"/>
                <w:szCs w:val="21"/>
              </w:rPr>
            </w:pPr>
            <w:r>
              <w:rPr>
                <w:rFonts w:hint="eastAsia" w:ascii="宋体" w:hAnsi="宋体" w:eastAsia="宋体" w:cs="宋体"/>
                <w:color w:val="000000"/>
                <w:szCs w:val="21"/>
              </w:rPr>
              <w:t>数  量</w:t>
            </w:r>
          </w:p>
        </w:tc>
        <w:tc>
          <w:tcPr>
            <w:tcW w:w="1107" w:type="dxa"/>
            <w:vAlign w:val="center"/>
          </w:tcPr>
          <w:p w14:paraId="55A4B7E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台</w:t>
            </w:r>
          </w:p>
        </w:tc>
        <w:tc>
          <w:tcPr>
            <w:tcW w:w="3031" w:type="dxa"/>
            <w:vAlign w:val="center"/>
          </w:tcPr>
          <w:p w14:paraId="327554A3">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w:t>
            </w:r>
          </w:p>
        </w:tc>
      </w:tr>
      <w:tr w14:paraId="25F15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0FFBE19F">
            <w:pPr>
              <w:spacing w:line="360" w:lineRule="auto"/>
              <w:jc w:val="center"/>
              <w:rPr>
                <w:rFonts w:hint="eastAsia" w:ascii="宋体" w:hAnsi="宋体" w:eastAsia="宋体" w:cs="宋体"/>
                <w:color w:val="000000"/>
                <w:szCs w:val="21"/>
              </w:rPr>
            </w:pPr>
          </w:p>
        </w:tc>
        <w:tc>
          <w:tcPr>
            <w:tcW w:w="2335" w:type="dxa"/>
            <w:gridSpan w:val="2"/>
            <w:vAlign w:val="center"/>
          </w:tcPr>
          <w:p w14:paraId="52A9E7E0">
            <w:pPr>
              <w:spacing w:line="360" w:lineRule="auto"/>
              <w:rPr>
                <w:rFonts w:hint="eastAsia" w:ascii="宋体" w:hAnsi="宋体" w:eastAsia="宋体" w:cs="宋体"/>
                <w:color w:val="000000"/>
                <w:szCs w:val="21"/>
              </w:rPr>
            </w:pPr>
            <w:r>
              <w:rPr>
                <w:rFonts w:hint="eastAsia" w:ascii="宋体" w:hAnsi="宋体" w:eastAsia="宋体" w:cs="宋体"/>
                <w:color w:val="000000"/>
                <w:szCs w:val="21"/>
              </w:rPr>
              <w:t>冷却面积</w:t>
            </w:r>
          </w:p>
        </w:tc>
        <w:tc>
          <w:tcPr>
            <w:tcW w:w="1107" w:type="dxa"/>
            <w:vAlign w:val="center"/>
          </w:tcPr>
          <w:p w14:paraId="36979F67">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xml:space="preserve">m </w:t>
            </w:r>
            <w:r>
              <w:rPr>
                <w:rFonts w:hint="eastAsia" w:ascii="宋体" w:hAnsi="宋体" w:eastAsia="宋体" w:cs="宋体"/>
                <w:color w:val="000000"/>
                <w:szCs w:val="21"/>
                <w:vertAlign w:val="superscript"/>
              </w:rPr>
              <w:t>2</w:t>
            </w:r>
          </w:p>
        </w:tc>
        <w:tc>
          <w:tcPr>
            <w:tcW w:w="3031" w:type="dxa"/>
            <w:vAlign w:val="center"/>
          </w:tcPr>
          <w:p w14:paraId="558BB94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12.5</w:t>
            </w:r>
          </w:p>
        </w:tc>
      </w:tr>
      <w:tr w14:paraId="5EE20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3B67845D">
            <w:pPr>
              <w:spacing w:line="360" w:lineRule="auto"/>
              <w:jc w:val="center"/>
              <w:rPr>
                <w:rFonts w:hint="eastAsia" w:ascii="宋体" w:hAnsi="宋体" w:eastAsia="宋体" w:cs="宋体"/>
                <w:color w:val="000000"/>
                <w:szCs w:val="21"/>
              </w:rPr>
            </w:pPr>
          </w:p>
        </w:tc>
        <w:tc>
          <w:tcPr>
            <w:tcW w:w="2335" w:type="dxa"/>
            <w:gridSpan w:val="2"/>
            <w:tcBorders>
              <w:bottom w:val="single" w:color="auto" w:sz="6" w:space="0"/>
            </w:tcBorders>
            <w:vAlign w:val="center"/>
          </w:tcPr>
          <w:p w14:paraId="6300EB96">
            <w:pPr>
              <w:spacing w:line="360" w:lineRule="auto"/>
              <w:rPr>
                <w:rFonts w:hint="eastAsia" w:ascii="宋体" w:hAnsi="宋体" w:eastAsia="宋体" w:cs="宋体"/>
                <w:color w:val="000000"/>
                <w:szCs w:val="21"/>
              </w:rPr>
            </w:pPr>
            <w:r>
              <w:rPr>
                <w:rFonts w:hint="eastAsia" w:ascii="宋体" w:hAnsi="宋体" w:eastAsia="宋体" w:cs="宋体"/>
                <w:color w:val="000000"/>
                <w:szCs w:val="21"/>
              </w:rPr>
              <w:t>冷却水量</w:t>
            </w:r>
          </w:p>
        </w:tc>
        <w:tc>
          <w:tcPr>
            <w:tcW w:w="1107" w:type="dxa"/>
            <w:tcBorders>
              <w:bottom w:val="single" w:color="auto" w:sz="6" w:space="0"/>
            </w:tcBorders>
            <w:vAlign w:val="center"/>
          </w:tcPr>
          <w:p w14:paraId="3D982EBB">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t/h</w:t>
            </w:r>
          </w:p>
        </w:tc>
        <w:tc>
          <w:tcPr>
            <w:tcW w:w="3031" w:type="dxa"/>
            <w:tcBorders>
              <w:bottom w:val="single" w:color="auto" w:sz="6" w:space="0"/>
            </w:tcBorders>
            <w:vAlign w:val="center"/>
          </w:tcPr>
          <w:p w14:paraId="5C42C1B2">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18~27</w:t>
            </w:r>
          </w:p>
        </w:tc>
      </w:tr>
      <w:tr w14:paraId="78738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05CF8B13">
            <w:pPr>
              <w:spacing w:line="360" w:lineRule="auto"/>
              <w:jc w:val="center"/>
              <w:rPr>
                <w:rFonts w:hint="eastAsia" w:ascii="宋体" w:hAnsi="宋体" w:eastAsia="宋体" w:cs="宋体"/>
                <w:color w:val="000000"/>
                <w:szCs w:val="21"/>
              </w:rPr>
            </w:pPr>
          </w:p>
        </w:tc>
        <w:tc>
          <w:tcPr>
            <w:tcW w:w="2335" w:type="dxa"/>
            <w:gridSpan w:val="2"/>
            <w:tcBorders>
              <w:bottom w:val="single" w:color="auto" w:sz="6" w:space="0"/>
            </w:tcBorders>
            <w:vAlign w:val="center"/>
          </w:tcPr>
          <w:p w14:paraId="15BB3523">
            <w:pPr>
              <w:spacing w:line="360" w:lineRule="auto"/>
              <w:rPr>
                <w:rFonts w:hint="eastAsia" w:ascii="宋体" w:hAnsi="宋体" w:eastAsia="宋体" w:cs="宋体"/>
                <w:color w:val="000000"/>
                <w:szCs w:val="21"/>
              </w:rPr>
            </w:pPr>
            <w:r>
              <w:rPr>
                <w:rFonts w:hint="eastAsia" w:ascii="宋体" w:hAnsi="宋体" w:eastAsia="宋体" w:cs="宋体"/>
                <w:color w:val="000000"/>
                <w:szCs w:val="21"/>
              </w:rPr>
              <w:t>冷却水温</w:t>
            </w:r>
          </w:p>
        </w:tc>
        <w:tc>
          <w:tcPr>
            <w:tcW w:w="1107" w:type="dxa"/>
            <w:tcBorders>
              <w:bottom w:val="single" w:color="auto" w:sz="6" w:space="0"/>
            </w:tcBorders>
            <w:vAlign w:val="center"/>
          </w:tcPr>
          <w:p w14:paraId="25F93D0E">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3031" w:type="dxa"/>
            <w:tcBorders>
              <w:bottom w:val="single" w:color="auto" w:sz="6" w:space="0"/>
            </w:tcBorders>
            <w:vAlign w:val="center"/>
          </w:tcPr>
          <w:p w14:paraId="19970EED">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≤33</w:t>
            </w:r>
          </w:p>
        </w:tc>
      </w:tr>
      <w:tr w14:paraId="58C27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2B784EFB">
            <w:pPr>
              <w:spacing w:line="360" w:lineRule="auto"/>
              <w:jc w:val="center"/>
              <w:rPr>
                <w:rFonts w:hint="eastAsia" w:ascii="宋体" w:hAnsi="宋体" w:eastAsia="宋体" w:cs="宋体"/>
                <w:color w:val="000000"/>
                <w:szCs w:val="21"/>
              </w:rPr>
            </w:pPr>
          </w:p>
        </w:tc>
        <w:tc>
          <w:tcPr>
            <w:tcW w:w="2335" w:type="dxa"/>
            <w:gridSpan w:val="2"/>
            <w:tcBorders>
              <w:bottom w:val="single" w:color="auto" w:sz="6" w:space="0"/>
            </w:tcBorders>
            <w:vAlign w:val="center"/>
          </w:tcPr>
          <w:p w14:paraId="2D442ABE">
            <w:pPr>
              <w:spacing w:line="360" w:lineRule="auto"/>
              <w:rPr>
                <w:rFonts w:hint="eastAsia" w:ascii="宋体" w:hAnsi="宋体" w:eastAsia="宋体" w:cs="宋体"/>
                <w:color w:val="000000"/>
                <w:szCs w:val="21"/>
              </w:rPr>
            </w:pPr>
            <w:r>
              <w:rPr>
                <w:rFonts w:hint="eastAsia" w:ascii="宋体" w:hAnsi="宋体" w:eastAsia="宋体" w:cs="宋体"/>
                <w:color w:val="000000"/>
                <w:szCs w:val="21"/>
              </w:rPr>
              <w:t>水  阻</w:t>
            </w:r>
          </w:p>
        </w:tc>
        <w:tc>
          <w:tcPr>
            <w:tcW w:w="1107" w:type="dxa"/>
            <w:tcBorders>
              <w:bottom w:val="single" w:color="auto" w:sz="6" w:space="0"/>
            </w:tcBorders>
            <w:vAlign w:val="center"/>
          </w:tcPr>
          <w:p w14:paraId="42CE1B5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w:t>
            </w:r>
          </w:p>
        </w:tc>
        <w:tc>
          <w:tcPr>
            <w:tcW w:w="3031" w:type="dxa"/>
            <w:tcBorders>
              <w:bottom w:val="single" w:color="auto" w:sz="6" w:space="0"/>
            </w:tcBorders>
            <w:vAlign w:val="center"/>
          </w:tcPr>
          <w:p w14:paraId="4AB04ED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w:t>
            </w:r>
          </w:p>
        </w:tc>
      </w:tr>
      <w:tr w14:paraId="7F2C5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6740A6FE">
            <w:pPr>
              <w:spacing w:line="360" w:lineRule="auto"/>
              <w:jc w:val="center"/>
              <w:rPr>
                <w:rFonts w:hint="eastAsia" w:ascii="宋体" w:hAnsi="宋体" w:eastAsia="宋体" w:cs="宋体"/>
                <w:color w:val="000000"/>
                <w:szCs w:val="21"/>
              </w:rPr>
            </w:pPr>
          </w:p>
        </w:tc>
        <w:tc>
          <w:tcPr>
            <w:tcW w:w="2335" w:type="dxa"/>
            <w:gridSpan w:val="2"/>
            <w:tcBorders>
              <w:bottom w:val="single" w:color="auto" w:sz="6" w:space="0"/>
            </w:tcBorders>
            <w:vAlign w:val="center"/>
          </w:tcPr>
          <w:p w14:paraId="2B32C332">
            <w:pPr>
              <w:spacing w:line="360" w:lineRule="auto"/>
              <w:rPr>
                <w:rFonts w:hint="eastAsia" w:ascii="宋体" w:hAnsi="宋体" w:eastAsia="宋体" w:cs="宋体"/>
                <w:color w:val="000000"/>
                <w:szCs w:val="21"/>
              </w:rPr>
            </w:pPr>
            <w:r>
              <w:rPr>
                <w:rFonts w:hint="eastAsia" w:ascii="宋体" w:hAnsi="宋体" w:eastAsia="宋体" w:cs="宋体"/>
                <w:color w:val="000000"/>
                <w:szCs w:val="21"/>
              </w:rPr>
              <w:t>油  阻</w:t>
            </w:r>
          </w:p>
        </w:tc>
        <w:tc>
          <w:tcPr>
            <w:tcW w:w="1107" w:type="dxa"/>
            <w:tcBorders>
              <w:bottom w:val="single" w:color="auto" w:sz="6" w:space="0"/>
            </w:tcBorders>
            <w:vAlign w:val="center"/>
          </w:tcPr>
          <w:p w14:paraId="72E83752">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w:t>
            </w:r>
          </w:p>
        </w:tc>
        <w:tc>
          <w:tcPr>
            <w:tcW w:w="3031" w:type="dxa"/>
            <w:tcBorders>
              <w:bottom w:val="single" w:color="auto" w:sz="6" w:space="0"/>
            </w:tcBorders>
            <w:vAlign w:val="center"/>
          </w:tcPr>
          <w:p w14:paraId="0288BD99">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w:t>
            </w:r>
          </w:p>
        </w:tc>
      </w:tr>
      <w:tr w14:paraId="5F355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14:paraId="1FE6EA66">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直流齿轮</w:t>
            </w:r>
          </w:p>
          <w:p w14:paraId="0DAEB77D">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润滑油泵</w:t>
            </w:r>
          </w:p>
        </w:tc>
        <w:tc>
          <w:tcPr>
            <w:tcW w:w="2335" w:type="dxa"/>
            <w:gridSpan w:val="2"/>
            <w:vAlign w:val="center"/>
          </w:tcPr>
          <w:p w14:paraId="39E216C8">
            <w:pPr>
              <w:spacing w:line="360" w:lineRule="auto"/>
              <w:rPr>
                <w:rFonts w:hint="eastAsia" w:ascii="宋体" w:hAnsi="宋体" w:eastAsia="宋体" w:cs="宋体"/>
                <w:color w:val="000000"/>
                <w:szCs w:val="21"/>
              </w:rPr>
            </w:pPr>
            <w:r>
              <w:rPr>
                <w:rFonts w:hint="eastAsia" w:ascii="宋体" w:hAnsi="宋体" w:eastAsia="宋体" w:cs="宋体"/>
                <w:color w:val="000000"/>
                <w:szCs w:val="21"/>
              </w:rPr>
              <w:t>型  号</w:t>
            </w:r>
          </w:p>
        </w:tc>
        <w:tc>
          <w:tcPr>
            <w:tcW w:w="1107" w:type="dxa"/>
            <w:vAlign w:val="center"/>
          </w:tcPr>
          <w:p w14:paraId="0B398C3E">
            <w:pPr>
              <w:spacing w:line="360" w:lineRule="auto"/>
              <w:jc w:val="center"/>
              <w:rPr>
                <w:rFonts w:hint="eastAsia" w:ascii="宋体" w:hAnsi="宋体" w:eastAsia="宋体" w:cs="宋体"/>
                <w:color w:val="000000"/>
                <w:szCs w:val="21"/>
              </w:rPr>
            </w:pPr>
          </w:p>
        </w:tc>
        <w:tc>
          <w:tcPr>
            <w:tcW w:w="3031" w:type="dxa"/>
            <w:vAlign w:val="center"/>
          </w:tcPr>
          <w:p w14:paraId="1D7694FA">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KCB-135</w:t>
            </w:r>
          </w:p>
        </w:tc>
      </w:tr>
      <w:tr w14:paraId="3B6FC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126EAEEB">
            <w:pPr>
              <w:spacing w:line="360" w:lineRule="auto"/>
              <w:jc w:val="center"/>
              <w:rPr>
                <w:rFonts w:hint="eastAsia" w:ascii="宋体" w:hAnsi="宋体" w:eastAsia="宋体" w:cs="宋体"/>
                <w:color w:val="000000"/>
                <w:szCs w:val="21"/>
              </w:rPr>
            </w:pPr>
          </w:p>
        </w:tc>
        <w:tc>
          <w:tcPr>
            <w:tcW w:w="2335" w:type="dxa"/>
            <w:gridSpan w:val="2"/>
            <w:vAlign w:val="center"/>
          </w:tcPr>
          <w:p w14:paraId="05AD2B23">
            <w:pPr>
              <w:spacing w:line="360" w:lineRule="auto"/>
              <w:rPr>
                <w:rFonts w:hint="eastAsia" w:ascii="宋体" w:hAnsi="宋体" w:eastAsia="宋体" w:cs="宋体"/>
                <w:color w:val="000000"/>
                <w:szCs w:val="21"/>
              </w:rPr>
            </w:pPr>
            <w:r>
              <w:rPr>
                <w:rFonts w:hint="eastAsia" w:ascii="宋体" w:hAnsi="宋体" w:eastAsia="宋体" w:cs="宋体"/>
                <w:color w:val="000000"/>
                <w:szCs w:val="21"/>
              </w:rPr>
              <w:t>数  量</w:t>
            </w:r>
          </w:p>
        </w:tc>
        <w:tc>
          <w:tcPr>
            <w:tcW w:w="1107" w:type="dxa"/>
            <w:vAlign w:val="center"/>
          </w:tcPr>
          <w:p w14:paraId="6F21B27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台</w:t>
            </w:r>
          </w:p>
        </w:tc>
        <w:tc>
          <w:tcPr>
            <w:tcW w:w="3031" w:type="dxa"/>
            <w:vAlign w:val="center"/>
          </w:tcPr>
          <w:p w14:paraId="5A2C342A">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w:t>
            </w:r>
          </w:p>
        </w:tc>
      </w:tr>
      <w:tr w14:paraId="67AA5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6050A88F">
            <w:pPr>
              <w:spacing w:line="360" w:lineRule="auto"/>
              <w:jc w:val="center"/>
              <w:rPr>
                <w:rFonts w:hint="eastAsia" w:ascii="宋体" w:hAnsi="宋体" w:eastAsia="宋体" w:cs="宋体"/>
                <w:color w:val="000000"/>
                <w:szCs w:val="21"/>
              </w:rPr>
            </w:pPr>
          </w:p>
        </w:tc>
        <w:tc>
          <w:tcPr>
            <w:tcW w:w="2335" w:type="dxa"/>
            <w:gridSpan w:val="2"/>
            <w:vAlign w:val="center"/>
          </w:tcPr>
          <w:p w14:paraId="47AF3D88">
            <w:pPr>
              <w:spacing w:line="360" w:lineRule="auto"/>
              <w:rPr>
                <w:rFonts w:hint="eastAsia" w:ascii="宋体" w:hAnsi="宋体" w:eastAsia="宋体" w:cs="宋体"/>
                <w:color w:val="000000"/>
                <w:szCs w:val="21"/>
              </w:rPr>
            </w:pPr>
            <w:r>
              <w:rPr>
                <w:rFonts w:hint="eastAsia" w:ascii="宋体" w:hAnsi="宋体" w:eastAsia="宋体" w:cs="宋体"/>
                <w:color w:val="000000"/>
                <w:szCs w:val="21"/>
              </w:rPr>
              <w:t>流  量</w:t>
            </w:r>
          </w:p>
        </w:tc>
        <w:tc>
          <w:tcPr>
            <w:tcW w:w="1107" w:type="dxa"/>
            <w:vAlign w:val="center"/>
          </w:tcPr>
          <w:p w14:paraId="43A51869">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L/h</w:t>
            </w:r>
          </w:p>
        </w:tc>
        <w:tc>
          <w:tcPr>
            <w:tcW w:w="3031" w:type="dxa"/>
            <w:vAlign w:val="center"/>
          </w:tcPr>
          <w:p w14:paraId="36A7266B">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135</w:t>
            </w:r>
          </w:p>
        </w:tc>
      </w:tr>
      <w:tr w14:paraId="06758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471E7CA0">
            <w:pPr>
              <w:spacing w:line="360" w:lineRule="auto"/>
              <w:jc w:val="center"/>
              <w:rPr>
                <w:rFonts w:hint="eastAsia" w:ascii="宋体" w:hAnsi="宋体" w:eastAsia="宋体" w:cs="宋体"/>
                <w:color w:val="000000"/>
                <w:szCs w:val="21"/>
              </w:rPr>
            </w:pPr>
          </w:p>
        </w:tc>
        <w:tc>
          <w:tcPr>
            <w:tcW w:w="2335" w:type="dxa"/>
            <w:gridSpan w:val="2"/>
            <w:vAlign w:val="center"/>
          </w:tcPr>
          <w:p w14:paraId="1B123703">
            <w:pPr>
              <w:spacing w:line="360" w:lineRule="auto"/>
              <w:rPr>
                <w:rFonts w:hint="eastAsia" w:ascii="宋体" w:hAnsi="宋体" w:eastAsia="宋体" w:cs="宋体"/>
                <w:color w:val="000000"/>
                <w:szCs w:val="21"/>
              </w:rPr>
            </w:pPr>
            <w:r>
              <w:rPr>
                <w:rFonts w:hint="eastAsia" w:ascii="宋体" w:hAnsi="宋体" w:eastAsia="宋体" w:cs="宋体"/>
                <w:color w:val="000000"/>
                <w:szCs w:val="21"/>
              </w:rPr>
              <w:t>压  力</w:t>
            </w:r>
          </w:p>
        </w:tc>
        <w:tc>
          <w:tcPr>
            <w:tcW w:w="1107" w:type="dxa"/>
            <w:vAlign w:val="center"/>
          </w:tcPr>
          <w:p w14:paraId="1523B58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Mpa</w:t>
            </w:r>
          </w:p>
        </w:tc>
        <w:tc>
          <w:tcPr>
            <w:tcW w:w="3031" w:type="dxa"/>
            <w:vAlign w:val="center"/>
          </w:tcPr>
          <w:p w14:paraId="34FBC625">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0.33</w:t>
            </w:r>
          </w:p>
        </w:tc>
      </w:tr>
      <w:tr w14:paraId="4B1AF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04F09570">
            <w:pPr>
              <w:spacing w:line="360" w:lineRule="auto"/>
              <w:jc w:val="center"/>
              <w:rPr>
                <w:rFonts w:hint="eastAsia" w:ascii="宋体" w:hAnsi="宋体" w:eastAsia="宋体" w:cs="宋体"/>
                <w:color w:val="000000"/>
                <w:szCs w:val="21"/>
              </w:rPr>
            </w:pPr>
          </w:p>
        </w:tc>
        <w:tc>
          <w:tcPr>
            <w:tcW w:w="1254" w:type="dxa"/>
            <w:vMerge w:val="restart"/>
            <w:vAlign w:val="center"/>
          </w:tcPr>
          <w:p w14:paraId="21325437">
            <w:pPr>
              <w:spacing w:line="360" w:lineRule="auto"/>
              <w:rPr>
                <w:rFonts w:hint="eastAsia" w:ascii="宋体" w:hAnsi="宋体" w:eastAsia="宋体" w:cs="宋体"/>
                <w:color w:val="000000"/>
                <w:szCs w:val="21"/>
              </w:rPr>
            </w:pPr>
            <w:r>
              <w:rPr>
                <w:rFonts w:hint="eastAsia" w:ascii="宋体" w:hAnsi="宋体" w:eastAsia="宋体" w:cs="宋体"/>
                <w:color w:val="000000"/>
                <w:szCs w:val="21"/>
              </w:rPr>
              <w:t>电  机</w:t>
            </w:r>
          </w:p>
        </w:tc>
        <w:tc>
          <w:tcPr>
            <w:tcW w:w="1081" w:type="dxa"/>
            <w:vAlign w:val="center"/>
          </w:tcPr>
          <w:p w14:paraId="1696BFD2">
            <w:pPr>
              <w:spacing w:line="360" w:lineRule="auto"/>
              <w:rPr>
                <w:rFonts w:hint="eastAsia" w:ascii="宋体" w:hAnsi="宋体" w:eastAsia="宋体" w:cs="宋体"/>
                <w:color w:val="000000"/>
                <w:szCs w:val="21"/>
              </w:rPr>
            </w:pPr>
            <w:r>
              <w:rPr>
                <w:rFonts w:hint="eastAsia" w:ascii="宋体" w:hAnsi="宋体" w:eastAsia="宋体" w:cs="宋体"/>
                <w:color w:val="000000"/>
                <w:szCs w:val="21"/>
              </w:rPr>
              <w:t>功  率</w:t>
            </w:r>
          </w:p>
        </w:tc>
        <w:tc>
          <w:tcPr>
            <w:tcW w:w="1107" w:type="dxa"/>
            <w:vAlign w:val="center"/>
          </w:tcPr>
          <w:p w14:paraId="5EBC8501">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KW</w:t>
            </w:r>
          </w:p>
        </w:tc>
        <w:tc>
          <w:tcPr>
            <w:tcW w:w="3031" w:type="dxa"/>
            <w:vAlign w:val="center"/>
          </w:tcPr>
          <w:p w14:paraId="1606E83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2.2</w:t>
            </w:r>
          </w:p>
        </w:tc>
      </w:tr>
      <w:tr w14:paraId="01074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1EF643B6">
            <w:pPr>
              <w:spacing w:line="360" w:lineRule="auto"/>
              <w:jc w:val="center"/>
              <w:rPr>
                <w:rFonts w:hint="eastAsia" w:ascii="宋体" w:hAnsi="宋体" w:eastAsia="宋体" w:cs="宋体"/>
                <w:color w:val="000000"/>
                <w:szCs w:val="21"/>
              </w:rPr>
            </w:pPr>
          </w:p>
        </w:tc>
        <w:tc>
          <w:tcPr>
            <w:tcW w:w="1254" w:type="dxa"/>
            <w:vMerge w:val="continue"/>
            <w:vAlign w:val="center"/>
          </w:tcPr>
          <w:p w14:paraId="62B02AA3">
            <w:pPr>
              <w:spacing w:line="360" w:lineRule="auto"/>
              <w:rPr>
                <w:rFonts w:hint="eastAsia" w:ascii="宋体" w:hAnsi="宋体" w:eastAsia="宋体" w:cs="宋体"/>
                <w:color w:val="000000"/>
                <w:szCs w:val="21"/>
              </w:rPr>
            </w:pPr>
          </w:p>
        </w:tc>
        <w:tc>
          <w:tcPr>
            <w:tcW w:w="1081" w:type="dxa"/>
            <w:vAlign w:val="center"/>
          </w:tcPr>
          <w:p w14:paraId="4B8713CD">
            <w:pPr>
              <w:spacing w:line="360" w:lineRule="auto"/>
              <w:rPr>
                <w:rFonts w:hint="eastAsia" w:ascii="宋体" w:hAnsi="宋体" w:eastAsia="宋体" w:cs="宋体"/>
                <w:color w:val="000000"/>
                <w:szCs w:val="21"/>
              </w:rPr>
            </w:pPr>
            <w:r>
              <w:rPr>
                <w:rFonts w:hint="eastAsia" w:ascii="宋体" w:hAnsi="宋体" w:eastAsia="宋体" w:cs="宋体"/>
                <w:color w:val="000000"/>
                <w:szCs w:val="21"/>
              </w:rPr>
              <w:t>电  压</w:t>
            </w:r>
          </w:p>
        </w:tc>
        <w:tc>
          <w:tcPr>
            <w:tcW w:w="1107" w:type="dxa"/>
            <w:vAlign w:val="center"/>
          </w:tcPr>
          <w:p w14:paraId="09284AE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V</w:t>
            </w:r>
          </w:p>
        </w:tc>
        <w:tc>
          <w:tcPr>
            <w:tcW w:w="3031" w:type="dxa"/>
            <w:vAlign w:val="center"/>
          </w:tcPr>
          <w:p w14:paraId="197C541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220（DC）</w:t>
            </w:r>
          </w:p>
        </w:tc>
      </w:tr>
      <w:tr w14:paraId="5BAD3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14:paraId="2AD939C1">
            <w:pPr>
              <w:spacing w:line="360" w:lineRule="auto"/>
              <w:jc w:val="center"/>
              <w:rPr>
                <w:rFonts w:hint="eastAsia" w:ascii="宋体" w:hAnsi="宋体" w:eastAsia="宋体" w:cs="宋体"/>
                <w:szCs w:val="21"/>
              </w:rPr>
            </w:pPr>
            <w:r>
              <w:rPr>
                <w:rFonts w:hint="eastAsia" w:ascii="宋体" w:hAnsi="宋体" w:eastAsia="宋体" w:cs="宋体"/>
                <w:szCs w:val="21"/>
              </w:rPr>
              <w:t>凝 汽 器</w:t>
            </w:r>
          </w:p>
        </w:tc>
        <w:tc>
          <w:tcPr>
            <w:tcW w:w="2335" w:type="dxa"/>
            <w:gridSpan w:val="2"/>
          </w:tcPr>
          <w:p w14:paraId="65F4523D">
            <w:pPr>
              <w:spacing w:line="360" w:lineRule="auto"/>
              <w:rPr>
                <w:rFonts w:hint="eastAsia" w:ascii="宋体" w:hAnsi="宋体" w:eastAsia="宋体" w:cs="宋体"/>
                <w:position w:val="-34"/>
                <w:szCs w:val="21"/>
              </w:rPr>
            </w:pPr>
            <w:r>
              <w:rPr>
                <w:rFonts w:hint="eastAsia" w:ascii="宋体" w:hAnsi="宋体" w:eastAsia="宋体" w:cs="宋体"/>
                <w:position w:val="-34"/>
                <w:szCs w:val="21"/>
              </w:rPr>
              <w:t>型  号</w:t>
            </w:r>
          </w:p>
        </w:tc>
        <w:tc>
          <w:tcPr>
            <w:tcW w:w="1107" w:type="dxa"/>
          </w:tcPr>
          <w:p w14:paraId="6C315D61">
            <w:pPr>
              <w:spacing w:line="360" w:lineRule="auto"/>
              <w:jc w:val="center"/>
              <w:rPr>
                <w:rFonts w:hint="eastAsia" w:ascii="宋体" w:hAnsi="宋体" w:eastAsia="宋体" w:cs="宋体"/>
                <w:position w:val="-34"/>
                <w:szCs w:val="21"/>
              </w:rPr>
            </w:pPr>
          </w:p>
        </w:tc>
        <w:tc>
          <w:tcPr>
            <w:tcW w:w="3031" w:type="dxa"/>
          </w:tcPr>
          <w:p w14:paraId="120ABA4A">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N-420</w:t>
            </w:r>
          </w:p>
        </w:tc>
      </w:tr>
      <w:tr w14:paraId="369AB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14:paraId="2CF6503F">
            <w:pPr>
              <w:spacing w:line="360" w:lineRule="auto"/>
              <w:jc w:val="center"/>
              <w:rPr>
                <w:rFonts w:hint="eastAsia" w:ascii="宋体" w:hAnsi="宋体" w:eastAsia="宋体" w:cs="宋体"/>
                <w:color w:val="000000"/>
                <w:szCs w:val="21"/>
              </w:rPr>
            </w:pPr>
          </w:p>
        </w:tc>
        <w:tc>
          <w:tcPr>
            <w:tcW w:w="2335" w:type="dxa"/>
            <w:gridSpan w:val="2"/>
          </w:tcPr>
          <w:p w14:paraId="2F7F85F1">
            <w:pPr>
              <w:spacing w:line="360" w:lineRule="auto"/>
              <w:rPr>
                <w:rFonts w:hint="eastAsia" w:ascii="宋体" w:hAnsi="宋体" w:eastAsia="宋体" w:cs="宋体"/>
                <w:color w:val="000000"/>
                <w:szCs w:val="21"/>
              </w:rPr>
            </w:pPr>
            <w:r>
              <w:rPr>
                <w:rFonts w:hint="eastAsia" w:ascii="宋体" w:hAnsi="宋体" w:eastAsia="宋体" w:cs="宋体"/>
                <w:position w:val="-34"/>
                <w:szCs w:val="21"/>
              </w:rPr>
              <w:t>型  式</w:t>
            </w:r>
          </w:p>
        </w:tc>
        <w:tc>
          <w:tcPr>
            <w:tcW w:w="1107" w:type="dxa"/>
          </w:tcPr>
          <w:p w14:paraId="6C370C49">
            <w:pPr>
              <w:spacing w:line="360" w:lineRule="auto"/>
              <w:jc w:val="center"/>
              <w:rPr>
                <w:rFonts w:hint="eastAsia" w:ascii="宋体" w:hAnsi="宋体" w:eastAsia="宋体" w:cs="宋体"/>
                <w:color w:val="000000"/>
                <w:position w:val="-34"/>
                <w:szCs w:val="21"/>
              </w:rPr>
            </w:pPr>
          </w:p>
        </w:tc>
        <w:tc>
          <w:tcPr>
            <w:tcW w:w="3031" w:type="dxa"/>
          </w:tcPr>
          <w:p w14:paraId="3C241166">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四流程单道制表面式</w:t>
            </w:r>
          </w:p>
        </w:tc>
      </w:tr>
      <w:tr w14:paraId="67C5B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14:paraId="5040CB50">
            <w:pPr>
              <w:spacing w:line="360" w:lineRule="auto"/>
              <w:jc w:val="center"/>
              <w:rPr>
                <w:rFonts w:hint="eastAsia" w:ascii="宋体" w:hAnsi="宋体" w:eastAsia="宋体" w:cs="宋体"/>
                <w:color w:val="000000"/>
                <w:szCs w:val="21"/>
              </w:rPr>
            </w:pPr>
          </w:p>
        </w:tc>
        <w:tc>
          <w:tcPr>
            <w:tcW w:w="2335" w:type="dxa"/>
            <w:gridSpan w:val="2"/>
          </w:tcPr>
          <w:p w14:paraId="25CC6F59">
            <w:pPr>
              <w:spacing w:line="360" w:lineRule="auto"/>
              <w:rPr>
                <w:rFonts w:hint="eastAsia" w:ascii="宋体" w:hAnsi="宋体" w:eastAsia="宋体" w:cs="宋体"/>
                <w:color w:val="000000"/>
                <w:szCs w:val="21"/>
              </w:rPr>
            </w:pPr>
            <w:r>
              <w:rPr>
                <w:rFonts w:hint="eastAsia" w:ascii="宋体" w:hAnsi="宋体" w:eastAsia="宋体" w:cs="宋体"/>
                <w:position w:val="-34"/>
                <w:szCs w:val="21"/>
              </w:rPr>
              <w:t>冷却面积</w:t>
            </w:r>
          </w:p>
        </w:tc>
        <w:tc>
          <w:tcPr>
            <w:tcW w:w="1107" w:type="dxa"/>
          </w:tcPr>
          <w:p w14:paraId="0BBFD77B">
            <w:pPr>
              <w:spacing w:line="360" w:lineRule="auto"/>
              <w:jc w:val="center"/>
              <w:rPr>
                <w:rFonts w:hint="eastAsia" w:ascii="宋体" w:hAnsi="宋体" w:eastAsia="宋体" w:cs="宋体"/>
                <w:color w:val="000000"/>
                <w:position w:val="-34"/>
                <w:szCs w:val="21"/>
              </w:rPr>
            </w:pPr>
            <w:r>
              <w:rPr>
                <w:rFonts w:hint="eastAsia" w:ascii="宋体" w:hAnsi="宋体" w:eastAsia="宋体" w:cs="宋体"/>
                <w:position w:val="-34"/>
                <w:szCs w:val="21"/>
              </w:rPr>
              <w:t>m</w:t>
            </w:r>
            <w:r>
              <w:rPr>
                <w:rFonts w:hint="eastAsia" w:ascii="宋体" w:hAnsi="宋体" w:eastAsia="宋体" w:cs="宋体"/>
                <w:position w:val="-34"/>
                <w:szCs w:val="21"/>
                <w:vertAlign w:val="superscript"/>
              </w:rPr>
              <w:t>2</w:t>
            </w:r>
          </w:p>
        </w:tc>
        <w:tc>
          <w:tcPr>
            <w:tcW w:w="3031" w:type="dxa"/>
          </w:tcPr>
          <w:p w14:paraId="623B6ED9">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420</w:t>
            </w:r>
          </w:p>
        </w:tc>
      </w:tr>
      <w:tr w14:paraId="1CAE8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14:paraId="639D3833">
            <w:pPr>
              <w:spacing w:line="360" w:lineRule="auto"/>
              <w:jc w:val="center"/>
              <w:rPr>
                <w:rFonts w:hint="eastAsia" w:ascii="宋体" w:hAnsi="宋体" w:eastAsia="宋体" w:cs="宋体"/>
                <w:color w:val="000000"/>
                <w:szCs w:val="21"/>
              </w:rPr>
            </w:pPr>
          </w:p>
        </w:tc>
        <w:tc>
          <w:tcPr>
            <w:tcW w:w="2335" w:type="dxa"/>
            <w:gridSpan w:val="2"/>
          </w:tcPr>
          <w:p w14:paraId="691EFFFE">
            <w:pPr>
              <w:spacing w:line="360" w:lineRule="auto"/>
              <w:rPr>
                <w:rFonts w:hint="eastAsia" w:ascii="宋体" w:hAnsi="宋体" w:eastAsia="宋体" w:cs="宋体"/>
                <w:color w:val="000000"/>
                <w:szCs w:val="21"/>
              </w:rPr>
            </w:pPr>
            <w:r>
              <w:rPr>
                <w:rFonts w:hint="eastAsia" w:ascii="宋体" w:hAnsi="宋体" w:eastAsia="宋体" w:cs="宋体"/>
                <w:position w:val="-34"/>
                <w:szCs w:val="21"/>
              </w:rPr>
              <w:t>蒸汽压力</w:t>
            </w:r>
          </w:p>
        </w:tc>
        <w:tc>
          <w:tcPr>
            <w:tcW w:w="1107" w:type="dxa"/>
          </w:tcPr>
          <w:p w14:paraId="4640F4E3">
            <w:pPr>
              <w:spacing w:line="360" w:lineRule="auto"/>
              <w:jc w:val="center"/>
              <w:rPr>
                <w:rFonts w:hint="eastAsia" w:ascii="宋体" w:hAnsi="宋体" w:eastAsia="宋体" w:cs="宋体"/>
                <w:color w:val="000000"/>
                <w:position w:val="-34"/>
                <w:szCs w:val="21"/>
              </w:rPr>
            </w:pPr>
            <w:r>
              <w:rPr>
                <w:rFonts w:hint="eastAsia" w:ascii="宋体" w:hAnsi="宋体" w:eastAsia="宋体" w:cs="宋体"/>
                <w:position w:val="-34"/>
                <w:szCs w:val="21"/>
              </w:rPr>
              <w:t>Mpa</w:t>
            </w:r>
          </w:p>
        </w:tc>
        <w:tc>
          <w:tcPr>
            <w:tcW w:w="3031" w:type="dxa"/>
          </w:tcPr>
          <w:p w14:paraId="043B64E4">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 xml:space="preserve">           0.01    （绝对）</w:t>
            </w:r>
          </w:p>
        </w:tc>
      </w:tr>
      <w:tr w14:paraId="63A25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14:paraId="7FED2D0E">
            <w:pPr>
              <w:spacing w:line="360" w:lineRule="auto"/>
              <w:jc w:val="center"/>
              <w:rPr>
                <w:rFonts w:hint="eastAsia" w:ascii="宋体" w:hAnsi="宋体" w:eastAsia="宋体" w:cs="宋体"/>
                <w:color w:val="000000"/>
                <w:szCs w:val="21"/>
              </w:rPr>
            </w:pPr>
          </w:p>
        </w:tc>
        <w:tc>
          <w:tcPr>
            <w:tcW w:w="2335" w:type="dxa"/>
            <w:gridSpan w:val="2"/>
          </w:tcPr>
          <w:p w14:paraId="40628E9C">
            <w:pPr>
              <w:spacing w:line="360" w:lineRule="auto"/>
              <w:rPr>
                <w:rFonts w:hint="eastAsia" w:ascii="宋体" w:hAnsi="宋体" w:eastAsia="宋体" w:cs="宋体"/>
                <w:color w:val="000000"/>
                <w:szCs w:val="21"/>
              </w:rPr>
            </w:pPr>
            <w:r>
              <w:rPr>
                <w:rFonts w:hint="eastAsia" w:ascii="宋体" w:hAnsi="宋体" w:eastAsia="宋体" w:cs="宋体"/>
                <w:position w:val="-34"/>
                <w:szCs w:val="21"/>
              </w:rPr>
              <w:t>蒸汽流量</w:t>
            </w:r>
          </w:p>
        </w:tc>
        <w:tc>
          <w:tcPr>
            <w:tcW w:w="1107" w:type="dxa"/>
          </w:tcPr>
          <w:p w14:paraId="0FEB0159">
            <w:pPr>
              <w:spacing w:line="360" w:lineRule="auto"/>
              <w:jc w:val="center"/>
              <w:rPr>
                <w:rFonts w:hint="eastAsia" w:ascii="宋体" w:hAnsi="宋体" w:eastAsia="宋体" w:cs="宋体"/>
                <w:color w:val="000000"/>
                <w:position w:val="-34"/>
                <w:szCs w:val="21"/>
              </w:rPr>
            </w:pPr>
            <w:r>
              <w:rPr>
                <w:rFonts w:hint="eastAsia" w:ascii="宋体" w:hAnsi="宋体" w:eastAsia="宋体" w:cs="宋体"/>
                <w:position w:val="-34"/>
                <w:szCs w:val="21"/>
              </w:rPr>
              <w:t>t/h</w:t>
            </w:r>
          </w:p>
        </w:tc>
        <w:tc>
          <w:tcPr>
            <w:tcW w:w="3031" w:type="dxa"/>
          </w:tcPr>
          <w:p w14:paraId="53D944CB">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6"/>
                <w:szCs w:val="21"/>
              </w:rPr>
              <w:t>14</w:t>
            </w:r>
          </w:p>
        </w:tc>
      </w:tr>
      <w:tr w14:paraId="78F46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shd w:val="clear" w:color="auto" w:fill="auto"/>
          </w:tcPr>
          <w:p w14:paraId="6056EAC7">
            <w:pPr>
              <w:spacing w:line="360" w:lineRule="auto"/>
              <w:jc w:val="center"/>
              <w:rPr>
                <w:rFonts w:hint="eastAsia" w:ascii="宋体" w:hAnsi="宋体" w:eastAsia="宋体" w:cs="宋体"/>
                <w:color w:val="000000"/>
                <w:szCs w:val="21"/>
              </w:rPr>
            </w:pPr>
          </w:p>
        </w:tc>
        <w:tc>
          <w:tcPr>
            <w:tcW w:w="2335" w:type="dxa"/>
            <w:gridSpan w:val="2"/>
            <w:shd w:val="clear" w:color="auto" w:fill="auto"/>
          </w:tcPr>
          <w:p w14:paraId="31DCD8E0">
            <w:pPr>
              <w:spacing w:line="360" w:lineRule="auto"/>
              <w:rPr>
                <w:rFonts w:hint="eastAsia" w:ascii="宋体" w:hAnsi="宋体" w:eastAsia="宋体" w:cs="宋体"/>
                <w:color w:val="000000"/>
                <w:szCs w:val="21"/>
              </w:rPr>
            </w:pPr>
            <w:r>
              <w:rPr>
                <w:rFonts w:hint="eastAsia" w:ascii="宋体" w:hAnsi="宋体" w:eastAsia="宋体" w:cs="宋体"/>
                <w:position w:val="-34"/>
                <w:szCs w:val="21"/>
              </w:rPr>
              <w:t>冷却水量</w:t>
            </w:r>
          </w:p>
        </w:tc>
        <w:tc>
          <w:tcPr>
            <w:tcW w:w="1107" w:type="dxa"/>
          </w:tcPr>
          <w:p w14:paraId="2E2027A0">
            <w:pPr>
              <w:spacing w:line="360" w:lineRule="auto"/>
              <w:jc w:val="center"/>
              <w:rPr>
                <w:rFonts w:hint="eastAsia" w:ascii="宋体" w:hAnsi="宋体" w:eastAsia="宋体" w:cs="宋体"/>
                <w:color w:val="000000"/>
                <w:szCs w:val="21"/>
              </w:rPr>
            </w:pPr>
            <w:r>
              <w:rPr>
                <w:rFonts w:hint="eastAsia" w:ascii="宋体" w:hAnsi="宋体" w:eastAsia="宋体" w:cs="宋体"/>
                <w:position w:val="-34"/>
                <w:szCs w:val="21"/>
              </w:rPr>
              <w:t>t/h</w:t>
            </w:r>
          </w:p>
        </w:tc>
        <w:tc>
          <w:tcPr>
            <w:tcW w:w="3031" w:type="dxa"/>
          </w:tcPr>
          <w:p w14:paraId="5B5D94E8">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～900</w:t>
            </w:r>
          </w:p>
        </w:tc>
      </w:tr>
      <w:tr w14:paraId="59348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shd w:val="clear" w:color="auto" w:fill="auto"/>
          </w:tcPr>
          <w:p w14:paraId="03DBE418">
            <w:pPr>
              <w:spacing w:line="360" w:lineRule="auto"/>
              <w:jc w:val="center"/>
              <w:rPr>
                <w:rFonts w:hint="eastAsia" w:ascii="宋体" w:hAnsi="宋体" w:eastAsia="宋体" w:cs="宋体"/>
                <w:color w:val="000000"/>
                <w:szCs w:val="21"/>
              </w:rPr>
            </w:pPr>
          </w:p>
        </w:tc>
        <w:tc>
          <w:tcPr>
            <w:tcW w:w="2335" w:type="dxa"/>
            <w:gridSpan w:val="2"/>
            <w:shd w:val="clear" w:color="auto" w:fill="auto"/>
          </w:tcPr>
          <w:p w14:paraId="76780C5B">
            <w:pPr>
              <w:spacing w:line="360" w:lineRule="auto"/>
              <w:rPr>
                <w:rFonts w:hint="eastAsia" w:ascii="宋体" w:hAnsi="宋体" w:eastAsia="宋体" w:cs="宋体"/>
                <w:color w:val="000000"/>
                <w:szCs w:val="21"/>
              </w:rPr>
            </w:pPr>
            <w:r>
              <w:rPr>
                <w:rFonts w:hint="eastAsia" w:ascii="宋体" w:hAnsi="宋体" w:eastAsia="宋体" w:cs="宋体"/>
                <w:position w:val="-34"/>
                <w:szCs w:val="21"/>
              </w:rPr>
              <w:t>冷却水温</w:t>
            </w:r>
          </w:p>
        </w:tc>
        <w:tc>
          <w:tcPr>
            <w:tcW w:w="1107" w:type="dxa"/>
          </w:tcPr>
          <w:p w14:paraId="227D6ADD">
            <w:pPr>
              <w:spacing w:line="360" w:lineRule="auto"/>
              <w:jc w:val="center"/>
              <w:rPr>
                <w:rFonts w:hint="eastAsia" w:ascii="宋体" w:hAnsi="宋体" w:eastAsia="宋体" w:cs="宋体"/>
                <w:color w:val="000000"/>
                <w:szCs w:val="21"/>
              </w:rPr>
            </w:pPr>
            <w:r>
              <w:rPr>
                <w:rFonts w:hint="eastAsia" w:ascii="宋体" w:hAnsi="宋体" w:eastAsia="宋体" w:cs="宋体"/>
                <w:color w:val="000000"/>
                <w:position w:val="-34"/>
                <w:szCs w:val="21"/>
              </w:rPr>
              <w:t>℃</w:t>
            </w:r>
          </w:p>
        </w:tc>
        <w:tc>
          <w:tcPr>
            <w:tcW w:w="3031" w:type="dxa"/>
          </w:tcPr>
          <w:p w14:paraId="309E9521">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28～33</w:t>
            </w:r>
          </w:p>
        </w:tc>
      </w:tr>
      <w:tr w14:paraId="0C5B7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14:paraId="6F8C617A">
            <w:pPr>
              <w:spacing w:line="360" w:lineRule="auto"/>
              <w:rPr>
                <w:rFonts w:hint="eastAsia" w:ascii="宋体" w:hAnsi="宋体" w:eastAsia="宋体" w:cs="宋体"/>
                <w:position w:val="-34"/>
                <w:szCs w:val="21"/>
              </w:rPr>
            </w:pPr>
          </w:p>
        </w:tc>
        <w:tc>
          <w:tcPr>
            <w:tcW w:w="2335" w:type="dxa"/>
            <w:gridSpan w:val="2"/>
          </w:tcPr>
          <w:p w14:paraId="7FBE4726">
            <w:pPr>
              <w:spacing w:line="360" w:lineRule="auto"/>
              <w:rPr>
                <w:rFonts w:hint="eastAsia" w:ascii="宋体" w:hAnsi="宋体" w:eastAsia="宋体" w:cs="宋体"/>
                <w:color w:val="000000"/>
                <w:position w:val="-34"/>
                <w:szCs w:val="21"/>
              </w:rPr>
            </w:pPr>
            <w:r>
              <w:rPr>
                <w:rFonts w:hint="eastAsia" w:ascii="宋体" w:hAnsi="宋体" w:eastAsia="宋体" w:cs="宋体"/>
                <w:position w:val="-34"/>
                <w:szCs w:val="21"/>
              </w:rPr>
              <w:t>水  阻</w:t>
            </w:r>
          </w:p>
        </w:tc>
        <w:tc>
          <w:tcPr>
            <w:tcW w:w="1107" w:type="dxa"/>
          </w:tcPr>
          <w:p w14:paraId="4D1DC5D0">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m</w:t>
            </w:r>
          </w:p>
        </w:tc>
        <w:tc>
          <w:tcPr>
            <w:tcW w:w="3031" w:type="dxa"/>
          </w:tcPr>
          <w:p w14:paraId="441909B2">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～7.5</w:t>
            </w:r>
          </w:p>
        </w:tc>
      </w:tr>
      <w:tr w14:paraId="0C14A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14:paraId="1728F47D">
            <w:pPr>
              <w:spacing w:line="360" w:lineRule="auto"/>
              <w:rPr>
                <w:rFonts w:hint="eastAsia" w:ascii="宋体" w:hAnsi="宋体" w:eastAsia="宋体" w:cs="宋体"/>
                <w:position w:val="-34"/>
                <w:szCs w:val="21"/>
              </w:rPr>
            </w:pPr>
          </w:p>
        </w:tc>
        <w:tc>
          <w:tcPr>
            <w:tcW w:w="2335" w:type="dxa"/>
            <w:gridSpan w:val="2"/>
          </w:tcPr>
          <w:p w14:paraId="56DCB7F8">
            <w:pPr>
              <w:spacing w:line="360" w:lineRule="auto"/>
              <w:rPr>
                <w:rFonts w:hint="eastAsia" w:ascii="宋体" w:hAnsi="宋体" w:eastAsia="宋体" w:cs="宋体"/>
                <w:position w:val="-34"/>
                <w:szCs w:val="21"/>
              </w:rPr>
            </w:pPr>
            <w:r>
              <w:rPr>
                <w:rFonts w:hint="eastAsia" w:ascii="宋体" w:hAnsi="宋体" w:eastAsia="宋体" w:cs="宋体"/>
                <w:position w:val="-34"/>
                <w:szCs w:val="21"/>
              </w:rPr>
              <w:t>水侧设计压力</w:t>
            </w:r>
          </w:p>
        </w:tc>
        <w:tc>
          <w:tcPr>
            <w:tcW w:w="1107" w:type="dxa"/>
          </w:tcPr>
          <w:p w14:paraId="48C5E396">
            <w:pPr>
              <w:spacing w:line="360" w:lineRule="auto"/>
              <w:jc w:val="center"/>
              <w:rPr>
                <w:rFonts w:hint="eastAsia" w:ascii="宋体" w:hAnsi="宋体" w:eastAsia="宋体" w:cs="宋体"/>
                <w:color w:val="000000"/>
                <w:position w:val="-36"/>
                <w:szCs w:val="21"/>
              </w:rPr>
            </w:pPr>
            <w:r>
              <w:rPr>
                <w:rFonts w:hint="eastAsia" w:ascii="宋体" w:hAnsi="宋体" w:eastAsia="宋体" w:cs="宋体"/>
                <w:position w:val="-34"/>
                <w:szCs w:val="21"/>
              </w:rPr>
              <w:t>Mpa</w:t>
            </w:r>
          </w:p>
        </w:tc>
        <w:tc>
          <w:tcPr>
            <w:tcW w:w="3031" w:type="dxa"/>
          </w:tcPr>
          <w:p w14:paraId="6A8A8310">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0.3</w:t>
            </w:r>
          </w:p>
        </w:tc>
      </w:tr>
      <w:tr w14:paraId="720C8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14:paraId="799F0D0F">
            <w:pPr>
              <w:spacing w:line="360" w:lineRule="auto"/>
              <w:rPr>
                <w:rFonts w:hint="eastAsia" w:ascii="宋体" w:hAnsi="宋体" w:eastAsia="宋体" w:cs="宋体"/>
                <w:position w:val="-34"/>
                <w:szCs w:val="21"/>
              </w:rPr>
            </w:pPr>
          </w:p>
        </w:tc>
        <w:tc>
          <w:tcPr>
            <w:tcW w:w="2335" w:type="dxa"/>
            <w:gridSpan w:val="2"/>
          </w:tcPr>
          <w:p w14:paraId="016DC4FD">
            <w:pPr>
              <w:spacing w:line="360" w:lineRule="auto"/>
              <w:rPr>
                <w:rFonts w:hint="eastAsia" w:ascii="宋体" w:hAnsi="宋体" w:eastAsia="宋体" w:cs="宋体"/>
                <w:position w:val="-34"/>
                <w:szCs w:val="21"/>
              </w:rPr>
            </w:pPr>
            <w:r>
              <w:rPr>
                <w:rFonts w:hint="eastAsia" w:ascii="宋体" w:hAnsi="宋体" w:eastAsia="宋体" w:cs="宋体"/>
                <w:position w:val="-34"/>
                <w:szCs w:val="21"/>
              </w:rPr>
              <w:t>管子材料</w:t>
            </w:r>
          </w:p>
        </w:tc>
        <w:tc>
          <w:tcPr>
            <w:tcW w:w="1107" w:type="dxa"/>
          </w:tcPr>
          <w:p w14:paraId="51A34FEB">
            <w:pPr>
              <w:spacing w:line="360" w:lineRule="auto"/>
              <w:jc w:val="center"/>
              <w:rPr>
                <w:rFonts w:hint="eastAsia" w:ascii="宋体" w:hAnsi="宋体" w:eastAsia="宋体" w:cs="宋体"/>
                <w:color w:val="000000"/>
                <w:position w:val="-36"/>
                <w:szCs w:val="21"/>
              </w:rPr>
            </w:pPr>
          </w:p>
        </w:tc>
        <w:tc>
          <w:tcPr>
            <w:tcW w:w="3031" w:type="dxa"/>
          </w:tcPr>
          <w:p w14:paraId="33014A2C">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0Cr18Ni9</w:t>
            </w:r>
          </w:p>
        </w:tc>
      </w:tr>
      <w:tr w14:paraId="674E3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14:paraId="4C25BB31">
            <w:pPr>
              <w:spacing w:line="360" w:lineRule="auto"/>
              <w:jc w:val="center"/>
              <w:rPr>
                <w:rFonts w:hint="eastAsia" w:ascii="宋体" w:hAnsi="宋体" w:eastAsia="宋体" w:cs="宋体"/>
                <w:position w:val="-34"/>
                <w:szCs w:val="21"/>
              </w:rPr>
            </w:pPr>
          </w:p>
        </w:tc>
        <w:tc>
          <w:tcPr>
            <w:tcW w:w="2335" w:type="dxa"/>
            <w:gridSpan w:val="2"/>
          </w:tcPr>
          <w:p w14:paraId="0A8DCD31">
            <w:pPr>
              <w:spacing w:line="360" w:lineRule="auto"/>
              <w:rPr>
                <w:rFonts w:hint="eastAsia" w:ascii="宋体" w:hAnsi="宋体" w:eastAsia="宋体" w:cs="宋体"/>
                <w:position w:val="-34"/>
                <w:szCs w:val="21"/>
              </w:rPr>
            </w:pPr>
            <w:r>
              <w:rPr>
                <w:rFonts w:hint="eastAsia" w:ascii="宋体" w:hAnsi="宋体" w:eastAsia="宋体" w:cs="宋体"/>
                <w:position w:val="-34"/>
                <w:szCs w:val="21"/>
              </w:rPr>
              <w:t>无水时净重</w:t>
            </w:r>
          </w:p>
        </w:tc>
        <w:tc>
          <w:tcPr>
            <w:tcW w:w="1107" w:type="dxa"/>
          </w:tcPr>
          <w:p w14:paraId="46B2A6D9">
            <w:pPr>
              <w:spacing w:line="360" w:lineRule="auto"/>
              <w:jc w:val="center"/>
              <w:rPr>
                <w:rFonts w:hint="eastAsia" w:ascii="宋体" w:hAnsi="宋体" w:eastAsia="宋体" w:cs="宋体"/>
                <w:position w:val="-34"/>
                <w:szCs w:val="21"/>
              </w:rPr>
            </w:pPr>
            <w:r>
              <w:rPr>
                <w:rFonts w:hint="eastAsia" w:ascii="宋体" w:hAnsi="宋体" w:eastAsia="宋体" w:cs="宋体"/>
                <w:position w:val="-34"/>
                <w:szCs w:val="21"/>
              </w:rPr>
              <w:t>t</w:t>
            </w:r>
          </w:p>
        </w:tc>
        <w:tc>
          <w:tcPr>
            <w:tcW w:w="3031" w:type="dxa"/>
          </w:tcPr>
          <w:p w14:paraId="55B7C47F">
            <w:pPr>
              <w:spacing w:line="360" w:lineRule="auto"/>
              <w:jc w:val="center"/>
              <w:rPr>
                <w:rFonts w:hint="eastAsia" w:ascii="宋体" w:hAnsi="宋体" w:eastAsia="宋体" w:cs="宋体"/>
                <w:color w:val="000000"/>
                <w:position w:val="-36"/>
                <w:szCs w:val="21"/>
              </w:rPr>
            </w:pPr>
            <w:r>
              <w:rPr>
                <w:rFonts w:hint="eastAsia" w:ascii="宋体" w:hAnsi="宋体" w:eastAsia="宋体" w:cs="宋体"/>
                <w:color w:val="000000"/>
                <w:position w:val="-34"/>
                <w:szCs w:val="21"/>
              </w:rPr>
              <w:t>～10.47</w:t>
            </w:r>
          </w:p>
        </w:tc>
      </w:tr>
      <w:tr w14:paraId="3DE64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14:paraId="19DEA8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油箱电加热器</w:t>
            </w:r>
          </w:p>
        </w:tc>
        <w:tc>
          <w:tcPr>
            <w:tcW w:w="2335" w:type="dxa"/>
            <w:gridSpan w:val="2"/>
            <w:vAlign w:val="center"/>
          </w:tcPr>
          <w:p w14:paraId="745C58F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  号</w:t>
            </w:r>
          </w:p>
        </w:tc>
        <w:tc>
          <w:tcPr>
            <w:tcW w:w="1107" w:type="dxa"/>
            <w:vAlign w:val="center"/>
          </w:tcPr>
          <w:p w14:paraId="36688A26">
            <w:pPr>
              <w:spacing w:line="360" w:lineRule="auto"/>
              <w:jc w:val="center"/>
              <w:rPr>
                <w:rFonts w:hint="eastAsia" w:ascii="宋体" w:hAnsi="宋体" w:eastAsia="宋体" w:cs="宋体"/>
                <w:color w:val="auto"/>
                <w:szCs w:val="21"/>
                <w:highlight w:val="none"/>
              </w:rPr>
            </w:pPr>
          </w:p>
        </w:tc>
        <w:tc>
          <w:tcPr>
            <w:tcW w:w="3031" w:type="dxa"/>
            <w:vAlign w:val="center"/>
          </w:tcPr>
          <w:p w14:paraId="48E713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GYY4-220/8</w:t>
            </w:r>
          </w:p>
        </w:tc>
      </w:tr>
      <w:tr w14:paraId="71E28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42830839">
            <w:pPr>
              <w:spacing w:line="360" w:lineRule="auto"/>
              <w:jc w:val="center"/>
              <w:rPr>
                <w:rFonts w:hint="eastAsia" w:ascii="宋体" w:hAnsi="宋体" w:eastAsia="宋体" w:cs="宋体"/>
                <w:color w:val="auto"/>
                <w:szCs w:val="21"/>
                <w:highlight w:val="none"/>
              </w:rPr>
            </w:pPr>
          </w:p>
        </w:tc>
        <w:tc>
          <w:tcPr>
            <w:tcW w:w="2335" w:type="dxa"/>
            <w:gridSpan w:val="2"/>
            <w:vAlign w:val="center"/>
          </w:tcPr>
          <w:p w14:paraId="0DBD62E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1107" w:type="dxa"/>
            <w:vAlign w:val="center"/>
          </w:tcPr>
          <w:p w14:paraId="40A690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3031" w:type="dxa"/>
            <w:vAlign w:val="center"/>
          </w:tcPr>
          <w:p w14:paraId="7D76BA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14:paraId="614A7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390905BF">
            <w:pPr>
              <w:spacing w:line="360" w:lineRule="auto"/>
              <w:jc w:val="center"/>
              <w:rPr>
                <w:rFonts w:hint="eastAsia" w:ascii="宋体" w:hAnsi="宋体" w:eastAsia="宋体" w:cs="宋体"/>
                <w:color w:val="auto"/>
                <w:szCs w:val="21"/>
                <w:highlight w:val="none"/>
              </w:rPr>
            </w:pPr>
          </w:p>
        </w:tc>
        <w:tc>
          <w:tcPr>
            <w:tcW w:w="2335" w:type="dxa"/>
            <w:gridSpan w:val="2"/>
            <w:vAlign w:val="center"/>
          </w:tcPr>
          <w:p w14:paraId="7512098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功  率</w:t>
            </w:r>
          </w:p>
        </w:tc>
        <w:tc>
          <w:tcPr>
            <w:tcW w:w="1107" w:type="dxa"/>
            <w:vAlign w:val="center"/>
          </w:tcPr>
          <w:p w14:paraId="41E017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KW</w:t>
            </w:r>
          </w:p>
        </w:tc>
        <w:tc>
          <w:tcPr>
            <w:tcW w:w="3031" w:type="dxa"/>
            <w:vAlign w:val="center"/>
          </w:tcPr>
          <w:p w14:paraId="618AFA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r>
      <w:tr w14:paraId="25F0B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212FA71F">
            <w:pPr>
              <w:spacing w:line="360" w:lineRule="auto"/>
              <w:jc w:val="center"/>
              <w:rPr>
                <w:rFonts w:hint="eastAsia" w:ascii="宋体" w:hAnsi="宋体" w:eastAsia="宋体" w:cs="宋体"/>
                <w:color w:val="auto"/>
                <w:szCs w:val="21"/>
                <w:highlight w:val="none"/>
              </w:rPr>
            </w:pPr>
          </w:p>
        </w:tc>
        <w:tc>
          <w:tcPr>
            <w:tcW w:w="2335" w:type="dxa"/>
            <w:gridSpan w:val="2"/>
            <w:vAlign w:val="center"/>
          </w:tcPr>
          <w:p w14:paraId="3E66C2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压</w:t>
            </w:r>
          </w:p>
        </w:tc>
        <w:tc>
          <w:tcPr>
            <w:tcW w:w="1107" w:type="dxa"/>
            <w:vAlign w:val="center"/>
          </w:tcPr>
          <w:p w14:paraId="01F08D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V</w:t>
            </w:r>
          </w:p>
        </w:tc>
        <w:tc>
          <w:tcPr>
            <w:tcW w:w="3031" w:type="dxa"/>
            <w:vAlign w:val="center"/>
          </w:tcPr>
          <w:p w14:paraId="28155A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220（AC）</w:t>
            </w:r>
          </w:p>
        </w:tc>
      </w:tr>
      <w:tr w14:paraId="73CEC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14:paraId="6CC4AB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蓄能器</w:t>
            </w:r>
          </w:p>
        </w:tc>
        <w:tc>
          <w:tcPr>
            <w:tcW w:w="2335" w:type="dxa"/>
            <w:gridSpan w:val="2"/>
            <w:vAlign w:val="center"/>
          </w:tcPr>
          <w:p w14:paraId="49162D6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  号</w:t>
            </w:r>
          </w:p>
        </w:tc>
        <w:tc>
          <w:tcPr>
            <w:tcW w:w="1107" w:type="dxa"/>
            <w:vAlign w:val="center"/>
          </w:tcPr>
          <w:p w14:paraId="585CB309">
            <w:pPr>
              <w:spacing w:line="360" w:lineRule="auto"/>
              <w:jc w:val="center"/>
              <w:rPr>
                <w:rFonts w:hint="eastAsia" w:ascii="宋体" w:hAnsi="宋体" w:eastAsia="宋体" w:cs="宋体"/>
                <w:color w:val="auto"/>
                <w:szCs w:val="21"/>
                <w:highlight w:val="none"/>
              </w:rPr>
            </w:pPr>
          </w:p>
        </w:tc>
        <w:tc>
          <w:tcPr>
            <w:tcW w:w="3031" w:type="dxa"/>
            <w:vAlign w:val="center"/>
          </w:tcPr>
          <w:p w14:paraId="367349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NXQA-25/10-L</w:t>
            </w:r>
          </w:p>
        </w:tc>
      </w:tr>
      <w:tr w14:paraId="0BDBC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1BA1925F">
            <w:pPr>
              <w:spacing w:line="360" w:lineRule="auto"/>
              <w:jc w:val="center"/>
              <w:rPr>
                <w:rFonts w:hint="eastAsia" w:ascii="宋体" w:hAnsi="宋体" w:eastAsia="宋体" w:cs="宋体"/>
                <w:color w:val="auto"/>
                <w:szCs w:val="21"/>
                <w:highlight w:val="none"/>
              </w:rPr>
            </w:pPr>
          </w:p>
        </w:tc>
        <w:tc>
          <w:tcPr>
            <w:tcW w:w="2335" w:type="dxa"/>
            <w:gridSpan w:val="2"/>
            <w:vAlign w:val="center"/>
          </w:tcPr>
          <w:p w14:paraId="03BFA99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1107" w:type="dxa"/>
            <w:vAlign w:val="center"/>
          </w:tcPr>
          <w:p w14:paraId="1766365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3031" w:type="dxa"/>
            <w:vAlign w:val="center"/>
          </w:tcPr>
          <w:p w14:paraId="0B760B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14:paraId="2757B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0D22D749">
            <w:pPr>
              <w:spacing w:line="360" w:lineRule="auto"/>
              <w:jc w:val="center"/>
              <w:rPr>
                <w:rFonts w:hint="eastAsia" w:ascii="宋体" w:hAnsi="宋体" w:eastAsia="宋体" w:cs="宋体"/>
                <w:color w:val="auto"/>
                <w:szCs w:val="21"/>
                <w:highlight w:val="none"/>
              </w:rPr>
            </w:pPr>
          </w:p>
        </w:tc>
        <w:tc>
          <w:tcPr>
            <w:tcW w:w="2335" w:type="dxa"/>
            <w:gridSpan w:val="2"/>
          </w:tcPr>
          <w:p w14:paraId="1AE13962">
            <w:pPr>
              <w:spacing w:line="360" w:lineRule="auto"/>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公称容积</w:t>
            </w:r>
          </w:p>
        </w:tc>
        <w:tc>
          <w:tcPr>
            <w:tcW w:w="1107" w:type="dxa"/>
          </w:tcPr>
          <w:p w14:paraId="4B2B3805">
            <w:pPr>
              <w:spacing w:line="360" w:lineRule="auto"/>
              <w:jc w:val="center"/>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L</w:t>
            </w:r>
          </w:p>
        </w:tc>
        <w:tc>
          <w:tcPr>
            <w:tcW w:w="3031" w:type="dxa"/>
          </w:tcPr>
          <w:p w14:paraId="27DDE89D">
            <w:pPr>
              <w:spacing w:line="360" w:lineRule="auto"/>
              <w:jc w:val="center"/>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40/个</w:t>
            </w:r>
          </w:p>
        </w:tc>
      </w:tr>
      <w:tr w14:paraId="1ADCC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0D2D316F">
            <w:pPr>
              <w:spacing w:line="360" w:lineRule="auto"/>
              <w:jc w:val="center"/>
              <w:rPr>
                <w:rFonts w:hint="eastAsia" w:ascii="宋体" w:hAnsi="宋体" w:eastAsia="宋体" w:cs="宋体"/>
                <w:color w:val="auto"/>
                <w:szCs w:val="21"/>
                <w:highlight w:val="none"/>
              </w:rPr>
            </w:pPr>
          </w:p>
        </w:tc>
        <w:tc>
          <w:tcPr>
            <w:tcW w:w="2335" w:type="dxa"/>
            <w:gridSpan w:val="2"/>
          </w:tcPr>
          <w:p w14:paraId="1AEAB1D0">
            <w:pPr>
              <w:spacing w:line="360" w:lineRule="auto"/>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充气介质</w:t>
            </w:r>
          </w:p>
        </w:tc>
        <w:tc>
          <w:tcPr>
            <w:tcW w:w="1107" w:type="dxa"/>
          </w:tcPr>
          <w:p w14:paraId="3EDF6ED9">
            <w:pPr>
              <w:spacing w:line="360" w:lineRule="auto"/>
              <w:jc w:val="center"/>
              <w:rPr>
                <w:rFonts w:hint="eastAsia" w:ascii="宋体" w:hAnsi="宋体" w:eastAsia="宋体" w:cs="宋体"/>
                <w:color w:val="auto"/>
                <w:position w:val="-34"/>
                <w:szCs w:val="21"/>
                <w:highlight w:val="none"/>
              </w:rPr>
            </w:pPr>
          </w:p>
        </w:tc>
        <w:tc>
          <w:tcPr>
            <w:tcW w:w="3031" w:type="dxa"/>
          </w:tcPr>
          <w:p w14:paraId="2D39E441">
            <w:pPr>
              <w:spacing w:line="360" w:lineRule="auto"/>
              <w:jc w:val="center"/>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氮气</w:t>
            </w:r>
          </w:p>
        </w:tc>
      </w:tr>
      <w:tr w14:paraId="268E7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0626F573">
            <w:pPr>
              <w:spacing w:line="360" w:lineRule="auto"/>
              <w:jc w:val="center"/>
              <w:rPr>
                <w:rFonts w:hint="eastAsia" w:ascii="宋体" w:hAnsi="宋体" w:eastAsia="宋体" w:cs="宋体"/>
                <w:color w:val="auto"/>
                <w:szCs w:val="21"/>
                <w:highlight w:val="none"/>
              </w:rPr>
            </w:pPr>
          </w:p>
        </w:tc>
        <w:tc>
          <w:tcPr>
            <w:tcW w:w="2335" w:type="dxa"/>
            <w:gridSpan w:val="2"/>
          </w:tcPr>
          <w:p w14:paraId="7BADF7ED">
            <w:pPr>
              <w:spacing w:line="360" w:lineRule="auto"/>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充气压力</w:t>
            </w:r>
          </w:p>
        </w:tc>
        <w:tc>
          <w:tcPr>
            <w:tcW w:w="1107" w:type="dxa"/>
          </w:tcPr>
          <w:p w14:paraId="728B6CCB">
            <w:pPr>
              <w:spacing w:line="360" w:lineRule="auto"/>
              <w:jc w:val="center"/>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Mpa</w:t>
            </w:r>
          </w:p>
        </w:tc>
        <w:tc>
          <w:tcPr>
            <w:tcW w:w="3031" w:type="dxa"/>
          </w:tcPr>
          <w:p w14:paraId="4EE4A659">
            <w:pPr>
              <w:spacing w:line="360" w:lineRule="auto"/>
              <w:jc w:val="center"/>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0.4</w:t>
            </w:r>
          </w:p>
        </w:tc>
      </w:tr>
      <w:tr w14:paraId="4466D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14:paraId="77D5E7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轴头主油泵</w:t>
            </w:r>
          </w:p>
          <w:p w14:paraId="4C0109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（带齿轮箱上）</w:t>
            </w:r>
          </w:p>
        </w:tc>
        <w:tc>
          <w:tcPr>
            <w:tcW w:w="2335" w:type="dxa"/>
            <w:gridSpan w:val="2"/>
          </w:tcPr>
          <w:p w14:paraId="703717BA">
            <w:pPr>
              <w:spacing w:line="360" w:lineRule="auto"/>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数量</w:t>
            </w:r>
          </w:p>
        </w:tc>
        <w:tc>
          <w:tcPr>
            <w:tcW w:w="1107" w:type="dxa"/>
          </w:tcPr>
          <w:p w14:paraId="66B04733">
            <w:pPr>
              <w:spacing w:line="360" w:lineRule="auto"/>
              <w:jc w:val="center"/>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台</w:t>
            </w:r>
          </w:p>
        </w:tc>
        <w:tc>
          <w:tcPr>
            <w:tcW w:w="3031" w:type="dxa"/>
          </w:tcPr>
          <w:p w14:paraId="65FB2B57">
            <w:pPr>
              <w:spacing w:line="360" w:lineRule="auto"/>
              <w:jc w:val="center"/>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1</w:t>
            </w:r>
          </w:p>
        </w:tc>
      </w:tr>
      <w:tr w14:paraId="10765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6616B920">
            <w:pPr>
              <w:spacing w:line="360" w:lineRule="auto"/>
              <w:rPr>
                <w:rFonts w:hint="eastAsia" w:ascii="宋体" w:hAnsi="宋体" w:eastAsia="宋体" w:cs="宋体"/>
                <w:color w:val="auto"/>
                <w:szCs w:val="21"/>
                <w:highlight w:val="none"/>
              </w:rPr>
            </w:pPr>
          </w:p>
        </w:tc>
        <w:tc>
          <w:tcPr>
            <w:tcW w:w="2335" w:type="dxa"/>
            <w:gridSpan w:val="2"/>
          </w:tcPr>
          <w:p w14:paraId="4AAAD17A">
            <w:pPr>
              <w:spacing w:line="360" w:lineRule="auto"/>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流量</w:t>
            </w:r>
          </w:p>
        </w:tc>
        <w:tc>
          <w:tcPr>
            <w:tcW w:w="1107" w:type="dxa"/>
          </w:tcPr>
          <w:p w14:paraId="02E6D542">
            <w:pPr>
              <w:spacing w:line="360" w:lineRule="auto"/>
              <w:jc w:val="center"/>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L/min</w:t>
            </w:r>
          </w:p>
        </w:tc>
        <w:tc>
          <w:tcPr>
            <w:tcW w:w="3031" w:type="dxa"/>
          </w:tcPr>
          <w:p w14:paraId="51E33E13">
            <w:pPr>
              <w:spacing w:line="360" w:lineRule="auto"/>
              <w:jc w:val="center"/>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210</w:t>
            </w:r>
          </w:p>
        </w:tc>
      </w:tr>
    </w:tbl>
    <w:p w14:paraId="259F5895">
      <w:pPr>
        <w:pStyle w:val="6"/>
        <w:numPr>
          <w:ilvl w:val="0"/>
          <w:numId w:val="0"/>
        </w:numPr>
        <w:ind w:firstLine="482" w:firstLineChars="200"/>
        <w:rPr>
          <w:rFonts w:hint="default"/>
          <w:color w:val="0000FF"/>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0CBF3655">
      <w:pPr>
        <w:pStyle w:val="6"/>
        <w:numPr>
          <w:ilvl w:val="0"/>
          <w:numId w:val="0"/>
        </w:num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三、维保</w:t>
      </w:r>
      <w:r>
        <w:rPr>
          <w:rFonts w:hint="eastAsia" w:ascii="宋体"/>
          <w:b/>
          <w:bCs/>
          <w:color w:val="auto"/>
          <w:highlight w:val="none"/>
          <w:lang w:val="en-US" w:eastAsia="zh-CN"/>
        </w:rPr>
        <w:t>内容：</w:t>
      </w:r>
    </w:p>
    <w:tbl>
      <w:tblPr>
        <w:tblStyle w:val="16"/>
        <w:tblW w:w="0" w:type="auto"/>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387"/>
        <w:gridCol w:w="1417"/>
        <w:gridCol w:w="3803"/>
      </w:tblGrid>
      <w:tr w14:paraId="42AA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1A6A96C8">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序号</w:t>
            </w:r>
          </w:p>
        </w:tc>
        <w:tc>
          <w:tcPr>
            <w:tcW w:w="2387" w:type="dxa"/>
          </w:tcPr>
          <w:p w14:paraId="32E3953E">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类别</w:t>
            </w:r>
          </w:p>
        </w:tc>
        <w:tc>
          <w:tcPr>
            <w:tcW w:w="1417" w:type="dxa"/>
          </w:tcPr>
          <w:p w14:paraId="3CA818E8">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次数</w:t>
            </w:r>
          </w:p>
        </w:tc>
        <w:tc>
          <w:tcPr>
            <w:tcW w:w="3803" w:type="dxa"/>
          </w:tcPr>
          <w:p w14:paraId="42F70DA6">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主要工作内容</w:t>
            </w:r>
          </w:p>
        </w:tc>
      </w:tr>
      <w:tr w14:paraId="3369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58114AA2">
            <w:pPr>
              <w:pStyle w:val="31"/>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w:t>
            </w:r>
          </w:p>
        </w:tc>
        <w:tc>
          <w:tcPr>
            <w:tcW w:w="2387" w:type="dxa"/>
            <w:vAlign w:val="center"/>
          </w:tcPr>
          <w:p w14:paraId="62D850E9">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周检查</w:t>
            </w:r>
          </w:p>
        </w:tc>
        <w:tc>
          <w:tcPr>
            <w:tcW w:w="1417" w:type="dxa"/>
            <w:vAlign w:val="center"/>
          </w:tcPr>
          <w:p w14:paraId="5D57FE3D">
            <w:pPr>
              <w:pStyle w:val="31"/>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35次</w:t>
            </w:r>
          </w:p>
        </w:tc>
        <w:tc>
          <w:tcPr>
            <w:tcW w:w="3803" w:type="dxa"/>
            <w:vAlign w:val="center"/>
          </w:tcPr>
          <w:p w14:paraId="773237E5">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每周一次定期检查，具体内容附后</w:t>
            </w:r>
          </w:p>
        </w:tc>
      </w:tr>
      <w:tr w14:paraId="422D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6B28D4D8">
            <w:pPr>
              <w:pStyle w:val="31"/>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2</w:t>
            </w:r>
          </w:p>
        </w:tc>
        <w:tc>
          <w:tcPr>
            <w:tcW w:w="2387" w:type="dxa"/>
            <w:vAlign w:val="center"/>
          </w:tcPr>
          <w:p w14:paraId="32037A23">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月检查</w:t>
            </w:r>
          </w:p>
        </w:tc>
        <w:tc>
          <w:tcPr>
            <w:tcW w:w="1417" w:type="dxa"/>
            <w:vAlign w:val="center"/>
          </w:tcPr>
          <w:p w14:paraId="0C4F6F95">
            <w:pPr>
              <w:pStyle w:val="31"/>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11次</w:t>
            </w:r>
          </w:p>
        </w:tc>
        <w:tc>
          <w:tcPr>
            <w:tcW w:w="3803" w:type="dxa"/>
            <w:vAlign w:val="center"/>
          </w:tcPr>
          <w:p w14:paraId="66BFC614">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每月一次定期检查，具体内容附后</w:t>
            </w:r>
          </w:p>
        </w:tc>
      </w:tr>
      <w:tr w14:paraId="38B7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7772D6B8">
            <w:pPr>
              <w:pStyle w:val="31"/>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3</w:t>
            </w:r>
          </w:p>
        </w:tc>
        <w:tc>
          <w:tcPr>
            <w:tcW w:w="2387" w:type="dxa"/>
            <w:vAlign w:val="center"/>
          </w:tcPr>
          <w:p w14:paraId="277C63E6">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季度检查维护</w:t>
            </w:r>
          </w:p>
        </w:tc>
        <w:tc>
          <w:tcPr>
            <w:tcW w:w="1417" w:type="dxa"/>
            <w:vAlign w:val="center"/>
          </w:tcPr>
          <w:p w14:paraId="31D754DC">
            <w:pPr>
              <w:pStyle w:val="31"/>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4次</w:t>
            </w:r>
          </w:p>
        </w:tc>
        <w:tc>
          <w:tcPr>
            <w:tcW w:w="3803" w:type="dxa"/>
            <w:vAlign w:val="center"/>
          </w:tcPr>
          <w:p w14:paraId="0DCD7F6E">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每季度一次定期检查，具体内容附后</w:t>
            </w:r>
          </w:p>
        </w:tc>
      </w:tr>
      <w:tr w14:paraId="5BB2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4EB70D3F">
            <w:pPr>
              <w:pStyle w:val="31"/>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4</w:t>
            </w:r>
          </w:p>
        </w:tc>
        <w:tc>
          <w:tcPr>
            <w:tcW w:w="2387" w:type="dxa"/>
            <w:vAlign w:val="center"/>
          </w:tcPr>
          <w:p w14:paraId="7DD181D3">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年度大修</w:t>
            </w:r>
          </w:p>
        </w:tc>
        <w:tc>
          <w:tcPr>
            <w:tcW w:w="1417" w:type="dxa"/>
            <w:vAlign w:val="center"/>
          </w:tcPr>
          <w:p w14:paraId="7AD7B142">
            <w:pPr>
              <w:pStyle w:val="31"/>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1次</w:t>
            </w:r>
          </w:p>
        </w:tc>
        <w:tc>
          <w:tcPr>
            <w:tcW w:w="3803" w:type="dxa"/>
            <w:vAlign w:val="center"/>
          </w:tcPr>
          <w:p w14:paraId="45B7F9CA">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每年一次大修，具体内容附后</w:t>
            </w:r>
          </w:p>
        </w:tc>
      </w:tr>
    </w:tbl>
    <w:p w14:paraId="074DA6E3">
      <w:pPr>
        <w:pStyle w:val="6"/>
        <w:numPr>
          <w:ilvl w:val="0"/>
          <w:numId w:val="0"/>
        </w:numPr>
        <w:ind w:firstLine="480" w:firstLineChars="200"/>
        <w:rPr>
          <w:rFonts w:hint="eastAsia" w:hAnsi="宋体" w:eastAsia="宋体" w:cs="宋体"/>
          <w:snapToGrid w:val="0"/>
          <w:color w:val="auto"/>
          <w:kern w:val="2"/>
          <w:sz w:val="24"/>
          <w:szCs w:val="21"/>
          <w:lang w:val="en-US" w:eastAsia="zh-CN" w:bidi="ar-SA"/>
        </w:rPr>
      </w:pPr>
    </w:p>
    <w:p w14:paraId="69326C5C">
      <w:pPr>
        <w:pStyle w:val="6"/>
        <w:numPr>
          <w:ilvl w:val="0"/>
          <w:numId w:val="0"/>
        </w:numPr>
        <w:ind w:firstLine="482" w:firstLineChars="200"/>
        <w:rPr>
          <w:rFonts w:hint="default" w:ascii="宋体" w:hAnsi="宋体" w:eastAsia="宋体" w:cs="宋体"/>
          <w:b/>
          <w:bCs/>
          <w:sz w:val="24"/>
          <w:highlight w:val="none"/>
          <w:lang w:val="en-US" w:eastAsia="zh-CN"/>
        </w:rPr>
      </w:pPr>
      <w:r>
        <w:rPr>
          <w:rFonts w:hint="eastAsia" w:hAnsi="宋体" w:eastAsia="宋体" w:cs="宋体"/>
          <w:b/>
          <w:bCs/>
          <w:sz w:val="24"/>
          <w:highlight w:val="none"/>
          <w:lang w:val="en-US" w:eastAsia="zh-CN"/>
        </w:rPr>
        <w:t>1.</w:t>
      </w:r>
      <w:r>
        <w:rPr>
          <w:rFonts w:hint="eastAsia" w:ascii="宋体" w:hAnsi="宋体" w:eastAsia="宋体" w:cs="宋体"/>
          <w:b/>
          <w:bCs/>
          <w:sz w:val="24"/>
          <w:highlight w:val="none"/>
          <w:lang w:val="en-US" w:eastAsia="zh-CN"/>
        </w:rPr>
        <w:t>周检查</w:t>
      </w:r>
      <w:r>
        <w:rPr>
          <w:rFonts w:hint="eastAsia" w:hAnsi="宋体" w:eastAsia="宋体" w:cs="宋体"/>
          <w:b/>
          <w:bCs/>
          <w:sz w:val="24"/>
          <w:highlight w:val="none"/>
          <w:lang w:val="en-US" w:eastAsia="zh-CN"/>
        </w:rPr>
        <w:t>内容</w:t>
      </w:r>
    </w:p>
    <w:p w14:paraId="2182B90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（1）记录汽轮机实时振动情况，以及进汽温度和压力，轴承振动值；</w:t>
      </w:r>
    </w:p>
    <w:p w14:paraId="534B990D">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（2）记录轴承进出口油温；</w:t>
      </w:r>
    </w:p>
    <w:p w14:paraId="25CA037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（3）记录润滑油压、测温（范围0.08~0.12MPa，35~45℃）；</w:t>
      </w:r>
    </w:p>
    <w:p w14:paraId="3C2BCEA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（4）检查抽汽逆止阀是否在正常工作状态；</w:t>
      </w:r>
    </w:p>
    <w:p w14:paraId="327BF48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（5）检查轴承油封环和油管路中的油泄漏或油雾；</w:t>
      </w:r>
    </w:p>
    <w:p w14:paraId="4E0658E1">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（6）检查汽轮机任何接口及阀杆处是否有蒸汽泄漏；</w:t>
      </w:r>
    </w:p>
    <w:p w14:paraId="0D2BB963">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（7）检查调节系统是否稳定；</w:t>
      </w:r>
    </w:p>
    <w:p w14:paraId="75101C3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（8）测听汽缸内部噪音水平是否有变化；</w:t>
      </w:r>
    </w:p>
    <w:p w14:paraId="698D0DB6">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（9）测量并记录各轴承座轴承挡处表面金属温度；</w:t>
      </w:r>
    </w:p>
    <w:p w14:paraId="19DE46B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（10）检查汽轮机监测仪表是否正常；</w:t>
      </w:r>
    </w:p>
    <w:p w14:paraId="05DC122A">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（11）检查发电机外壳、接线盒、电缆有无破损、油污、腐蚀；  </w:t>
      </w:r>
    </w:p>
    <w:p w14:paraId="2C6F71B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（12）检查确认发电机铭牌标识清晰，接地线牢固无锈蚀；</w:t>
      </w:r>
    </w:p>
    <w:p w14:paraId="2903CA1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（13）检查发电机冷却系统（如风冷/水冷）是否正常，散热片无堵塞；</w:t>
      </w:r>
    </w:p>
    <w:p w14:paraId="610CB128">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（14）记录发电机电压、电流、频率、功率因数等参数是否在额定范围内；</w:t>
      </w:r>
    </w:p>
    <w:p w14:paraId="10A1D97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（15）检查发电机轴承温度、绕组温度并记录，温度异常升高需及时报知甲方专工； </w:t>
      </w:r>
    </w:p>
    <w:p w14:paraId="736AF3C4">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（16）检查并测量发电机轴承和机座振动值并记录，振动异常需需及时报知甲方专工； </w:t>
      </w:r>
    </w:p>
    <w:p w14:paraId="5CC15C4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（17）检查发电机是否有噪音，是否有内部摩擦或松动异响。</w:t>
      </w:r>
    </w:p>
    <w:p w14:paraId="58B82F49">
      <w:pPr>
        <w:pStyle w:val="6"/>
        <w:numPr>
          <w:ilvl w:val="0"/>
          <w:numId w:val="0"/>
        </w:numPr>
        <w:ind w:firstLine="482" w:firstLineChars="200"/>
        <w:rPr>
          <w:rFonts w:hint="eastAsia" w:ascii="宋体" w:hAnsi="宋体" w:eastAsia="宋体" w:cs="宋体"/>
          <w:b/>
          <w:bCs/>
          <w:sz w:val="24"/>
          <w:highlight w:val="none"/>
          <w:lang w:val="en-US" w:eastAsia="zh-CN"/>
        </w:rPr>
      </w:pPr>
      <w:bookmarkStart w:id="20" w:name="_Toc18468"/>
      <w:r>
        <w:rPr>
          <w:rFonts w:hint="eastAsia" w:hAnsi="宋体" w:eastAsia="宋体" w:cs="宋体"/>
          <w:b/>
          <w:bCs/>
          <w:sz w:val="24"/>
          <w:highlight w:val="none"/>
          <w:lang w:val="en-US" w:eastAsia="zh-CN"/>
        </w:rPr>
        <w:t>2</w:t>
      </w:r>
      <w:r>
        <w:rPr>
          <w:rFonts w:hint="eastAsia" w:ascii="宋体" w:hAnsi="宋体" w:eastAsia="宋体" w:cs="宋体"/>
          <w:b/>
          <w:bCs/>
          <w:sz w:val="24"/>
          <w:highlight w:val="none"/>
          <w:lang w:val="en-US" w:eastAsia="zh-CN"/>
        </w:rPr>
        <w:t>.月检查</w:t>
      </w:r>
      <w:bookmarkEnd w:id="20"/>
      <w:r>
        <w:rPr>
          <w:rFonts w:hint="eastAsia" w:hAnsi="宋体" w:eastAsia="宋体" w:cs="宋体"/>
          <w:b/>
          <w:bCs/>
          <w:sz w:val="24"/>
          <w:highlight w:val="none"/>
          <w:lang w:val="en-US" w:eastAsia="zh-CN"/>
        </w:rPr>
        <w:t>内容</w:t>
      </w:r>
    </w:p>
    <w:p w14:paraId="00F9FC8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（1）检查汽轮机监测仪表，包括振动和金属温度记录仪，检查期间应使这些仪表保持清洁，对仪表进行电气检查；</w:t>
      </w:r>
    </w:p>
    <w:p w14:paraId="2C4EBD7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（2）检查抽汽管道阀门，检查这些阀门的所有控制器，包括操纵座、开关、电磁阀；</w:t>
      </w:r>
    </w:p>
    <w:p w14:paraId="6DA1A46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（3）检查汽轮机阀门，包括主蒸汽、抽汽、蒸汽管道；</w:t>
      </w:r>
    </w:p>
    <w:p w14:paraId="633CFF4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（4）测量疏水器或孔板上、下游管道的温度，检查所有的孔板和疏水器；</w:t>
      </w:r>
    </w:p>
    <w:p w14:paraId="00C4CBC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（5）检查润滑油及EH油油位并记录，如油位偏低需添加；</w:t>
      </w:r>
    </w:p>
    <w:p w14:paraId="3D7120E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（6）发电机轴承润滑脂添加，润滑脂需</w:t>
      </w:r>
      <w:r>
        <w:rPr>
          <w:rFonts w:hint="eastAsia" w:hAnsi="宋体" w:eastAsia="宋体" w:cs="宋体"/>
          <w:sz w:val="24"/>
          <w:highlight w:val="none"/>
          <w:lang w:val="en-US" w:eastAsia="zh-CN"/>
        </w:rPr>
        <w:t>供应商</w:t>
      </w:r>
      <w:r>
        <w:rPr>
          <w:rFonts w:hint="eastAsia" w:ascii="宋体" w:hAnsi="宋体" w:eastAsia="宋体" w:cs="宋体"/>
          <w:sz w:val="24"/>
          <w:highlight w:val="none"/>
          <w:lang w:val="en-US" w:eastAsia="zh-CN"/>
        </w:rPr>
        <w:t>自行准备，每次加约40g；</w:t>
      </w:r>
    </w:p>
    <w:p w14:paraId="51FE9F05">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（7）月检查项目包含周检查项目。</w:t>
      </w:r>
    </w:p>
    <w:p w14:paraId="5627BB39">
      <w:pPr>
        <w:pStyle w:val="6"/>
        <w:numPr>
          <w:ilvl w:val="0"/>
          <w:numId w:val="0"/>
        </w:numPr>
        <w:ind w:firstLine="482" w:firstLineChars="200"/>
        <w:rPr>
          <w:rFonts w:hint="eastAsia" w:ascii="宋体" w:hAnsi="宋体" w:eastAsia="宋体" w:cs="宋体"/>
          <w:b/>
          <w:bCs/>
          <w:sz w:val="24"/>
          <w:highlight w:val="none"/>
          <w:lang w:val="en-US" w:eastAsia="zh-CN"/>
        </w:rPr>
      </w:pPr>
      <w:r>
        <w:rPr>
          <w:rFonts w:hint="eastAsia" w:hAnsi="宋体" w:eastAsia="宋体" w:cs="宋体"/>
          <w:b/>
          <w:bCs/>
          <w:sz w:val="24"/>
          <w:highlight w:val="none"/>
          <w:lang w:val="en-US" w:eastAsia="zh-CN"/>
        </w:rPr>
        <w:t>3.</w:t>
      </w:r>
      <w:r>
        <w:rPr>
          <w:rFonts w:hint="eastAsia" w:ascii="宋体" w:hAnsi="宋体" w:eastAsia="宋体" w:cs="宋体"/>
          <w:b/>
          <w:bCs/>
          <w:sz w:val="24"/>
          <w:highlight w:val="none"/>
          <w:lang w:val="en-US" w:eastAsia="zh-CN"/>
        </w:rPr>
        <w:t>季度检查</w:t>
      </w:r>
      <w:r>
        <w:rPr>
          <w:rFonts w:hint="eastAsia" w:hAnsi="宋体" w:eastAsia="宋体" w:cs="宋体"/>
          <w:b/>
          <w:bCs/>
          <w:sz w:val="24"/>
          <w:highlight w:val="none"/>
          <w:lang w:val="en-US" w:eastAsia="zh-CN"/>
        </w:rPr>
        <w:t>内容</w:t>
      </w:r>
    </w:p>
    <w:p w14:paraId="2C4FAF3A">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（1）每季度对EH油及汽轮机润滑油滤油过滤，过滤周期不低于两天；</w:t>
      </w:r>
    </w:p>
    <w:p w14:paraId="308A54BA">
      <w:pPr>
        <w:pStyle w:val="6"/>
        <w:numPr>
          <w:ilvl w:val="0"/>
          <w:numId w:val="0"/>
        </w:numPr>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（2）</w:t>
      </w:r>
      <w:r>
        <w:rPr>
          <w:rFonts w:hint="eastAsia" w:ascii="宋体" w:hAnsi="宋体" w:eastAsia="宋体" w:cs="宋体"/>
          <w:sz w:val="24"/>
          <w:highlight w:val="none"/>
          <w:lang w:val="en-US" w:eastAsia="zh-CN"/>
        </w:rPr>
        <w:t>季度检查维护项目包含周检查及月检查项目。</w:t>
      </w:r>
    </w:p>
    <w:p w14:paraId="73672081">
      <w:pPr>
        <w:pStyle w:val="6"/>
        <w:numPr>
          <w:ilvl w:val="0"/>
          <w:numId w:val="0"/>
        </w:numPr>
        <w:ind w:firstLine="482" w:firstLineChars="200"/>
        <w:rPr>
          <w:rFonts w:hint="eastAsia" w:ascii="宋体" w:hAnsi="宋体" w:eastAsia="宋体" w:cs="宋体"/>
          <w:b/>
          <w:bCs/>
          <w:sz w:val="24"/>
          <w:highlight w:val="none"/>
          <w:lang w:val="en-US" w:eastAsia="zh-CN"/>
        </w:rPr>
      </w:pPr>
      <w:bookmarkStart w:id="21" w:name="_Toc14243"/>
      <w:r>
        <w:rPr>
          <w:rFonts w:hint="eastAsia" w:hAnsi="宋体" w:eastAsia="宋体" w:cs="宋体"/>
          <w:b/>
          <w:bCs/>
          <w:sz w:val="24"/>
          <w:highlight w:val="none"/>
          <w:lang w:val="en-US" w:eastAsia="zh-CN"/>
        </w:rPr>
        <w:t>4</w:t>
      </w:r>
      <w:r>
        <w:rPr>
          <w:rFonts w:hint="eastAsia" w:ascii="宋体" w:hAnsi="宋体" w:eastAsia="宋体" w:cs="宋体"/>
          <w:b/>
          <w:bCs/>
          <w:sz w:val="24"/>
          <w:highlight w:val="none"/>
          <w:lang w:val="en-US" w:eastAsia="zh-CN"/>
        </w:rPr>
        <w:t>.年度大修</w:t>
      </w:r>
      <w:bookmarkEnd w:id="21"/>
      <w:r>
        <w:rPr>
          <w:rFonts w:hint="eastAsia" w:hAnsi="宋体" w:eastAsia="宋体" w:cs="宋体"/>
          <w:b/>
          <w:bCs/>
          <w:sz w:val="24"/>
          <w:highlight w:val="none"/>
          <w:lang w:val="en-US" w:eastAsia="zh-CN"/>
        </w:rPr>
        <w:t>内容</w:t>
      </w:r>
    </w:p>
    <w:p w14:paraId="0C81CAA4">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（1）对主汽门、调节汽阀要测定阀杆、阻汽套、衬套等零件的氧化积垢情况，要恢复其设计间隙，并要核查各密封面（包括自密封面）的接触情况并予以修复；</w:t>
      </w:r>
    </w:p>
    <w:p w14:paraId="0D17F026">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（2）对汽缸要检查所有配合与装配表面，注意汽缸壁上是否有磨蚀，检查水平中分面有否漏汽迹象，如有需一并处理，检查法兰螺栓、螺母、垫圈，固定螺钉有否松脱；</w:t>
      </w:r>
    </w:p>
    <w:p w14:paraId="0ED85E2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全面检查各径向轴承，测定并记录轴承和轴颈的直径，检查轴颈上是否有划痕，擦伤或麻点。轴承衬瓦是否有蚀点，磨痕或脱落情况。推力轴承要检查正、反推力。检查各瓦块表面、各轴承热电偶接线情况；</w:t>
      </w:r>
    </w:p>
    <w:p w14:paraId="30A913EA">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（4）全面检查润滑系统（包括冷油器清洗，油箱清理，辅助油泵及轴承内部清洁）；</w:t>
      </w:r>
    </w:p>
    <w:p w14:paraId="47E2558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（5）全面检查转子及汽封系统，检查动叶片（包括叶根）和围带情况，末级叶片水蚀情况，测量记录检修前后通流部分的轴向和径向间隙。检查叶片磨蚀情况，检查汽封档凸肩情况，检查汽封环有否磨损；</w:t>
      </w:r>
    </w:p>
    <w:p w14:paraId="776BE58A">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（6）检查联轴器对中情况，检查其连接螺栓、螺母；</w:t>
      </w:r>
    </w:p>
    <w:p w14:paraId="0F220F5D">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（7）检查各隔板有否磨痕，各静叶尤其是出汽边是否有麻点、裂纹、金属磨蚀；</w:t>
      </w:r>
    </w:p>
    <w:p w14:paraId="7CE7155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（8）复核通流部分的定位基准，复核轴系的找中曲线，包括复核冷态各轴承标高与原始安装值有否变化，各联轴器处开口和外圆的变化情况，如有变化并予以修复；</w:t>
      </w:r>
    </w:p>
    <w:p w14:paraId="417F56E3">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（9）凝汽器检查，包括凝汽器内部汽侧检查及水侧管束、腔室检查并清洗。</w:t>
      </w:r>
    </w:p>
    <w:p w14:paraId="48AD31A6">
      <w:pPr>
        <w:pStyle w:val="6"/>
        <w:numPr>
          <w:ilvl w:val="0"/>
          <w:numId w:val="0"/>
        </w:numPr>
        <w:ind w:firstLine="482" w:firstLineChars="200"/>
        <w:rPr>
          <w:rFonts w:hint="default"/>
          <w:b/>
          <w:bCs/>
          <w:color w:val="auto"/>
          <w:lang w:val="en-US" w:eastAsia="zh-CN"/>
        </w:rPr>
      </w:pPr>
      <w:r>
        <w:rPr>
          <w:rFonts w:hint="eastAsia"/>
          <w:b/>
          <w:bCs/>
          <w:color w:val="auto"/>
          <w:lang w:val="en-US" w:eastAsia="zh-CN"/>
        </w:rPr>
        <w:t>四、维保技术要求</w:t>
      </w:r>
    </w:p>
    <w:p w14:paraId="27DDBBED">
      <w:pPr>
        <w:pStyle w:val="6"/>
        <w:numPr>
          <w:ilvl w:val="0"/>
          <w:numId w:val="0"/>
        </w:numPr>
        <w:ind w:firstLine="482" w:firstLineChars="200"/>
        <w:rPr>
          <w:rFonts w:hint="eastAsia" w:hAnsi="宋体" w:eastAsia="宋体" w:cs="宋体"/>
          <w:b/>
          <w:bCs/>
          <w:sz w:val="24"/>
          <w:highlight w:val="none"/>
          <w:lang w:val="en-US" w:eastAsia="zh-CN"/>
        </w:rPr>
      </w:pPr>
      <w:bookmarkStart w:id="22" w:name="_Toc92293423"/>
      <w:r>
        <w:rPr>
          <w:rFonts w:hint="eastAsia" w:hAnsi="宋体" w:eastAsia="宋体" w:cs="宋体"/>
          <w:b/>
          <w:bCs/>
          <w:sz w:val="24"/>
          <w:highlight w:val="none"/>
          <w:lang w:val="en-US" w:eastAsia="zh-CN"/>
        </w:rPr>
        <w:t>1.汽轮机运行中的检查项目</w:t>
      </w:r>
      <w:bookmarkEnd w:id="22"/>
    </w:p>
    <w:p w14:paraId="21B72B45">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供应商</w:t>
      </w:r>
      <w:r>
        <w:rPr>
          <w:rFonts w:hint="eastAsia" w:ascii="宋体" w:hAnsi="宋体" w:eastAsia="宋体" w:cs="宋体"/>
          <w:sz w:val="24"/>
          <w:highlight w:val="none"/>
          <w:lang w:val="en-US" w:eastAsia="zh-CN"/>
        </w:rPr>
        <w:t>运行人员应充分了解设备的运行限额，预防措施和运行程序，应始终严密监测汽轮机的状况。任何偏离正常值的状况都可能表明已出了故障或存在出事故的苗子，应立即查明。任何漏水、漏油、漏汽或保温层松脱等都是</w:t>
      </w:r>
      <w:r>
        <w:rPr>
          <w:rFonts w:hint="eastAsia" w:hAnsi="宋体" w:eastAsia="宋体" w:cs="宋体"/>
          <w:sz w:val="24"/>
          <w:highlight w:val="none"/>
          <w:lang w:val="en-US" w:eastAsia="zh-CN"/>
        </w:rPr>
        <w:t>不稳定因素</w:t>
      </w:r>
      <w:r>
        <w:rPr>
          <w:rFonts w:hint="eastAsia" w:ascii="宋体" w:hAnsi="宋体" w:eastAsia="宋体" w:cs="宋体"/>
          <w:sz w:val="24"/>
          <w:highlight w:val="none"/>
          <w:lang w:val="en-US" w:eastAsia="zh-CN"/>
        </w:rPr>
        <w:t>，可能酿成严重事故，任何这类情况都应立即查明。</w:t>
      </w:r>
    </w:p>
    <w:p w14:paraId="32322E06">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在运行期间除完整记录综合运行日志“历史情况记录”外，在汽轮机停机检修前尚应检查下列项目，以确定需特别注意和检查的项目。</w:t>
      </w:r>
    </w:p>
    <w:p w14:paraId="5FE19254">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（1）记录额定负荷，3/4和1/2额定负荷时的振动情况，相位角变化和幅值增减，以及进汽温度和压力。</w:t>
      </w:r>
    </w:p>
    <w:p w14:paraId="475EA6E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（2）记录额定负荷和卸负荷停机时轴承进出口油温和巴氏合金的温度。</w:t>
      </w:r>
    </w:p>
    <w:p w14:paraId="523D7F4B">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（3）测定油滤网上是否有巴氏合金或其它金属碎片。</w:t>
      </w:r>
    </w:p>
    <w:p w14:paraId="38FAA91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（4）测定润滑油系统压力是否有任何变化。</w:t>
      </w:r>
    </w:p>
    <w:p w14:paraId="65456F85">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（5）脱扣时主汽阀和调阀是否能迅速及时地关闭。</w:t>
      </w:r>
    </w:p>
    <w:p w14:paraId="2E58122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（6）脱扣后测定汽机惰走曲线</w:t>
      </w:r>
    </w:p>
    <w:p w14:paraId="7A0DFC4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（7）抽汽逆止阀是否在正常工作状态</w:t>
      </w:r>
    </w:p>
    <w:p w14:paraId="06EE33EA">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（8）转子位置是否与原基准值相比有了变化，应特别注意额定负荷下的比较。</w:t>
      </w:r>
    </w:p>
    <w:p w14:paraId="648C1CF5">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（9）注意轴承油封环和油管路中的油泄漏或油雾。</w:t>
      </w:r>
    </w:p>
    <w:p w14:paraId="081AA093">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（10）注意在汽轮机的任何接口或阀杆处的任何蒸汽泄漏。</w:t>
      </w:r>
    </w:p>
    <w:p w14:paraId="783E9F4B">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（11）观察各汽封是否正常。</w:t>
      </w:r>
    </w:p>
    <w:p w14:paraId="5F75C12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（12）调节系统是否稳定。</w:t>
      </w:r>
    </w:p>
    <w:p w14:paraId="19425B18">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（13）调节油压是否有过什么变化。</w:t>
      </w:r>
    </w:p>
    <w:p w14:paraId="43322649">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（14）蒸汽排放系统是否正常。</w:t>
      </w:r>
    </w:p>
    <w:p w14:paraId="3A23C08D">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（15）交流油泵及直流油泵开关是否起作用。</w:t>
      </w:r>
    </w:p>
    <w:p w14:paraId="512FEBF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（16）测定汽缸内噪音水平是否有变化。</w:t>
      </w:r>
    </w:p>
    <w:p w14:paraId="6BEF8025">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（17）用表面式温度计测定各轴承座轴承挡处表面金属温度有任何变化。</w:t>
      </w:r>
    </w:p>
    <w:p w14:paraId="7CB7D65A">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（18）确定是否所有汽轮机监测仪表都正常工作。</w:t>
      </w:r>
    </w:p>
    <w:p w14:paraId="04AF3515">
      <w:pPr>
        <w:pStyle w:val="6"/>
        <w:numPr>
          <w:ilvl w:val="0"/>
          <w:numId w:val="0"/>
        </w:numPr>
        <w:ind w:firstLine="482" w:firstLineChars="200"/>
        <w:rPr>
          <w:rFonts w:hint="eastAsia" w:hAnsi="宋体" w:eastAsia="宋体" w:cs="宋体"/>
          <w:b/>
          <w:bCs/>
          <w:sz w:val="24"/>
          <w:highlight w:val="none"/>
          <w:lang w:val="en-US" w:eastAsia="zh-CN"/>
        </w:rPr>
      </w:pPr>
      <w:bookmarkStart w:id="23" w:name="_Toc92293424"/>
      <w:r>
        <w:rPr>
          <w:rFonts w:hint="eastAsia" w:hAnsi="宋体" w:eastAsia="宋体" w:cs="宋体"/>
          <w:b/>
          <w:bCs/>
          <w:sz w:val="24"/>
          <w:highlight w:val="none"/>
          <w:lang w:val="en-US" w:eastAsia="zh-CN"/>
        </w:rPr>
        <w:t>2.短期停机的检查项目</w:t>
      </w:r>
      <w:bookmarkEnd w:id="23"/>
    </w:p>
    <w:p w14:paraId="57E8A793">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如果以往的运行经验或各进汽阀的活动试验表明其结构可能存在问题，则每种型式的进汽阀至少要拆开一只进行检查。核查阀门，阀杆和衬套的状况及其相应间隙，由检查结果确定是否需要对其余阀门再作检查。</w:t>
      </w:r>
    </w:p>
    <w:p w14:paraId="7AF13428">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（2）检查所有有异常迹象的部件。</w:t>
      </w:r>
    </w:p>
    <w:p w14:paraId="358E9F4C">
      <w:pPr>
        <w:pStyle w:val="6"/>
        <w:numPr>
          <w:ilvl w:val="0"/>
          <w:numId w:val="0"/>
        </w:numPr>
        <w:ind w:firstLine="482" w:firstLineChars="200"/>
        <w:rPr>
          <w:rFonts w:hint="eastAsia" w:hAnsi="宋体" w:eastAsia="宋体" w:cs="宋体"/>
          <w:b/>
          <w:bCs/>
          <w:sz w:val="24"/>
          <w:highlight w:val="none"/>
          <w:lang w:val="en-US" w:eastAsia="zh-CN"/>
        </w:rPr>
      </w:pPr>
      <w:bookmarkStart w:id="24" w:name="_Toc92293426"/>
      <w:r>
        <w:rPr>
          <w:rFonts w:hint="eastAsia" w:hAnsi="宋体" w:eastAsia="宋体" w:cs="宋体"/>
          <w:b/>
          <w:bCs/>
          <w:sz w:val="24"/>
          <w:highlight w:val="none"/>
          <w:lang w:val="en-US" w:eastAsia="zh-CN"/>
        </w:rPr>
        <w:t>3.停机后的维护</w:t>
      </w:r>
      <w:bookmarkEnd w:id="24"/>
    </w:p>
    <w:p w14:paraId="04D7A266">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3.1</w:t>
      </w:r>
      <w:r>
        <w:rPr>
          <w:rFonts w:hint="eastAsia" w:ascii="宋体" w:hAnsi="宋体" w:eastAsia="宋体" w:cs="宋体"/>
          <w:sz w:val="24"/>
          <w:highlight w:val="none"/>
          <w:lang w:val="en-US" w:eastAsia="zh-CN"/>
        </w:rPr>
        <w:t>汽轮机停用期不超过</w:t>
      </w:r>
      <w:r>
        <w:rPr>
          <w:rFonts w:hint="eastAsia" w:hAnsi="宋体" w:eastAsia="宋体" w:cs="宋体"/>
          <w:sz w:val="24"/>
          <w:highlight w:val="none"/>
          <w:lang w:val="en-US" w:eastAsia="zh-CN"/>
        </w:rPr>
        <w:t>14天</w:t>
      </w:r>
      <w:r>
        <w:rPr>
          <w:rFonts w:hint="eastAsia" w:ascii="宋体" w:hAnsi="宋体" w:eastAsia="宋体" w:cs="宋体"/>
          <w:sz w:val="24"/>
          <w:highlight w:val="none"/>
          <w:lang w:val="en-US" w:eastAsia="zh-CN"/>
        </w:rPr>
        <w:t>（无检修工作）时的保养措施：</w:t>
      </w:r>
    </w:p>
    <w:p w14:paraId="54847E85">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（1）关闭机组与公共母管连接的汽水系统隔绝阀门，若阀门不严密应扩大隔绝范围或加装堵板。</w:t>
      </w:r>
    </w:p>
    <w:p w14:paraId="17AF89F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（2）开启有关通向大气的疏水、放水、放气等阀门。设法放尽管道、容器、箱内等内部的积水或存水。</w:t>
      </w:r>
    </w:p>
    <w:p w14:paraId="647E979A">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（3）每星期进行一次油箱低部放水，若有条件可启动各油泵进行油循环，如无条件则每天将转子转动半圈。</w:t>
      </w:r>
    </w:p>
    <w:p w14:paraId="3C1F1F1D">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（4）如汽轮机停用期适值冬季，则应做好防冻工作。</w:t>
      </w:r>
    </w:p>
    <w:p w14:paraId="5328A7C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（5）暴露于外部的加工面涂以防锈油。</w:t>
      </w:r>
    </w:p>
    <w:p w14:paraId="06877361">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3.2</w:t>
      </w:r>
      <w:r>
        <w:rPr>
          <w:rFonts w:hint="eastAsia" w:ascii="宋体" w:hAnsi="宋体" w:eastAsia="宋体" w:cs="宋体"/>
          <w:sz w:val="24"/>
          <w:highlight w:val="none"/>
          <w:lang w:val="en-US" w:eastAsia="zh-CN"/>
        </w:rPr>
        <w:t>汽轮机停用超过</w:t>
      </w:r>
      <w:r>
        <w:rPr>
          <w:rFonts w:hint="eastAsia" w:hAnsi="宋体" w:eastAsia="宋体" w:cs="宋体"/>
          <w:sz w:val="24"/>
          <w:highlight w:val="none"/>
          <w:lang w:val="en-US" w:eastAsia="zh-CN"/>
        </w:rPr>
        <w:t>14天</w:t>
      </w:r>
      <w:r>
        <w:rPr>
          <w:rFonts w:hint="eastAsia" w:ascii="宋体" w:hAnsi="宋体" w:eastAsia="宋体" w:cs="宋体"/>
          <w:sz w:val="24"/>
          <w:highlight w:val="none"/>
          <w:lang w:val="en-US" w:eastAsia="zh-CN"/>
        </w:rPr>
        <w:t>，但不超过六个月（无检修工作）时的保养措施，除了应做好</w:t>
      </w:r>
      <w:r>
        <w:rPr>
          <w:rFonts w:hint="eastAsia" w:ascii="宋体" w:hAnsi="宋体" w:eastAsia="宋体" w:cs="宋体"/>
          <w:color w:val="auto"/>
          <w:sz w:val="24"/>
          <w:highlight w:val="none"/>
          <w:lang w:val="en-US" w:eastAsia="zh-CN"/>
        </w:rPr>
        <w:t>上述（</w:t>
      </w:r>
      <w:r>
        <w:rPr>
          <w:rFonts w:hint="eastAsia" w:hAnsi="宋体" w:eastAsia="宋体" w:cs="宋体"/>
          <w:color w:val="auto"/>
          <w:sz w:val="24"/>
          <w:highlight w:val="none"/>
          <w:lang w:val="en-US" w:eastAsia="zh-CN"/>
        </w:rPr>
        <w:t>3</w:t>
      </w:r>
      <w:r>
        <w:rPr>
          <w:rFonts w:hint="eastAsia" w:ascii="宋体" w:hAnsi="宋体" w:eastAsia="宋体" w:cs="宋体"/>
          <w:color w:val="auto"/>
          <w:sz w:val="24"/>
          <w:highlight w:val="none"/>
          <w:lang w:val="en-US" w:eastAsia="zh-CN"/>
        </w:rPr>
        <w:t>.1）保</w:t>
      </w:r>
      <w:r>
        <w:rPr>
          <w:rFonts w:hint="eastAsia" w:ascii="宋体" w:hAnsi="宋体" w:eastAsia="宋体" w:cs="宋体"/>
          <w:sz w:val="24"/>
          <w:highlight w:val="none"/>
          <w:lang w:val="en-US" w:eastAsia="zh-CN"/>
        </w:rPr>
        <w:t>养工作外，还应采用热风干燥法进行保养。送风时排汽缸温度应低于80℃，一般应调节热风温度，使汽轮机内缸内壁温度比室温高3～5℃。若热干燥有困难，可用抽汽器抽真空，使机组内部保持干燥，每月进行一次，运行一小时（选择晴天，空气比较干燥时进行）</w:t>
      </w:r>
    </w:p>
    <w:p w14:paraId="79E1C752">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3.3</w:t>
      </w:r>
      <w:r>
        <w:rPr>
          <w:rFonts w:hint="eastAsia" w:ascii="宋体" w:hAnsi="宋体" w:eastAsia="宋体" w:cs="宋体"/>
          <w:sz w:val="24"/>
          <w:highlight w:val="none"/>
          <w:lang w:val="en-US" w:eastAsia="zh-CN"/>
        </w:rPr>
        <w:t>汽轮机停用期超过六个月时的保养措施：除了应做好上述保养工作外，还应采用拆开保养法进行保养，即在金属表面涂上合适的防锈油脂，或喷上银粉等，妥善保管，并定期检查保养效果。</w:t>
      </w:r>
    </w:p>
    <w:p w14:paraId="4B941905">
      <w:pPr>
        <w:pStyle w:val="6"/>
        <w:numPr>
          <w:ilvl w:val="0"/>
          <w:numId w:val="0"/>
        </w:numPr>
        <w:ind w:firstLine="482" w:firstLineChars="200"/>
        <w:rPr>
          <w:rFonts w:hint="default" w:hAnsi="宋体" w:eastAsia="宋体" w:cs="宋体"/>
          <w:b/>
          <w:bCs/>
          <w:sz w:val="24"/>
          <w:highlight w:val="none"/>
          <w:lang w:val="en-US" w:eastAsia="zh-CN"/>
        </w:rPr>
      </w:pPr>
      <w:bookmarkStart w:id="25" w:name="_Toc92293427"/>
      <w:r>
        <w:rPr>
          <w:rFonts w:hint="eastAsia" w:hAnsi="宋体" w:eastAsia="宋体" w:cs="宋体"/>
          <w:b/>
          <w:bCs/>
          <w:sz w:val="24"/>
          <w:highlight w:val="none"/>
          <w:lang w:val="en-US" w:eastAsia="zh-CN"/>
        </w:rPr>
        <w:t>4.蒸汽管道的清洗</w:t>
      </w:r>
      <w:bookmarkEnd w:id="25"/>
      <w:r>
        <w:rPr>
          <w:rFonts w:hint="eastAsia" w:hAnsi="宋体" w:eastAsia="宋体" w:cs="宋体"/>
          <w:b/>
          <w:bCs/>
          <w:sz w:val="24"/>
          <w:highlight w:val="none"/>
          <w:lang w:val="en-US" w:eastAsia="zh-CN"/>
        </w:rPr>
        <w:t>要求</w:t>
      </w:r>
    </w:p>
    <w:p w14:paraId="288B101C">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4.1</w:t>
      </w:r>
      <w:r>
        <w:rPr>
          <w:rFonts w:hint="eastAsia" w:ascii="宋体" w:hAnsi="宋体" w:eastAsia="宋体" w:cs="宋体"/>
          <w:sz w:val="24"/>
          <w:highlight w:val="none"/>
          <w:lang w:val="en-US" w:eastAsia="zh-CN"/>
        </w:rPr>
        <w:t>汽轮机的安全经济运行要求进入汽轮机主蒸汽没有外来杂物，为了提供纯净的蒸汽，要求锅炉以及汽轮机的进汽管道在通过蒸汽前，需要进行彻底清洗，不仅新机组初始启动前要求清洗管道，而且检修后的锅炉管道和进汽管道在再启动前也要进行（清洗汽封管道也包括在内）。</w:t>
      </w:r>
    </w:p>
    <w:p w14:paraId="33EE53FE">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4.2清洗后，必须达到能清除掉外部杂物，如附在管子内表面的扎制鳞皮、焊珠、焊渣、氧化皮等。</w:t>
      </w:r>
    </w:p>
    <w:p w14:paraId="38354F1C">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4.3清洗的方法：蒸汽管道的清洗目前普遍采用蒸汽吹扫与化学清洗方法，应按照DL5011-92“电力建设施工及验收技术规范”（汽轮机机组篇）中的规定，依管道的类别分别选取蒸汽吹扫或是化学清洗。对蒸汽吹扫的管道需要按DL5031-94“电力建设施工及验收技术规范”（管道篇）的规定，用蒸汽吹扫合格。而对需进行化学清洗的管道，则应按DLJ58-83“电力建设施工及验收技术规范”（火力发电厂化学篇）的要求进行。</w:t>
      </w:r>
    </w:p>
    <w:p w14:paraId="4FE7056A">
      <w:pPr>
        <w:pStyle w:val="6"/>
        <w:numPr>
          <w:ilvl w:val="0"/>
          <w:numId w:val="0"/>
        </w:numPr>
        <w:ind w:firstLine="482" w:firstLineChars="200"/>
        <w:rPr>
          <w:rFonts w:hint="eastAsia" w:hAnsi="宋体" w:eastAsia="宋体" w:cs="宋体"/>
          <w:b/>
          <w:bCs/>
          <w:sz w:val="24"/>
          <w:highlight w:val="none"/>
          <w:lang w:val="en-US" w:eastAsia="zh-CN"/>
        </w:rPr>
      </w:pPr>
      <w:bookmarkStart w:id="26" w:name="_Toc92293428"/>
      <w:r>
        <w:rPr>
          <w:rFonts w:hint="eastAsia" w:hAnsi="宋体" w:eastAsia="宋体" w:cs="宋体"/>
          <w:b/>
          <w:bCs/>
          <w:sz w:val="24"/>
          <w:highlight w:val="none"/>
          <w:lang w:val="en-US" w:eastAsia="zh-CN"/>
        </w:rPr>
        <w:t>5.润滑要求</w:t>
      </w:r>
      <w:bookmarkEnd w:id="26"/>
    </w:p>
    <w:p w14:paraId="5CFF877F">
      <w:pPr>
        <w:pStyle w:val="31"/>
        <w:pageBreakBefore w:val="0"/>
        <w:kinsoku/>
        <w:wordWrap/>
        <w:topLinePunct w:val="0"/>
        <w:bidi w:val="0"/>
        <w:snapToGrid w:val="0"/>
        <w:spacing w:line="360" w:lineRule="auto"/>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5.1常规的润滑保养项目，对于汽轮机各部套配套的电动机、滚动轴承等需润滑保养的零部件，都按相应制造厂的要求，按常规注油维护。</w:t>
      </w:r>
    </w:p>
    <w:p w14:paraId="0587AF21">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5.2对油质的要求</w:t>
      </w:r>
    </w:p>
    <w:p w14:paraId="0B44B427">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（1）本汽轮机组所用的润滑油规定为32号汽轮机油，并加入防锈用复合添加剂。</w:t>
      </w:r>
    </w:p>
    <w:p w14:paraId="18FEA4AA">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汽轮机油质应符合GB11120-1989 L-TSA汽轮机油的规定，所用润滑油应是均匀的精炼矿物油，它不许含有砂砾，无机酸碱、皂液、沥青、柏油脂和树状杂质，或其他会影响油质或对所接触金属有害的任何杂质。</w:t>
      </w:r>
    </w:p>
    <w:p w14:paraId="6D7A5411">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对汽轮机用油的正确保养将保证轴承、轴颈和油泵等不产生过度的磨损，所以必须作定期的油抽样分析以确定油的特性有否改变，如已改变应查明原因予以处理。</w:t>
      </w:r>
    </w:p>
    <w:p w14:paraId="6600DBB6">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（2）在汽轮机运行期间，检验油质时，允许的杂质水平按下表的规定。</w:t>
      </w:r>
    </w:p>
    <w:tbl>
      <w:tblPr>
        <w:tblStyle w:val="15"/>
        <w:tblW w:w="0" w:type="auto"/>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7"/>
        <w:gridCol w:w="3382"/>
      </w:tblGrid>
      <w:tr w14:paraId="5379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877" w:type="dxa"/>
            <w:vAlign w:val="center"/>
          </w:tcPr>
          <w:p w14:paraId="501F29BC">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杂质粒度尺寸（μ）</w:t>
            </w:r>
          </w:p>
        </w:tc>
        <w:tc>
          <w:tcPr>
            <w:tcW w:w="3382" w:type="dxa"/>
            <w:vAlign w:val="center"/>
          </w:tcPr>
          <w:p w14:paraId="168B5332">
            <w:pPr>
              <w:pStyle w:val="31"/>
              <w:pageBreakBefore w:val="0"/>
              <w:kinsoku/>
              <w:wordWrap/>
              <w:topLinePunct w:val="0"/>
              <w:bidi w:val="0"/>
              <w:snapToGrid w:val="0"/>
              <w:spacing w:line="360" w:lineRule="auto"/>
              <w:ind w:left="0" w:leftChars="0" w:firstLine="0" w:firstLineChars="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每100mL油样中允许的颗粒数</w:t>
            </w:r>
          </w:p>
        </w:tc>
      </w:tr>
      <w:tr w14:paraId="4494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7F2E00A8">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5～10</w:t>
            </w:r>
          </w:p>
        </w:tc>
        <w:tc>
          <w:tcPr>
            <w:tcW w:w="3382" w:type="dxa"/>
            <w:vAlign w:val="center"/>
          </w:tcPr>
          <w:p w14:paraId="05006657">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32000</w:t>
            </w:r>
          </w:p>
        </w:tc>
      </w:tr>
      <w:tr w14:paraId="298E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2708C5F5">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10～25</w:t>
            </w:r>
          </w:p>
        </w:tc>
        <w:tc>
          <w:tcPr>
            <w:tcW w:w="3382" w:type="dxa"/>
            <w:vAlign w:val="center"/>
          </w:tcPr>
          <w:p w14:paraId="10D0B752">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10700</w:t>
            </w:r>
          </w:p>
        </w:tc>
      </w:tr>
      <w:tr w14:paraId="1B1E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4F5078ED">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25～100</w:t>
            </w:r>
          </w:p>
        </w:tc>
        <w:tc>
          <w:tcPr>
            <w:tcW w:w="3382" w:type="dxa"/>
            <w:vAlign w:val="center"/>
          </w:tcPr>
          <w:p w14:paraId="4DD767CD">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1510</w:t>
            </w:r>
          </w:p>
        </w:tc>
      </w:tr>
      <w:tr w14:paraId="5A97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53E61134">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50～250</w:t>
            </w:r>
          </w:p>
        </w:tc>
        <w:tc>
          <w:tcPr>
            <w:tcW w:w="3382" w:type="dxa"/>
            <w:vAlign w:val="center"/>
          </w:tcPr>
          <w:p w14:paraId="48C97D99">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225</w:t>
            </w:r>
          </w:p>
        </w:tc>
      </w:tr>
      <w:tr w14:paraId="5B4A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352D5275">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100～250</w:t>
            </w:r>
          </w:p>
        </w:tc>
        <w:tc>
          <w:tcPr>
            <w:tcW w:w="3382" w:type="dxa"/>
            <w:vAlign w:val="center"/>
          </w:tcPr>
          <w:p w14:paraId="095E9213">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21</w:t>
            </w:r>
          </w:p>
        </w:tc>
      </w:tr>
      <w:tr w14:paraId="6417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3877" w:type="dxa"/>
            <w:vAlign w:val="center"/>
          </w:tcPr>
          <w:p w14:paraId="20D3C3F8">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&gt;250</w:t>
            </w:r>
          </w:p>
        </w:tc>
        <w:tc>
          <w:tcPr>
            <w:tcW w:w="3382" w:type="dxa"/>
            <w:vAlign w:val="center"/>
          </w:tcPr>
          <w:p w14:paraId="65EC3C8B">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无</w:t>
            </w:r>
          </w:p>
        </w:tc>
      </w:tr>
    </w:tbl>
    <w:p w14:paraId="28778F26">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5.3对油系统清洁度的要求</w:t>
      </w:r>
    </w:p>
    <w:p w14:paraId="14145FF8">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在新机组安装后，油系统试运和油循环时油样（用150目油过滤器在最大流量下，置30min取样，然后清洗油过滤器，用200目滤网收集异物）应符合下列要求，油系统清洁度才是合格的。</w:t>
      </w:r>
    </w:p>
    <w:p w14:paraId="3C884740">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（1）没有大于0.25mm的硬颗粒，尺寸在0.125～0.25mm之间的硬颗粒总数不得大于5。</w:t>
      </w:r>
    </w:p>
    <w:p w14:paraId="3A4CB8E7">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（2）在冲洗期间通常要清除以下有害颗粒。</w:t>
      </w:r>
      <w:r>
        <w:rPr>
          <w:rFonts w:hint="eastAsia" w:ascii="宋体" w:hAnsi="宋体" w:eastAsia="宋体" w:cs="宋体"/>
          <w:snapToGrid w:val="0"/>
          <w:color w:val="auto"/>
          <w:kern w:val="2"/>
          <w:sz w:val="24"/>
          <w:szCs w:val="21"/>
          <w:highlight w:val="none"/>
          <w:lang w:val="en-US" w:eastAsia="zh-CN" w:bidi="ar-SA"/>
        </w:rPr>
        <w:tab/>
      </w:r>
    </w:p>
    <w:p w14:paraId="2D56EF32">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大粒积垢或铁锈焊珠或焊渣、砂、石、水泥或玻璃，包括焊条在内的任何种类金属碎屑、片布料、塑料或其它不会檫伤轴颈，但却会阻挡油在管内流动或堵住管孔的物质。</w:t>
      </w:r>
    </w:p>
    <w:p w14:paraId="102C9DA3">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（3）虽稍大于0.25mm，但却可认为是无害的颗粒是棉花、碎纸、锯屑、烟丝、石棉和能很快用手指捻碎的其它软性物质，这些颗粒也要去除。</w:t>
      </w:r>
    </w:p>
    <w:p w14:paraId="36ACE676">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如检查与分析的结果是洁净度不合格，则要继续让热油循环二小时后再收集油样，直至检查与分析合格。</w:t>
      </w:r>
    </w:p>
    <w:p w14:paraId="4681A636">
      <w:pPr>
        <w:pStyle w:val="6"/>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6.维修备件</w:t>
      </w:r>
    </w:p>
    <w:p w14:paraId="2C2040D6">
      <w:pPr>
        <w:pStyle w:val="6"/>
        <w:numPr>
          <w:ilvl w:val="0"/>
          <w:numId w:val="0"/>
        </w:numPr>
        <w:ind w:firstLine="480" w:firstLineChars="200"/>
        <w:rPr>
          <w:rFonts w:hint="eastAsia" w:ascii="宋体" w:hAnsi="宋体" w:eastAsia="宋体" w:cs="宋体"/>
          <w:snapToGrid w:val="0"/>
          <w:color w:val="auto"/>
          <w:kern w:val="2"/>
          <w:sz w:val="24"/>
          <w:szCs w:val="21"/>
          <w:highlight w:val="none"/>
          <w:u w:color="000000"/>
          <w:lang w:val="en-US" w:eastAsia="zh-CN" w:bidi="ar-SA"/>
        </w:rPr>
      </w:pPr>
      <w:r>
        <w:rPr>
          <w:rFonts w:hint="eastAsia" w:hAnsi="宋体" w:eastAsia="宋体" w:cs="宋体"/>
          <w:snapToGrid w:val="0"/>
          <w:color w:val="auto"/>
          <w:kern w:val="2"/>
          <w:sz w:val="24"/>
          <w:szCs w:val="21"/>
          <w:highlight w:val="none"/>
          <w:u w:color="000000"/>
          <w:lang w:val="en-US" w:eastAsia="zh-CN" w:bidi="ar-SA"/>
        </w:rPr>
        <w:t>6.1</w:t>
      </w:r>
      <w:r>
        <w:rPr>
          <w:rFonts w:hint="eastAsia" w:ascii="宋体" w:hAnsi="宋体" w:eastAsia="宋体" w:cs="宋体"/>
          <w:snapToGrid w:val="0"/>
          <w:color w:val="auto"/>
          <w:kern w:val="2"/>
          <w:sz w:val="24"/>
          <w:szCs w:val="21"/>
          <w:highlight w:val="none"/>
          <w:u w:color="000000"/>
          <w:lang w:val="en-US" w:eastAsia="zh-CN" w:bidi="ar-SA"/>
        </w:rPr>
        <w:t>汽轮机</w:t>
      </w:r>
      <w:r>
        <w:rPr>
          <w:rFonts w:hint="eastAsia" w:hAnsi="宋体" w:eastAsia="宋体" w:cs="宋体"/>
          <w:snapToGrid w:val="0"/>
          <w:color w:val="auto"/>
          <w:kern w:val="2"/>
          <w:sz w:val="24"/>
          <w:szCs w:val="21"/>
          <w:highlight w:val="none"/>
          <w:u w:color="000000"/>
          <w:lang w:val="en-US" w:eastAsia="zh-CN" w:bidi="ar-SA"/>
        </w:rPr>
        <w:t>维修配件由采购人提供，低值易耗品由供应商提供，如螺栓、螺母、垫片、抹布等</w:t>
      </w:r>
      <w:r>
        <w:rPr>
          <w:rFonts w:hint="eastAsia" w:ascii="宋体" w:hAnsi="宋体" w:eastAsia="宋体" w:cs="宋体"/>
          <w:snapToGrid w:val="0"/>
          <w:color w:val="auto"/>
          <w:kern w:val="2"/>
          <w:sz w:val="24"/>
          <w:szCs w:val="21"/>
          <w:highlight w:val="none"/>
          <w:u w:color="000000"/>
          <w:lang w:val="en-US" w:eastAsia="zh-CN" w:bidi="ar-SA"/>
        </w:rPr>
        <w:t>。</w:t>
      </w:r>
    </w:p>
    <w:p w14:paraId="6342E492">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6.2维护保养期内，机组零部件发生故障或损坏，需更换新的备品备件时，维保方应向采购人报送需更换的备品清单（备品备件由于采购人提供），经采购人同意批准后方可更换。备件的安装、维修均由维保方承担，一般情况下工时费不另外支付，但若因维修工时超过24个工时，工时费双方协商解决。</w:t>
      </w:r>
    </w:p>
    <w:p w14:paraId="6CBB257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▲五、验收方式</w:t>
      </w:r>
    </w:p>
    <w:p w14:paraId="363144DF">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1.维保方在每次进行保养或维修服务时需要有采购人陪同，采购人对照维保方案现场检查项目是否符合采购人要求，双方在维保确认单上签字确认后验收合格。</w:t>
      </w:r>
    </w:p>
    <w:p w14:paraId="213B1E3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2.采购人与供应商双方组织各自技术人员共同现场验收。</w:t>
      </w:r>
    </w:p>
    <w:p w14:paraId="609F659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▲六、服务要求</w:t>
      </w:r>
    </w:p>
    <w:p w14:paraId="1C3D719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1.机组运行期间，供应商指派相对固定的专业人员，对余热发电机组进行巡检（并记录各项数据）、维护保养，供应商每季度需提交一份有关维护保养的情况报</w:t>
      </w:r>
      <w:r>
        <w:rPr>
          <w:rFonts w:hint="eastAsia" w:ascii="宋体" w:hAnsi="宋体" w:eastAsia="宋体" w:cs="宋体"/>
          <w:color w:val="auto"/>
          <w:sz w:val="24"/>
          <w:szCs w:val="24"/>
          <w:highlight w:val="none"/>
          <w:lang w:val="en-US" w:eastAsia="zh-CN"/>
        </w:rPr>
        <w:t>告；若供应商的服务人员专业技能不满足要求时，供应商要及时更换人员至满足要求为止。</w:t>
      </w:r>
    </w:p>
    <w:p w14:paraId="2354F8C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2.运维包含的常规巡检保养内容包括检查机组的性能、运转状况及更换配件等；</w:t>
      </w:r>
    </w:p>
    <w:p w14:paraId="512C06B2">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应急维修：运维期间，机组运行出现故障时，运维方在接到采购人报修通知后，立即到达现场对设备进行检修，如果现场人员无法满足检维修条件，需尽快从别的项目派人过来维修，除了因为我方原因系统停机外，汽轮机年度运行时间不少于8000小时，停机检修期间，公司根据维修情况适时增派专业维修人员做好维修工作；</w:t>
      </w:r>
    </w:p>
    <w:p w14:paraId="7847724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4.合同期内发电机出现故障需大修时，运维单位需配合进行发电机维修单位拆装及调试工作。</w:t>
      </w:r>
    </w:p>
    <w:p w14:paraId="687105D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5.特别约定：</w:t>
      </w:r>
    </w:p>
    <w:p w14:paraId="3D870BE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5.1采购人在报修通知供应商时应一并提供相关报警信息，以便于供应商工程师做准备。</w:t>
      </w:r>
    </w:p>
    <w:p w14:paraId="6EE03008">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5.2供应商严格遵守采购人各项外来人员的规章制度和安全规程。供应商自行承担工作人员在维护工作中的安全责任。如果出现安全事故，一切后果由供应商自行承担。</w:t>
      </w:r>
    </w:p>
    <w:p w14:paraId="2CB8724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5.3供应商不承担外部坏境或因人为误操作、破坏等引起的直接与间接的损失后果。</w:t>
      </w:r>
    </w:p>
    <w:p w14:paraId="5C02A7D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5.4供应商不承担因地震、火灾、雷击、战争等自然力量不可抗拒的灾害所造成的机器损坏。</w:t>
      </w:r>
    </w:p>
    <w:p w14:paraId="48D63F1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5.5供应商有义务协助采购人维修上述5.3、5.4条发生时所造成的损坏，双方另行协商修理费用。</w:t>
      </w:r>
    </w:p>
    <w:p w14:paraId="411DC660">
      <w:pPr>
        <w:pStyle w:val="6"/>
        <w:numPr>
          <w:ilvl w:val="0"/>
          <w:numId w:val="0"/>
        </w:numPr>
        <w:ind w:firstLine="482" w:firstLineChars="200"/>
        <w:rPr>
          <w:rFonts w:hint="eastAsia"/>
          <w:b/>
          <w:bCs/>
          <w:color w:val="auto"/>
          <w:lang w:val="en-US" w:eastAsia="zh-CN"/>
        </w:rPr>
      </w:pPr>
      <w:r>
        <w:rPr>
          <w:rFonts w:hint="eastAsia"/>
          <w:b/>
          <w:bCs/>
          <w:color w:val="auto"/>
          <w:lang w:val="en-US" w:eastAsia="zh-CN"/>
        </w:rPr>
        <w:t>七、安全要求</w:t>
      </w:r>
    </w:p>
    <w:p w14:paraId="15518E80">
      <w:pPr>
        <w:pStyle w:val="7"/>
        <w:ind w:firstLine="480" w:firstLineChars="200"/>
        <w:rPr>
          <w:color w:val="auto"/>
          <w:lang w:val="en-US"/>
        </w:rPr>
      </w:pPr>
      <w:r>
        <w:rPr>
          <w:rFonts w:hint="eastAsia" w:hAnsi="Arial" w:cs="Arial"/>
          <w:snapToGrid w:val="0"/>
          <w:color w:val="auto"/>
          <w:szCs w:val="21"/>
          <w:lang w:val="en-US" w:eastAsia="zh-CN"/>
        </w:rPr>
        <w:t>1</w:t>
      </w:r>
      <w:r>
        <w:rPr>
          <w:rFonts w:hint="eastAsia" w:hAnsi="Arial" w:cs="Arial"/>
          <w:snapToGrid w:val="0"/>
          <w:color w:val="auto"/>
          <w:szCs w:val="21"/>
          <w:lang w:val="en-US"/>
        </w:rPr>
        <w:t>.</w:t>
      </w:r>
      <w:r>
        <w:rPr>
          <w:rFonts w:hint="eastAsia"/>
          <w:color w:val="auto"/>
          <w:lang w:val="en-US"/>
        </w:rPr>
        <w:t>供应商</w:t>
      </w:r>
      <w:r>
        <w:rPr>
          <w:rFonts w:hint="eastAsia" w:hAnsi="Arial" w:cs="Arial"/>
          <w:snapToGrid w:val="0"/>
          <w:color w:val="auto"/>
          <w:szCs w:val="21"/>
          <w:lang w:val="en-US"/>
        </w:rPr>
        <w:t>负责技术服务过程中的机械及人员的安全，加强对技术服务人员的安全教育及防范措施，</w:t>
      </w:r>
      <w:r>
        <w:rPr>
          <w:rFonts w:hint="eastAsia"/>
          <w:color w:val="auto"/>
          <w:lang w:val="en-US"/>
        </w:rPr>
        <w:t>供应商</w:t>
      </w:r>
      <w:r>
        <w:rPr>
          <w:rFonts w:hint="eastAsia" w:hAnsi="Arial" w:cs="Arial"/>
          <w:snapToGrid w:val="0"/>
          <w:color w:val="auto"/>
          <w:szCs w:val="21"/>
          <w:lang w:val="en-US"/>
        </w:rPr>
        <w:t>技术服务过程中发生的任何质量、安全责任事故及工伤事故等，责任均由</w:t>
      </w:r>
      <w:r>
        <w:rPr>
          <w:rFonts w:hint="eastAsia"/>
          <w:color w:val="auto"/>
          <w:lang w:val="en-US"/>
        </w:rPr>
        <w:t>供应商</w:t>
      </w:r>
      <w:r>
        <w:rPr>
          <w:rFonts w:hint="eastAsia" w:hAnsi="Arial" w:cs="Arial"/>
          <w:snapToGrid w:val="0"/>
          <w:color w:val="auto"/>
          <w:szCs w:val="21"/>
          <w:lang w:val="en-US"/>
        </w:rPr>
        <w:t>承担。</w:t>
      </w:r>
    </w:p>
    <w:p w14:paraId="34CC03E2">
      <w:pPr>
        <w:pStyle w:val="6"/>
        <w:numPr>
          <w:ilvl w:val="0"/>
          <w:numId w:val="0"/>
        </w:numPr>
        <w:ind w:firstLine="480" w:firstLineChars="200"/>
        <w:rPr>
          <w:rFonts w:hint="eastAsia"/>
          <w:b/>
          <w:bCs/>
          <w:color w:val="auto"/>
          <w:lang w:val="en-US" w:eastAsia="zh-CN"/>
        </w:rPr>
      </w:pPr>
      <w:r>
        <w:rPr>
          <w:rFonts w:hint="eastAsia"/>
          <w:color w:val="auto"/>
          <w:lang w:val="en-US" w:eastAsia="zh-CN"/>
        </w:rPr>
        <w:t>2</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期间如因供应商原因发生设备、人身等安全事故由供应商承担赔偿责任。供应商应对其员工的安全负责。</w:t>
      </w:r>
    </w:p>
    <w:p w14:paraId="1E76B485">
      <w:pPr>
        <w:pStyle w:val="6"/>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八</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保密要求</w:t>
      </w:r>
    </w:p>
    <w:p w14:paraId="0E3133F9">
      <w:pPr>
        <w:tabs>
          <w:tab w:val="left" w:pos="360"/>
          <w:tab w:val="left" w:pos="540"/>
          <w:tab w:val="left" w:pos="1080"/>
        </w:tabs>
        <w:adjustRightInd w:val="0"/>
        <w:snapToGrid w:val="0"/>
        <w:spacing w:line="360" w:lineRule="auto"/>
        <w:ind w:firstLine="480" w:firstLineChars="200"/>
        <w:rPr>
          <w:rFonts w:hint="eastAsia" w:cs="仿宋" w:asciiTheme="minorEastAsia" w:hAnsiTheme="minorEastAsia"/>
          <w:color w:val="auto"/>
          <w:kern w:val="0"/>
        </w:rPr>
      </w:pPr>
      <w:r>
        <w:rPr>
          <w:rFonts w:hint="eastAsia" w:ascii="宋体" w:hAnsi="宋体" w:eastAsia="宋体" w:cs="宋体"/>
          <w:color w:val="auto"/>
          <w:sz w:val="24"/>
          <w:lang w:val="en-US" w:eastAsia="zh-CN"/>
        </w:rPr>
        <w:t>供应商</w:t>
      </w:r>
      <w:r>
        <w:rPr>
          <w:rFonts w:hint="eastAsia" w:ascii="宋体" w:hAnsi="宋体" w:eastAsia="宋体" w:cs="宋体"/>
          <w:color w:val="auto"/>
          <w:sz w:val="24"/>
        </w:rPr>
        <w:t>对</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人提供的所有业务技术资料、文档，有责任对第三方保密；</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在供货过程中涉及第三方产品（</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提供的），若出现技术、经济或法律上的纠纷，应由</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全面承担并解决，确保不影响项目的进度。</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应严格遵守</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人关于保密方面的规定，自觉保守</w:t>
      </w:r>
      <w:r>
        <w:rPr>
          <w:rFonts w:hint="eastAsia" w:ascii="宋体" w:hAnsi="宋体" w:eastAsia="宋体" w:cs="宋体"/>
          <w:color w:val="auto"/>
          <w:sz w:val="24"/>
          <w:lang w:val="en-US" w:eastAsia="zh-CN"/>
        </w:rPr>
        <w:t>采购人</w:t>
      </w:r>
      <w:r>
        <w:rPr>
          <w:rFonts w:hint="eastAsia" w:ascii="宋体" w:hAnsi="宋体" w:eastAsia="宋体" w:cs="宋体"/>
          <w:color w:val="auto"/>
          <w:sz w:val="24"/>
        </w:rPr>
        <w:t>的商业秘密。</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人为方便项目实施所提供给</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的工作流程、管理模式、规程、程序等相关文档资料、文档、数据均属于</w:t>
      </w:r>
      <w:r>
        <w:rPr>
          <w:rFonts w:hint="eastAsia" w:ascii="宋体" w:hAnsi="宋体" w:eastAsia="宋体" w:cs="宋体"/>
          <w:color w:val="auto"/>
          <w:sz w:val="24"/>
          <w:lang w:val="en-US" w:eastAsia="zh-CN"/>
        </w:rPr>
        <w:t>采购人</w:t>
      </w:r>
      <w:r>
        <w:rPr>
          <w:rFonts w:hint="eastAsia" w:ascii="宋体" w:hAnsi="宋体" w:eastAsia="宋体" w:cs="宋体"/>
          <w:color w:val="auto"/>
          <w:sz w:val="24"/>
        </w:rPr>
        <w:t>所有。未经</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人授权同意，</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不得另作他用。因</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原因导致上述资料、文档、数据或</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人商业秘密泄露的，</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人有权要求</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采取措施消除影响并赔偿</w:t>
      </w:r>
      <w:r>
        <w:rPr>
          <w:rFonts w:hint="eastAsia" w:ascii="宋体" w:hAnsi="宋体" w:eastAsia="宋体" w:cs="宋体"/>
          <w:color w:val="auto"/>
          <w:sz w:val="24"/>
          <w:lang w:eastAsia="zh-CN"/>
        </w:rPr>
        <w:t>采购人</w:t>
      </w:r>
      <w:r>
        <w:rPr>
          <w:rFonts w:hint="eastAsia" w:ascii="宋体" w:hAnsi="宋体" w:eastAsia="宋体" w:cs="宋体"/>
          <w:color w:val="auto"/>
          <w:sz w:val="24"/>
        </w:rPr>
        <w:t>损失</w:t>
      </w:r>
      <w:r>
        <w:rPr>
          <w:rFonts w:hint="eastAsia" w:ascii="宋体" w:hAnsi="宋体" w:eastAsia="宋体" w:cs="宋体"/>
          <w:color w:val="auto"/>
          <w:sz w:val="24"/>
          <w:lang w:val="en-US" w:eastAsia="zh-CN"/>
        </w:rPr>
        <w:t>。</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九、结算方式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仿宋" w:asciiTheme="minorEastAsia" w:hAnsiTheme="minorEastAsia"/>
          <w:kern w:val="0"/>
          <w:lang w:val="en-US" w:eastAsia="zh-CN"/>
        </w:rPr>
        <w:t>十</w:t>
      </w:r>
      <w:r>
        <w:rPr>
          <w:rFonts w:hint="eastAsia"/>
          <w:b/>
          <w:bCs/>
          <w:color w:val="auto"/>
          <w:lang w:val="en-US" w:eastAsia="zh-CN"/>
        </w:rPr>
        <w:t>、售后要求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在供货过程中涉及第三方产品（</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提供的），若出现技术、经济或法律上的纠纷，应由</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全面承担并解决，确保不影响项目的进度。</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不得另作他用。因</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7" w:name="_Toc184310316"/>
      <w:bookmarkEnd w:id="27"/>
      <w:bookmarkStart w:id="28" w:name="_Toc184312091"/>
      <w:bookmarkEnd w:id="28"/>
      <w:bookmarkStart w:id="29" w:name="_Toc184312100"/>
      <w:bookmarkEnd w:id="29"/>
      <w:bookmarkStart w:id="30" w:name="_Toc184310330"/>
      <w:bookmarkEnd w:id="30"/>
      <w:bookmarkStart w:id="31" w:name="_Toc184310299"/>
      <w:bookmarkEnd w:id="31"/>
      <w:bookmarkStart w:id="32" w:name="_Toc184313294"/>
      <w:bookmarkEnd w:id="32"/>
      <w:bookmarkStart w:id="33" w:name="_Toc184312136"/>
      <w:bookmarkEnd w:id="33"/>
      <w:bookmarkStart w:id="34" w:name="_Toc184310282"/>
      <w:bookmarkEnd w:id="34"/>
      <w:bookmarkStart w:id="35" w:name="_Toc184308046"/>
      <w:bookmarkEnd w:id="35"/>
      <w:bookmarkStart w:id="36" w:name="_Toc184314410"/>
      <w:bookmarkEnd w:id="36"/>
      <w:bookmarkStart w:id="37" w:name="_Toc184314453"/>
      <w:bookmarkEnd w:id="37"/>
      <w:bookmarkStart w:id="38" w:name="_Toc184314428"/>
      <w:bookmarkEnd w:id="38"/>
      <w:bookmarkStart w:id="39" w:name="_Toc184313266"/>
      <w:bookmarkEnd w:id="39"/>
      <w:bookmarkStart w:id="40" w:name="_Toc184313238"/>
      <w:bookmarkEnd w:id="40"/>
      <w:bookmarkStart w:id="41" w:name="_Toc184313258"/>
      <w:bookmarkEnd w:id="41"/>
      <w:bookmarkStart w:id="42" w:name="_Toc184313267"/>
      <w:bookmarkEnd w:id="42"/>
      <w:bookmarkStart w:id="43" w:name="_Toc184308097"/>
      <w:bookmarkEnd w:id="43"/>
      <w:bookmarkStart w:id="44" w:name="_Toc184308045"/>
      <w:bookmarkEnd w:id="44"/>
      <w:bookmarkStart w:id="45" w:name="_Toc184313289"/>
      <w:bookmarkEnd w:id="45"/>
      <w:bookmarkStart w:id="46" w:name="_Toc184308077"/>
      <w:bookmarkEnd w:id="46"/>
      <w:bookmarkStart w:id="47" w:name="_Toc184312113"/>
      <w:bookmarkEnd w:id="47"/>
      <w:bookmarkStart w:id="48" w:name="_Toc184310291"/>
      <w:bookmarkEnd w:id="48"/>
      <w:bookmarkStart w:id="49" w:name="_Toc184308080"/>
      <w:bookmarkEnd w:id="49"/>
      <w:bookmarkStart w:id="50" w:name="_Toc184308106"/>
      <w:bookmarkEnd w:id="50"/>
      <w:bookmarkStart w:id="51" w:name="_Toc184310327"/>
      <w:bookmarkEnd w:id="51"/>
      <w:bookmarkStart w:id="52" w:name="_Toc184308093"/>
      <w:bookmarkEnd w:id="52"/>
      <w:bookmarkStart w:id="53" w:name="_Toc184314421"/>
      <w:bookmarkEnd w:id="53"/>
      <w:bookmarkStart w:id="54" w:name="_Toc184313305"/>
      <w:bookmarkEnd w:id="54"/>
      <w:bookmarkStart w:id="55" w:name="_Toc184312090"/>
      <w:bookmarkEnd w:id="55"/>
      <w:bookmarkStart w:id="56" w:name="_Toc184308055"/>
      <w:bookmarkEnd w:id="56"/>
      <w:bookmarkStart w:id="57" w:name="_Toc184312119"/>
      <w:bookmarkEnd w:id="57"/>
      <w:bookmarkStart w:id="58" w:name="_Toc184308043"/>
      <w:bookmarkEnd w:id="58"/>
      <w:bookmarkStart w:id="59" w:name="_Toc184313303"/>
      <w:bookmarkEnd w:id="59"/>
      <w:bookmarkStart w:id="60" w:name="_Toc184313298"/>
      <w:bookmarkEnd w:id="60"/>
      <w:bookmarkStart w:id="61" w:name="_Toc184310329"/>
      <w:bookmarkEnd w:id="61"/>
      <w:bookmarkStart w:id="62" w:name="_Toc184313292"/>
      <w:bookmarkEnd w:id="62"/>
      <w:bookmarkStart w:id="63" w:name="_Toc184312130"/>
      <w:bookmarkEnd w:id="63"/>
      <w:bookmarkStart w:id="64" w:name="_Toc184314413"/>
      <w:bookmarkEnd w:id="64"/>
      <w:bookmarkStart w:id="65" w:name="_Toc184314451"/>
      <w:bookmarkEnd w:id="65"/>
      <w:bookmarkStart w:id="66" w:name="_Toc184308081"/>
      <w:bookmarkEnd w:id="66"/>
      <w:bookmarkStart w:id="67" w:name="_Toc184312070"/>
      <w:bookmarkEnd w:id="67"/>
      <w:bookmarkStart w:id="68" w:name="_Toc184313309"/>
      <w:bookmarkEnd w:id="68"/>
      <w:bookmarkStart w:id="69" w:name="_Toc184308104"/>
      <w:bookmarkEnd w:id="69"/>
      <w:bookmarkStart w:id="70" w:name="_Toc184310297"/>
      <w:bookmarkEnd w:id="70"/>
      <w:bookmarkStart w:id="71" w:name="_Toc184314459"/>
      <w:bookmarkEnd w:id="71"/>
      <w:bookmarkStart w:id="72" w:name="_Toc184308056"/>
      <w:bookmarkEnd w:id="72"/>
      <w:bookmarkStart w:id="73" w:name="_Toc184310328"/>
      <w:bookmarkEnd w:id="73"/>
      <w:bookmarkStart w:id="74" w:name="_Toc184313300"/>
      <w:bookmarkEnd w:id="74"/>
      <w:bookmarkStart w:id="75" w:name="_Toc184308100"/>
      <w:bookmarkEnd w:id="75"/>
      <w:bookmarkStart w:id="76" w:name="_Toc184313284"/>
      <w:bookmarkEnd w:id="76"/>
      <w:bookmarkStart w:id="77" w:name="_Toc184310279"/>
      <w:bookmarkEnd w:id="77"/>
      <w:bookmarkStart w:id="78" w:name="_Toc184314466"/>
      <w:bookmarkEnd w:id="78"/>
      <w:bookmarkStart w:id="79" w:name="_Toc184308052"/>
      <w:bookmarkEnd w:id="79"/>
      <w:bookmarkStart w:id="80" w:name="_Toc184312137"/>
      <w:bookmarkEnd w:id="80"/>
      <w:bookmarkStart w:id="81" w:name="_Toc184314474"/>
      <w:bookmarkEnd w:id="81"/>
      <w:bookmarkStart w:id="82" w:name="_Toc184314450"/>
      <w:bookmarkEnd w:id="82"/>
      <w:bookmarkStart w:id="83" w:name="_Toc184312133"/>
      <w:bookmarkEnd w:id="83"/>
      <w:bookmarkStart w:id="84" w:name="_Toc184312067"/>
      <w:bookmarkEnd w:id="84"/>
      <w:bookmarkStart w:id="85" w:name="_Toc184308057"/>
      <w:bookmarkEnd w:id="85"/>
      <w:bookmarkStart w:id="86" w:name="_Toc184310325"/>
      <w:bookmarkEnd w:id="86"/>
      <w:bookmarkStart w:id="87" w:name="_Toc184310311"/>
      <w:bookmarkEnd w:id="87"/>
      <w:bookmarkStart w:id="88" w:name="_Toc184312073"/>
      <w:bookmarkEnd w:id="88"/>
      <w:bookmarkStart w:id="89" w:name="_Toc184308086"/>
      <w:bookmarkEnd w:id="89"/>
      <w:bookmarkStart w:id="90" w:name="_Toc184312089"/>
      <w:bookmarkEnd w:id="90"/>
      <w:bookmarkStart w:id="91" w:name="_Toc184310319"/>
      <w:bookmarkEnd w:id="91"/>
      <w:bookmarkStart w:id="92" w:name="_Toc184312111"/>
      <w:bookmarkEnd w:id="92"/>
      <w:bookmarkStart w:id="93" w:name="_Toc184313251"/>
      <w:bookmarkEnd w:id="93"/>
      <w:bookmarkStart w:id="94" w:name="_Toc184312077"/>
      <w:bookmarkEnd w:id="94"/>
      <w:bookmarkStart w:id="95" w:name="_Toc184313275"/>
      <w:bookmarkEnd w:id="95"/>
      <w:bookmarkStart w:id="96" w:name="_Toc184314432"/>
      <w:bookmarkEnd w:id="96"/>
      <w:bookmarkStart w:id="97" w:name="_Toc184310287"/>
      <w:bookmarkEnd w:id="97"/>
      <w:bookmarkStart w:id="98" w:name="_Toc184313239"/>
      <w:bookmarkEnd w:id="98"/>
      <w:bookmarkStart w:id="99" w:name="_Toc184312116"/>
      <w:bookmarkEnd w:id="99"/>
      <w:bookmarkStart w:id="100" w:name="_Toc184314464"/>
      <w:bookmarkEnd w:id="100"/>
      <w:bookmarkStart w:id="101" w:name="_Toc184308041"/>
      <w:bookmarkEnd w:id="101"/>
      <w:bookmarkStart w:id="102" w:name="_Toc184308054"/>
      <w:bookmarkEnd w:id="102"/>
      <w:bookmarkStart w:id="103" w:name="_Toc184314445"/>
      <w:bookmarkEnd w:id="103"/>
      <w:bookmarkStart w:id="104" w:name="_Toc184308103"/>
      <w:bookmarkEnd w:id="104"/>
      <w:bookmarkStart w:id="105" w:name="_Toc184308075"/>
      <w:bookmarkEnd w:id="105"/>
      <w:bookmarkStart w:id="106" w:name="_Toc184314437"/>
      <w:bookmarkEnd w:id="106"/>
      <w:bookmarkStart w:id="107" w:name="_Toc184314439"/>
      <w:bookmarkEnd w:id="107"/>
      <w:bookmarkStart w:id="108" w:name="_Toc184308091"/>
      <w:bookmarkEnd w:id="108"/>
      <w:bookmarkStart w:id="109" w:name="_Toc184310331"/>
      <w:bookmarkEnd w:id="109"/>
      <w:bookmarkStart w:id="110" w:name="_Toc184310294"/>
      <w:bookmarkEnd w:id="110"/>
      <w:bookmarkStart w:id="111" w:name="_Toc184312126"/>
      <w:bookmarkEnd w:id="111"/>
      <w:bookmarkStart w:id="112" w:name="_Toc184313257"/>
      <w:bookmarkEnd w:id="112"/>
      <w:bookmarkStart w:id="113" w:name="_Toc184312072"/>
      <w:bookmarkEnd w:id="113"/>
      <w:bookmarkStart w:id="114" w:name="_Toc184308062"/>
      <w:bookmarkEnd w:id="114"/>
      <w:bookmarkStart w:id="115" w:name="_Toc184312074"/>
      <w:bookmarkEnd w:id="115"/>
      <w:bookmarkStart w:id="116" w:name="_Toc184312086"/>
      <w:bookmarkEnd w:id="116"/>
      <w:bookmarkStart w:id="117" w:name="_Toc184308049"/>
      <w:bookmarkEnd w:id="117"/>
      <w:bookmarkStart w:id="118" w:name="_Toc184313255"/>
      <w:bookmarkEnd w:id="118"/>
      <w:bookmarkStart w:id="119" w:name="_Toc184310281"/>
      <w:bookmarkEnd w:id="119"/>
      <w:bookmarkStart w:id="120" w:name="_Toc184310341"/>
      <w:bookmarkEnd w:id="120"/>
      <w:bookmarkStart w:id="121" w:name="_Toc184308076"/>
      <w:bookmarkEnd w:id="121"/>
      <w:bookmarkStart w:id="122" w:name="_Toc184310272"/>
      <w:bookmarkEnd w:id="122"/>
      <w:bookmarkStart w:id="123" w:name="_Toc184313310"/>
      <w:bookmarkEnd w:id="123"/>
      <w:bookmarkStart w:id="124" w:name="_Toc184312084"/>
      <w:bookmarkEnd w:id="124"/>
      <w:bookmarkStart w:id="125" w:name="_Toc184314476"/>
      <w:bookmarkEnd w:id="125"/>
      <w:bookmarkStart w:id="126" w:name="_Toc184314418"/>
      <w:bookmarkEnd w:id="126"/>
      <w:bookmarkStart w:id="127" w:name="_Toc184313262"/>
      <w:bookmarkEnd w:id="127"/>
      <w:bookmarkStart w:id="128" w:name="_Toc184310318"/>
      <w:bookmarkEnd w:id="128"/>
      <w:bookmarkStart w:id="129" w:name="_Toc184310277"/>
      <w:bookmarkEnd w:id="129"/>
      <w:bookmarkStart w:id="130" w:name="_Toc184310306"/>
      <w:bookmarkEnd w:id="130"/>
      <w:bookmarkStart w:id="131" w:name="_Toc184310283"/>
      <w:bookmarkEnd w:id="131"/>
      <w:bookmarkStart w:id="132" w:name="_Toc184308060"/>
      <w:bookmarkEnd w:id="132"/>
      <w:bookmarkStart w:id="133" w:name="_Toc184313253"/>
      <w:bookmarkEnd w:id="133"/>
      <w:bookmarkStart w:id="134" w:name="_Toc184314422"/>
      <w:bookmarkEnd w:id="134"/>
      <w:bookmarkStart w:id="135" w:name="_Toc184312103"/>
      <w:bookmarkEnd w:id="135"/>
      <w:bookmarkStart w:id="136" w:name="_Toc184313272"/>
      <w:bookmarkEnd w:id="136"/>
      <w:bookmarkStart w:id="137" w:name="_Toc184310305"/>
      <w:bookmarkEnd w:id="137"/>
      <w:bookmarkStart w:id="138" w:name="_Toc184310274"/>
      <w:bookmarkEnd w:id="138"/>
      <w:bookmarkStart w:id="139" w:name="_Toc184308092"/>
      <w:bookmarkEnd w:id="139"/>
      <w:bookmarkStart w:id="140" w:name="_Toc184313270"/>
      <w:bookmarkEnd w:id="140"/>
      <w:bookmarkStart w:id="141" w:name="_Toc184313283"/>
      <w:bookmarkEnd w:id="141"/>
      <w:bookmarkStart w:id="142" w:name="_Toc184308105"/>
      <w:bookmarkEnd w:id="142"/>
      <w:bookmarkStart w:id="143" w:name="_Toc184314460"/>
      <w:bookmarkEnd w:id="143"/>
      <w:bookmarkStart w:id="144" w:name="_Toc184310315"/>
      <w:bookmarkEnd w:id="144"/>
      <w:bookmarkStart w:id="145" w:name="_Toc184314414"/>
      <w:bookmarkEnd w:id="145"/>
      <w:bookmarkStart w:id="146" w:name="_Toc184308053"/>
      <w:bookmarkEnd w:id="146"/>
      <w:bookmarkStart w:id="147" w:name="_Toc184312105"/>
      <w:bookmarkEnd w:id="147"/>
      <w:bookmarkStart w:id="148" w:name="_Toc184308036"/>
      <w:bookmarkEnd w:id="148"/>
      <w:bookmarkStart w:id="149" w:name="_Toc184313243"/>
      <w:bookmarkEnd w:id="149"/>
      <w:bookmarkStart w:id="150" w:name="_Toc184310313"/>
      <w:bookmarkEnd w:id="150"/>
      <w:bookmarkStart w:id="151" w:name="_Toc184314447"/>
      <w:bookmarkEnd w:id="151"/>
      <w:bookmarkStart w:id="152" w:name="_Toc184310276"/>
      <w:bookmarkEnd w:id="152"/>
      <w:bookmarkStart w:id="153" w:name="_Toc184312134"/>
      <w:bookmarkEnd w:id="153"/>
      <w:bookmarkStart w:id="154" w:name="_Toc184308084"/>
      <w:bookmarkEnd w:id="154"/>
      <w:bookmarkStart w:id="155" w:name="_Toc184314419"/>
      <w:bookmarkEnd w:id="155"/>
      <w:bookmarkStart w:id="156" w:name="_Toc184308088"/>
      <w:bookmarkEnd w:id="156"/>
      <w:bookmarkStart w:id="157" w:name="_Toc184312121"/>
      <w:bookmarkEnd w:id="157"/>
      <w:bookmarkStart w:id="158" w:name="_Toc184310295"/>
      <w:bookmarkEnd w:id="158"/>
      <w:bookmarkStart w:id="159" w:name="_Toc184312120"/>
      <w:bookmarkEnd w:id="159"/>
      <w:bookmarkStart w:id="160" w:name="_Toc184314478"/>
      <w:bookmarkEnd w:id="160"/>
      <w:bookmarkStart w:id="161" w:name="_Toc184313306"/>
      <w:bookmarkEnd w:id="161"/>
      <w:bookmarkStart w:id="162" w:name="_Toc184308079"/>
      <w:bookmarkEnd w:id="162"/>
      <w:bookmarkStart w:id="163" w:name="_Toc184312123"/>
      <w:bookmarkEnd w:id="163"/>
      <w:bookmarkStart w:id="164" w:name="_Toc184314416"/>
      <w:bookmarkEnd w:id="164"/>
      <w:bookmarkStart w:id="165" w:name="_Toc184314473"/>
      <w:bookmarkEnd w:id="165"/>
      <w:bookmarkStart w:id="166" w:name="_Toc184308050"/>
      <w:bookmarkEnd w:id="166"/>
      <w:bookmarkStart w:id="167" w:name="_Toc184310312"/>
      <w:bookmarkEnd w:id="167"/>
      <w:bookmarkStart w:id="168" w:name="_Toc184308095"/>
      <w:bookmarkEnd w:id="168"/>
      <w:bookmarkStart w:id="169" w:name="_Toc184313252"/>
      <w:bookmarkEnd w:id="169"/>
      <w:bookmarkStart w:id="170" w:name="_Toc184308073"/>
      <w:bookmarkEnd w:id="170"/>
      <w:bookmarkStart w:id="171" w:name="_Toc184308096"/>
      <w:bookmarkEnd w:id="171"/>
      <w:bookmarkStart w:id="172" w:name="_Toc184308047"/>
      <w:bookmarkEnd w:id="172"/>
      <w:bookmarkStart w:id="173" w:name="_Toc184310323"/>
      <w:bookmarkEnd w:id="173"/>
      <w:bookmarkStart w:id="174" w:name="_Toc184308098"/>
      <w:bookmarkEnd w:id="174"/>
      <w:bookmarkStart w:id="175" w:name="_Toc184310284"/>
      <w:bookmarkEnd w:id="175"/>
      <w:bookmarkStart w:id="176" w:name="_Toc184313249"/>
      <w:bookmarkEnd w:id="176"/>
      <w:bookmarkStart w:id="177" w:name="_Toc184310333"/>
      <w:bookmarkEnd w:id="177"/>
      <w:bookmarkStart w:id="178" w:name="_Toc184313281"/>
      <w:bookmarkEnd w:id="178"/>
      <w:bookmarkStart w:id="179" w:name="_Toc184313307"/>
      <w:bookmarkEnd w:id="179"/>
      <w:bookmarkStart w:id="180" w:name="_Toc184314425"/>
      <w:bookmarkEnd w:id="180"/>
      <w:bookmarkStart w:id="181" w:name="_Toc184314467"/>
      <w:bookmarkEnd w:id="181"/>
      <w:bookmarkStart w:id="182" w:name="_Toc184313250"/>
      <w:bookmarkEnd w:id="182"/>
      <w:bookmarkStart w:id="183" w:name="_Toc184308085"/>
      <w:bookmarkEnd w:id="183"/>
      <w:bookmarkStart w:id="184" w:name="_Toc184312101"/>
      <w:bookmarkEnd w:id="184"/>
      <w:bookmarkStart w:id="185" w:name="_Toc184308101"/>
      <w:bookmarkEnd w:id="185"/>
      <w:bookmarkStart w:id="186" w:name="_Toc184308099"/>
      <w:bookmarkEnd w:id="186"/>
      <w:bookmarkStart w:id="187" w:name="_Toc184313295"/>
      <w:bookmarkEnd w:id="187"/>
      <w:bookmarkStart w:id="188" w:name="_Toc184308037"/>
      <w:bookmarkEnd w:id="188"/>
      <w:bookmarkStart w:id="189" w:name="_Toc184312078"/>
      <w:bookmarkEnd w:id="189"/>
      <w:bookmarkStart w:id="190" w:name="_Toc184314427"/>
      <w:bookmarkEnd w:id="190"/>
      <w:bookmarkStart w:id="191" w:name="_Toc184313246"/>
      <w:bookmarkEnd w:id="191"/>
      <w:bookmarkStart w:id="192" w:name="_Toc184313261"/>
      <w:bookmarkEnd w:id="192"/>
      <w:bookmarkStart w:id="193" w:name="_Toc184314438"/>
      <w:bookmarkEnd w:id="193"/>
      <w:bookmarkStart w:id="194" w:name="_Toc184308058"/>
      <w:bookmarkEnd w:id="194"/>
      <w:bookmarkStart w:id="195" w:name="_Toc184314463"/>
      <w:bookmarkEnd w:id="195"/>
      <w:bookmarkStart w:id="196" w:name="_Toc184310286"/>
      <w:bookmarkEnd w:id="196"/>
      <w:bookmarkStart w:id="197" w:name="_Toc184310317"/>
      <w:bookmarkEnd w:id="197"/>
      <w:bookmarkStart w:id="198" w:name="_Toc184314456"/>
      <w:bookmarkEnd w:id="198"/>
      <w:bookmarkStart w:id="199" w:name="_Toc184312114"/>
      <w:bookmarkEnd w:id="199"/>
      <w:bookmarkStart w:id="200" w:name="_Toc184313274"/>
      <w:bookmarkEnd w:id="200"/>
      <w:bookmarkStart w:id="201" w:name="_Toc184314470"/>
      <w:bookmarkEnd w:id="201"/>
      <w:bookmarkStart w:id="202" w:name="_Toc184308064"/>
      <w:bookmarkEnd w:id="202"/>
      <w:bookmarkStart w:id="203" w:name="_Toc184308048"/>
      <w:bookmarkEnd w:id="203"/>
      <w:bookmarkStart w:id="204" w:name="_Toc184308094"/>
      <w:bookmarkEnd w:id="204"/>
      <w:bookmarkStart w:id="205" w:name="_Toc184312080"/>
      <w:bookmarkEnd w:id="205"/>
      <w:bookmarkStart w:id="206" w:name="_Toc184314433"/>
      <w:bookmarkEnd w:id="206"/>
      <w:bookmarkStart w:id="207" w:name="_Toc184314417"/>
      <w:bookmarkEnd w:id="207"/>
      <w:bookmarkStart w:id="208" w:name="_Toc184312099"/>
      <w:bookmarkEnd w:id="208"/>
      <w:bookmarkStart w:id="209" w:name="_Toc184312097"/>
      <w:bookmarkEnd w:id="209"/>
      <w:bookmarkStart w:id="210" w:name="_Toc184313280"/>
      <w:bookmarkEnd w:id="210"/>
      <w:bookmarkStart w:id="211" w:name="_Toc184313259"/>
      <w:bookmarkEnd w:id="211"/>
      <w:bookmarkStart w:id="212" w:name="_Toc184313285"/>
      <w:bookmarkEnd w:id="212"/>
      <w:bookmarkStart w:id="213" w:name="_Toc184310303"/>
      <w:bookmarkEnd w:id="213"/>
      <w:bookmarkStart w:id="214" w:name="_Toc184310278"/>
      <w:bookmarkEnd w:id="214"/>
      <w:bookmarkStart w:id="215" w:name="_Toc184310314"/>
      <w:bookmarkEnd w:id="215"/>
      <w:bookmarkStart w:id="216" w:name="_Toc184314454"/>
      <w:bookmarkEnd w:id="216"/>
      <w:bookmarkStart w:id="217" w:name="_Toc184310302"/>
      <w:bookmarkEnd w:id="217"/>
      <w:bookmarkStart w:id="218" w:name="_Toc184310289"/>
      <w:bookmarkEnd w:id="218"/>
      <w:bookmarkStart w:id="219" w:name="_Toc184314482"/>
      <w:bookmarkEnd w:id="219"/>
      <w:bookmarkStart w:id="220" w:name="_Toc184310308"/>
      <w:bookmarkEnd w:id="220"/>
      <w:bookmarkStart w:id="221" w:name="_Toc184310288"/>
      <w:bookmarkEnd w:id="221"/>
      <w:bookmarkStart w:id="222" w:name="_Toc184313256"/>
      <w:bookmarkEnd w:id="222"/>
      <w:bookmarkStart w:id="223" w:name="_Toc184313245"/>
      <w:bookmarkEnd w:id="223"/>
      <w:bookmarkStart w:id="224" w:name="_Toc184308051"/>
      <w:bookmarkEnd w:id="224"/>
      <w:bookmarkStart w:id="225" w:name="_Toc184314477"/>
      <w:bookmarkEnd w:id="225"/>
      <w:bookmarkStart w:id="226" w:name="_Toc184308090"/>
      <w:bookmarkEnd w:id="226"/>
      <w:bookmarkStart w:id="227" w:name="_Toc184314480"/>
      <w:bookmarkEnd w:id="227"/>
      <w:bookmarkStart w:id="228" w:name="_Toc184313290"/>
      <w:bookmarkEnd w:id="228"/>
      <w:bookmarkStart w:id="229" w:name="_Toc184313302"/>
      <w:bookmarkEnd w:id="229"/>
      <w:bookmarkStart w:id="230" w:name="_Toc184310326"/>
      <w:bookmarkEnd w:id="230"/>
      <w:bookmarkStart w:id="231" w:name="_Toc184310285"/>
      <w:bookmarkEnd w:id="231"/>
      <w:bookmarkStart w:id="232" w:name="_Toc184310293"/>
      <w:bookmarkEnd w:id="232"/>
      <w:bookmarkStart w:id="233" w:name="_Toc184312110"/>
      <w:bookmarkEnd w:id="233"/>
      <w:bookmarkStart w:id="234" w:name="_Toc184313276"/>
      <w:bookmarkEnd w:id="234"/>
      <w:bookmarkStart w:id="235" w:name="_Toc184308074"/>
      <w:bookmarkEnd w:id="235"/>
      <w:bookmarkStart w:id="236" w:name="_Toc184313277"/>
      <w:bookmarkEnd w:id="236"/>
      <w:bookmarkStart w:id="237" w:name="_Toc184313247"/>
      <w:bookmarkEnd w:id="237"/>
      <w:bookmarkStart w:id="238" w:name="_Toc184313263"/>
      <w:bookmarkEnd w:id="238"/>
      <w:bookmarkStart w:id="239" w:name="_Toc184314430"/>
      <w:bookmarkEnd w:id="239"/>
      <w:bookmarkStart w:id="240" w:name="_Toc184312131"/>
      <w:bookmarkEnd w:id="240"/>
      <w:bookmarkStart w:id="241" w:name="_Toc184310321"/>
      <w:bookmarkEnd w:id="241"/>
      <w:bookmarkStart w:id="242" w:name="_Toc184313241"/>
      <w:bookmarkEnd w:id="242"/>
      <w:bookmarkStart w:id="243" w:name="_Toc184310340"/>
      <w:bookmarkEnd w:id="243"/>
      <w:bookmarkStart w:id="244" w:name="_Toc184308071"/>
      <w:bookmarkEnd w:id="244"/>
      <w:bookmarkStart w:id="245" w:name="_Toc184310336"/>
      <w:bookmarkEnd w:id="245"/>
      <w:bookmarkStart w:id="246" w:name="_Toc184314449"/>
      <w:bookmarkEnd w:id="246"/>
      <w:bookmarkStart w:id="247" w:name="_Toc184310343"/>
      <w:bookmarkEnd w:id="247"/>
      <w:bookmarkStart w:id="248" w:name="_Toc184308061"/>
      <w:bookmarkEnd w:id="248"/>
      <w:bookmarkStart w:id="249" w:name="_Toc184312104"/>
      <w:bookmarkEnd w:id="249"/>
      <w:bookmarkStart w:id="250" w:name="_Toc184312093"/>
      <w:bookmarkEnd w:id="250"/>
      <w:bookmarkStart w:id="251" w:name="_Toc184314420"/>
      <w:bookmarkEnd w:id="251"/>
      <w:bookmarkStart w:id="252" w:name="_Toc184313288"/>
      <w:bookmarkEnd w:id="252"/>
      <w:bookmarkStart w:id="253" w:name="_Toc184312138"/>
      <w:bookmarkEnd w:id="253"/>
      <w:bookmarkStart w:id="254" w:name="_Toc184314455"/>
      <w:bookmarkEnd w:id="254"/>
      <w:bookmarkStart w:id="255" w:name="_Toc184314436"/>
      <w:bookmarkEnd w:id="255"/>
      <w:bookmarkStart w:id="256" w:name="_Toc184313287"/>
      <w:bookmarkEnd w:id="256"/>
      <w:bookmarkStart w:id="257" w:name="_Toc184313278"/>
      <w:bookmarkEnd w:id="257"/>
      <w:bookmarkStart w:id="258" w:name="_Toc184314431"/>
      <w:bookmarkEnd w:id="258"/>
      <w:bookmarkStart w:id="259" w:name="_Toc184312128"/>
      <w:bookmarkEnd w:id="259"/>
      <w:bookmarkStart w:id="260" w:name="_Toc184310301"/>
      <w:bookmarkEnd w:id="260"/>
      <w:bookmarkStart w:id="261" w:name="_Toc184312081"/>
      <w:bookmarkEnd w:id="261"/>
      <w:bookmarkStart w:id="262" w:name="_Toc184310335"/>
      <w:bookmarkEnd w:id="262"/>
      <w:bookmarkStart w:id="263" w:name="_Toc184310334"/>
      <w:bookmarkEnd w:id="263"/>
      <w:bookmarkStart w:id="264" w:name="_Toc184314465"/>
      <w:bookmarkEnd w:id="264"/>
      <w:bookmarkStart w:id="265" w:name="_Toc184312132"/>
      <w:bookmarkEnd w:id="265"/>
      <w:bookmarkStart w:id="266" w:name="_Toc184313299"/>
      <w:bookmarkEnd w:id="266"/>
      <w:bookmarkStart w:id="267" w:name="_Toc184310307"/>
      <w:bookmarkEnd w:id="267"/>
      <w:bookmarkStart w:id="268" w:name="_Toc184314469"/>
      <w:bookmarkEnd w:id="268"/>
      <w:bookmarkStart w:id="269" w:name="_Toc184308070"/>
      <w:bookmarkEnd w:id="269"/>
      <w:bookmarkStart w:id="270" w:name="_Toc184308065"/>
      <w:bookmarkEnd w:id="270"/>
      <w:bookmarkStart w:id="271" w:name="_Toc184312079"/>
      <w:bookmarkEnd w:id="271"/>
      <w:bookmarkStart w:id="272" w:name="_Toc184312127"/>
      <w:bookmarkEnd w:id="272"/>
      <w:bookmarkStart w:id="273" w:name="_Toc184308082"/>
      <w:bookmarkEnd w:id="273"/>
      <w:bookmarkStart w:id="274" w:name="_Toc184313265"/>
      <w:bookmarkEnd w:id="274"/>
      <w:bookmarkStart w:id="275" w:name="_Toc184314440"/>
      <w:bookmarkEnd w:id="275"/>
      <w:bookmarkStart w:id="276" w:name="_Toc184312107"/>
      <w:bookmarkEnd w:id="276"/>
      <w:bookmarkStart w:id="277" w:name="_Toc184314444"/>
      <w:bookmarkEnd w:id="277"/>
      <w:bookmarkStart w:id="278" w:name="_Toc184313301"/>
      <w:bookmarkEnd w:id="278"/>
      <w:bookmarkStart w:id="279" w:name="_Toc184312083"/>
      <w:bookmarkEnd w:id="279"/>
      <w:bookmarkStart w:id="280" w:name="_Toc184312068"/>
      <w:bookmarkEnd w:id="280"/>
      <w:bookmarkStart w:id="281" w:name="_Toc184312095"/>
      <w:bookmarkEnd w:id="281"/>
      <w:bookmarkStart w:id="282" w:name="_Toc184312087"/>
      <w:bookmarkEnd w:id="282"/>
      <w:bookmarkStart w:id="283" w:name="_Toc184310310"/>
      <w:bookmarkEnd w:id="283"/>
      <w:bookmarkStart w:id="284" w:name="_Toc184308067"/>
      <w:bookmarkEnd w:id="284"/>
      <w:bookmarkStart w:id="285" w:name="_Toc184314457"/>
      <w:bookmarkEnd w:id="285"/>
      <w:bookmarkStart w:id="286" w:name="_Toc184312122"/>
      <w:bookmarkEnd w:id="286"/>
      <w:bookmarkStart w:id="287" w:name="_Toc184312102"/>
      <w:bookmarkEnd w:id="287"/>
      <w:bookmarkStart w:id="288" w:name="_Toc184313254"/>
      <w:bookmarkEnd w:id="288"/>
      <w:bookmarkStart w:id="289" w:name="_Toc184312115"/>
      <w:bookmarkEnd w:id="289"/>
      <w:bookmarkStart w:id="290" w:name="_Toc184313279"/>
      <w:bookmarkEnd w:id="290"/>
      <w:bookmarkStart w:id="291" w:name="_Toc184310322"/>
      <w:bookmarkEnd w:id="291"/>
      <w:bookmarkStart w:id="292" w:name="_Toc184312098"/>
      <w:bookmarkEnd w:id="292"/>
      <w:bookmarkStart w:id="293" w:name="_Toc184314475"/>
      <w:bookmarkEnd w:id="293"/>
      <w:bookmarkStart w:id="294" w:name="_Toc184308078"/>
      <w:bookmarkEnd w:id="294"/>
      <w:bookmarkStart w:id="295" w:name="_Toc184313264"/>
      <w:bookmarkEnd w:id="295"/>
      <w:bookmarkStart w:id="296" w:name="_Toc184313286"/>
      <w:bookmarkEnd w:id="296"/>
      <w:bookmarkStart w:id="297" w:name="_Toc184308087"/>
      <w:bookmarkEnd w:id="297"/>
      <w:bookmarkStart w:id="298" w:name="_Toc184312129"/>
      <w:bookmarkEnd w:id="298"/>
      <w:bookmarkStart w:id="299" w:name="_Toc184314434"/>
      <w:bookmarkEnd w:id="299"/>
      <w:bookmarkStart w:id="300" w:name="_Toc184313273"/>
      <w:bookmarkEnd w:id="300"/>
      <w:bookmarkStart w:id="301" w:name="_Toc184308039"/>
      <w:bookmarkEnd w:id="301"/>
      <w:bookmarkStart w:id="302" w:name="_Toc184313269"/>
      <w:bookmarkEnd w:id="302"/>
      <w:bookmarkStart w:id="303" w:name="_Toc184310292"/>
      <w:bookmarkEnd w:id="303"/>
      <w:bookmarkStart w:id="304" w:name="_Toc184314461"/>
      <w:bookmarkEnd w:id="304"/>
      <w:bookmarkStart w:id="305" w:name="_Toc184314458"/>
      <w:bookmarkEnd w:id="305"/>
      <w:bookmarkStart w:id="306" w:name="_Toc184314479"/>
      <w:bookmarkEnd w:id="306"/>
      <w:bookmarkStart w:id="307" w:name="_Toc184310290"/>
      <w:bookmarkEnd w:id="307"/>
      <w:bookmarkStart w:id="308" w:name="_Toc184314446"/>
      <w:bookmarkEnd w:id="308"/>
      <w:bookmarkStart w:id="309" w:name="_Toc184314411"/>
      <w:bookmarkEnd w:id="309"/>
      <w:bookmarkStart w:id="310" w:name="_Toc184312069"/>
      <w:bookmarkEnd w:id="310"/>
      <w:bookmarkStart w:id="311" w:name="_Toc184314448"/>
      <w:bookmarkEnd w:id="311"/>
      <w:bookmarkStart w:id="312" w:name="_Toc184314415"/>
      <w:bookmarkEnd w:id="312"/>
      <w:bookmarkStart w:id="313" w:name="_Toc184312106"/>
      <w:bookmarkEnd w:id="313"/>
      <w:bookmarkStart w:id="314" w:name="_Toc184308108"/>
      <w:bookmarkEnd w:id="314"/>
      <w:bookmarkStart w:id="315" w:name="_Toc184312071"/>
      <w:bookmarkEnd w:id="315"/>
      <w:bookmarkStart w:id="316" w:name="_Toc184314481"/>
      <w:bookmarkEnd w:id="316"/>
      <w:bookmarkStart w:id="317" w:name="_Toc184313248"/>
      <w:bookmarkEnd w:id="317"/>
      <w:bookmarkStart w:id="318" w:name="_Toc184314435"/>
      <w:bookmarkEnd w:id="318"/>
      <w:bookmarkStart w:id="319" w:name="_Toc184310339"/>
      <w:bookmarkEnd w:id="319"/>
      <w:bookmarkStart w:id="320" w:name="_Toc184312096"/>
      <w:bookmarkEnd w:id="320"/>
      <w:bookmarkStart w:id="321" w:name="_Toc184313291"/>
      <w:bookmarkEnd w:id="321"/>
      <w:bookmarkStart w:id="322" w:name="_Toc184308038"/>
      <w:bookmarkEnd w:id="322"/>
      <w:bookmarkStart w:id="323" w:name="_Toc184314443"/>
      <w:bookmarkEnd w:id="323"/>
      <w:bookmarkStart w:id="324" w:name="_Toc184308040"/>
      <w:bookmarkEnd w:id="324"/>
      <w:bookmarkStart w:id="325" w:name="_Toc184312124"/>
      <w:bookmarkEnd w:id="325"/>
      <w:bookmarkStart w:id="326" w:name="_Toc184314441"/>
      <w:bookmarkEnd w:id="326"/>
      <w:bookmarkStart w:id="327" w:name="_Toc184312109"/>
      <w:bookmarkEnd w:id="327"/>
      <w:bookmarkStart w:id="328" w:name="_Toc184308089"/>
      <w:bookmarkEnd w:id="328"/>
      <w:bookmarkStart w:id="329" w:name="_Toc184313282"/>
      <w:bookmarkEnd w:id="329"/>
      <w:bookmarkStart w:id="330" w:name="_Toc184310298"/>
      <w:bookmarkEnd w:id="330"/>
      <w:bookmarkStart w:id="331" w:name="_Toc184314452"/>
      <w:bookmarkEnd w:id="331"/>
      <w:bookmarkStart w:id="332" w:name="_Toc184310332"/>
      <w:bookmarkEnd w:id="332"/>
      <w:bookmarkStart w:id="333" w:name="_Toc184308083"/>
      <w:bookmarkEnd w:id="333"/>
      <w:bookmarkStart w:id="334" w:name="_Toc184308063"/>
      <w:bookmarkEnd w:id="334"/>
      <w:bookmarkStart w:id="335" w:name="_Toc184313297"/>
      <w:bookmarkEnd w:id="335"/>
      <w:bookmarkStart w:id="336" w:name="_Toc184313296"/>
      <w:bookmarkEnd w:id="336"/>
      <w:bookmarkStart w:id="337" w:name="_Toc184310337"/>
      <w:bookmarkEnd w:id="337"/>
      <w:bookmarkStart w:id="338" w:name="_Toc184312135"/>
      <w:bookmarkEnd w:id="338"/>
      <w:bookmarkStart w:id="339" w:name="_Toc184310300"/>
      <w:bookmarkEnd w:id="339"/>
      <w:bookmarkStart w:id="340" w:name="_Toc184312085"/>
      <w:bookmarkEnd w:id="340"/>
      <w:bookmarkStart w:id="341" w:name="_Toc184313268"/>
      <w:bookmarkEnd w:id="341"/>
      <w:bookmarkStart w:id="342" w:name="_Toc184314462"/>
      <w:bookmarkEnd w:id="342"/>
      <w:bookmarkStart w:id="343" w:name="_Toc184313244"/>
      <w:bookmarkEnd w:id="343"/>
      <w:bookmarkStart w:id="344" w:name="_Toc184314471"/>
      <w:bookmarkEnd w:id="344"/>
      <w:bookmarkStart w:id="345" w:name="_Toc184314442"/>
      <w:bookmarkEnd w:id="345"/>
      <w:bookmarkStart w:id="346" w:name="_Toc184310338"/>
      <w:bookmarkEnd w:id="346"/>
      <w:bookmarkStart w:id="347" w:name="_Toc184314423"/>
      <w:bookmarkEnd w:id="347"/>
      <w:bookmarkStart w:id="348" w:name="_Toc184308102"/>
      <w:bookmarkEnd w:id="348"/>
      <w:bookmarkStart w:id="349" w:name="_Toc184312118"/>
      <w:bookmarkEnd w:id="349"/>
      <w:bookmarkStart w:id="350" w:name="_Toc184312139"/>
      <w:bookmarkEnd w:id="350"/>
      <w:bookmarkStart w:id="351" w:name="_Toc184310344"/>
      <w:bookmarkEnd w:id="351"/>
      <w:bookmarkStart w:id="352" w:name="_Toc184313271"/>
      <w:bookmarkEnd w:id="352"/>
      <w:bookmarkStart w:id="353" w:name="_Toc184313242"/>
      <w:bookmarkEnd w:id="353"/>
      <w:bookmarkStart w:id="354" w:name="_Toc184313293"/>
      <w:bookmarkEnd w:id="354"/>
      <w:bookmarkStart w:id="355" w:name="_Toc184314424"/>
      <w:bookmarkEnd w:id="355"/>
      <w:bookmarkStart w:id="356" w:name="_Toc184313308"/>
      <w:bookmarkEnd w:id="356"/>
      <w:bookmarkStart w:id="357" w:name="_Toc184310275"/>
      <w:bookmarkEnd w:id="357"/>
      <w:bookmarkStart w:id="358" w:name="_Toc184310296"/>
      <w:bookmarkEnd w:id="358"/>
      <w:bookmarkStart w:id="359" w:name="_Toc184308059"/>
      <w:bookmarkEnd w:id="359"/>
      <w:bookmarkStart w:id="360" w:name="_Toc184312125"/>
      <w:bookmarkEnd w:id="360"/>
      <w:bookmarkStart w:id="361" w:name="_Toc184310320"/>
      <w:bookmarkEnd w:id="361"/>
      <w:bookmarkStart w:id="362" w:name="_Toc184314426"/>
      <w:bookmarkEnd w:id="362"/>
      <w:bookmarkStart w:id="363" w:name="_Toc184312117"/>
      <w:bookmarkEnd w:id="363"/>
      <w:bookmarkStart w:id="364" w:name="_Toc184310342"/>
      <w:bookmarkEnd w:id="364"/>
      <w:bookmarkStart w:id="365" w:name="_Toc184314468"/>
      <w:bookmarkEnd w:id="365"/>
      <w:bookmarkStart w:id="366" w:name="_Toc184312075"/>
      <w:bookmarkEnd w:id="366"/>
      <w:bookmarkStart w:id="367" w:name="_Toc184310304"/>
      <w:bookmarkEnd w:id="367"/>
      <w:bookmarkStart w:id="368" w:name="_Toc184313260"/>
      <w:bookmarkEnd w:id="368"/>
      <w:bookmarkStart w:id="369" w:name="_Toc184312108"/>
      <w:bookmarkEnd w:id="369"/>
      <w:bookmarkStart w:id="370" w:name="_Toc184313240"/>
      <w:bookmarkEnd w:id="370"/>
      <w:bookmarkStart w:id="371" w:name="_Toc184308044"/>
      <w:bookmarkEnd w:id="371"/>
      <w:bookmarkStart w:id="372" w:name="_Toc184312092"/>
      <w:bookmarkEnd w:id="372"/>
      <w:bookmarkStart w:id="373" w:name="_Toc184312082"/>
      <w:bookmarkEnd w:id="373"/>
      <w:bookmarkStart w:id="374" w:name="_Toc184308066"/>
      <w:bookmarkEnd w:id="374"/>
      <w:bookmarkStart w:id="375" w:name="_Toc184308042"/>
      <w:bookmarkEnd w:id="375"/>
      <w:bookmarkStart w:id="376" w:name="_Toc184308068"/>
      <w:bookmarkEnd w:id="376"/>
      <w:bookmarkStart w:id="377" w:name="_Toc184314429"/>
      <w:bookmarkEnd w:id="377"/>
      <w:bookmarkStart w:id="378" w:name="_Toc184312094"/>
      <w:bookmarkEnd w:id="378"/>
      <w:bookmarkStart w:id="379" w:name="_Toc184310324"/>
      <w:bookmarkEnd w:id="379"/>
      <w:bookmarkStart w:id="380" w:name="_Toc184312088"/>
      <w:bookmarkEnd w:id="380"/>
      <w:bookmarkStart w:id="381" w:name="_Toc184308072"/>
      <w:bookmarkEnd w:id="381"/>
      <w:bookmarkStart w:id="382" w:name="_Toc184308107"/>
      <w:bookmarkEnd w:id="382"/>
      <w:bookmarkStart w:id="383" w:name="_Toc184310309"/>
      <w:bookmarkEnd w:id="383"/>
      <w:bookmarkStart w:id="384" w:name="_Toc184312112"/>
      <w:bookmarkEnd w:id="384"/>
      <w:bookmarkStart w:id="385" w:name="_Toc184314472"/>
      <w:bookmarkEnd w:id="385"/>
      <w:bookmarkStart w:id="386" w:name="_Toc184310273"/>
      <w:bookmarkEnd w:id="386"/>
      <w:bookmarkStart w:id="387" w:name="_Toc184313304"/>
      <w:bookmarkEnd w:id="387"/>
      <w:bookmarkStart w:id="388" w:name="_Toc184308069"/>
      <w:bookmarkEnd w:id="388"/>
      <w:bookmarkStart w:id="389" w:name="_Toc184310280"/>
      <w:bookmarkEnd w:id="389"/>
      <w:bookmarkStart w:id="390" w:name="_Toc184312076"/>
      <w:bookmarkEnd w:id="390"/>
      <w:bookmarkStart w:id="391" w:name="_Toc184314412"/>
      <w:bookmarkEnd w:id="391"/>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8"/>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 xml:space="preserve">2025年-2026年三固运行中心1.5MW汽轮机维保服务采购项目（重新询价）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7"/>
        <w:ind w:firstLine="214"/>
        <w:jc w:val="center"/>
        <w:rPr>
          <w:rFonts w:hint="eastAsia"/>
          <w:b/>
          <w:bCs/>
        </w:rPr>
      </w:pPr>
      <w:r>
        <w:rPr>
          <w:rFonts w:hint="eastAsia"/>
          <w:b/>
          <w:bCs/>
        </w:rPr>
        <w:t>目录</w:t>
      </w:r>
    </w:p>
    <w:p w14:paraId="0AB018B5">
      <w:pPr>
        <w:pStyle w:val="9"/>
        <w:spacing w:line="360" w:lineRule="auto"/>
        <w:ind w:firstLine="480" w:firstLineChars="200"/>
      </w:pPr>
      <w:r>
        <w:rPr>
          <w:rFonts w:hint="eastAsia"/>
        </w:rPr>
        <w:t>第一章 合同书  …………………………………………………………（页码）</w:t>
      </w:r>
    </w:p>
    <w:p w14:paraId="61B39EFC">
      <w:pPr>
        <w:pStyle w:val="9"/>
        <w:spacing w:line="360" w:lineRule="auto"/>
        <w:ind w:firstLine="480" w:firstLineChars="200"/>
        <w:rPr>
          <w:rFonts w:hint="eastAsia"/>
        </w:rPr>
      </w:pPr>
      <w:r>
        <w:rPr>
          <w:rFonts w:hint="eastAsia"/>
        </w:rPr>
        <w:t>第二章 合同一般条款……………………………………………………（页码）</w:t>
      </w:r>
    </w:p>
    <w:p w14:paraId="2C41F9F7">
      <w:pPr>
        <w:pStyle w:val="9"/>
        <w:spacing w:line="360" w:lineRule="auto"/>
        <w:ind w:firstLine="480" w:firstLineChars="200"/>
        <w:rPr>
          <w:rFonts w:hint="eastAsia"/>
        </w:rPr>
      </w:pPr>
      <w:r>
        <w:rPr>
          <w:rFonts w:hint="eastAsia"/>
        </w:rPr>
        <w:t>第三章 安全协议…………………………………………………………（页码）</w:t>
      </w:r>
    </w:p>
    <w:p w14:paraId="6B79F37E">
      <w:pPr>
        <w:pStyle w:val="9"/>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2025年-2026年三固运行中心1.5MW汽轮机维保服务采购项目（重新询价）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6"/>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lang w:val="en-US" w:eastAsia="zh-CN"/>
        </w:rPr>
        <w:t>合同总价中包含了</w:t>
      </w:r>
      <w:r>
        <w:rPr>
          <w:rFonts w:hint="eastAsia" w:hAnsi="宋体"/>
          <w:color w:val="auto"/>
          <w:sz w:val="24"/>
          <w:lang w:val="en-US" w:eastAsia="zh-CN"/>
        </w:rPr>
        <w:t>拆旧费</w:t>
      </w:r>
      <w:r>
        <w:rPr>
          <w:rFonts w:hint="eastAsia" w:ascii="宋体" w:hAnsi="宋体"/>
          <w:color w:val="auto"/>
          <w:sz w:val="24"/>
          <w:lang w:val="en-US" w:eastAsia="zh-CN"/>
        </w:rPr>
        <w:t>、</w:t>
      </w:r>
      <w:r>
        <w:rPr>
          <w:rFonts w:hint="eastAsia" w:hAnsi="宋体"/>
          <w:color w:val="auto"/>
          <w:sz w:val="24"/>
          <w:lang w:val="en-US" w:eastAsia="zh-CN"/>
        </w:rPr>
        <w:t>往返</w:t>
      </w:r>
      <w:r>
        <w:rPr>
          <w:rFonts w:hint="eastAsia" w:ascii="宋体" w:hAnsi="宋体"/>
          <w:color w:val="auto"/>
          <w:sz w:val="24"/>
          <w:lang w:val="en-US" w:eastAsia="zh-CN"/>
        </w:rPr>
        <w:t>运费、</w:t>
      </w:r>
      <w:r>
        <w:rPr>
          <w:rFonts w:hint="eastAsia" w:hAnsi="宋体"/>
          <w:color w:val="auto"/>
          <w:sz w:val="24"/>
          <w:lang w:val="en-US" w:eastAsia="zh-CN"/>
        </w:rPr>
        <w:t>配件费</w:t>
      </w:r>
      <w:r>
        <w:rPr>
          <w:rFonts w:hint="eastAsia" w:ascii="宋体" w:hAnsi="宋体"/>
          <w:color w:val="auto"/>
          <w:sz w:val="24"/>
          <w:lang w:val="en-US" w:eastAsia="zh-CN"/>
        </w:rPr>
        <w:t>、人工费等所有费用。</w:t>
      </w:r>
    </w:p>
    <w:p w14:paraId="5F46B1CA">
      <w:pPr>
        <w:spacing w:line="360" w:lineRule="auto"/>
        <w:ind w:firstLine="480" w:firstLineChars="200"/>
        <w:rPr>
          <w:rFonts w:hint="eastAsia"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0A17819B">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067"/>
        <w:gridCol w:w="3624"/>
        <w:gridCol w:w="666"/>
        <w:gridCol w:w="741"/>
        <w:gridCol w:w="774"/>
        <w:gridCol w:w="795"/>
        <w:gridCol w:w="645"/>
      </w:tblGrid>
      <w:tr w14:paraId="071971DC">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5D3A3C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956908E">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059D0C0B">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FBF935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11FA1AE">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暂定数量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9E0DFF7">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42CF64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FA8CF86">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6FDCCCE2">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54C59A3">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622D062">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周检查</w:t>
            </w: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617A8925">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每周一次定期检查</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31D6D77">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1F8191B">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35</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22BD990">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8A3D673">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A581B12">
            <w:pPr>
              <w:widowControl/>
              <w:jc w:val="center"/>
              <w:textAlignment w:val="center"/>
              <w:rPr>
                <w:rFonts w:hint="eastAsia" w:ascii="宋体" w:hAnsi="宋体" w:cs="宋体"/>
                <w:sz w:val="20"/>
                <w:szCs w:val="20"/>
                <w:lang w:val="en-US" w:eastAsia="zh-CN"/>
              </w:rPr>
            </w:pPr>
          </w:p>
        </w:tc>
      </w:tr>
      <w:tr w14:paraId="02A54EAA">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341E82D">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EEF9E21">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月检查</w:t>
            </w: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7154B2EE">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每月一次定期检查</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2D76D82">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C2E85F">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D26579C">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D7CC2EC">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1090517">
            <w:pPr>
              <w:widowControl/>
              <w:jc w:val="center"/>
              <w:textAlignment w:val="center"/>
              <w:rPr>
                <w:rFonts w:hint="eastAsia" w:ascii="宋体" w:hAnsi="宋体" w:cs="宋体"/>
                <w:sz w:val="20"/>
                <w:szCs w:val="20"/>
                <w:lang w:val="en-US" w:eastAsia="zh-CN"/>
              </w:rPr>
            </w:pPr>
          </w:p>
        </w:tc>
      </w:tr>
      <w:tr w14:paraId="4AF325C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0755886">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11A0074">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月检查</w:t>
            </w: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7286D1A7">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每季度一次定期检查</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86A8233">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05D7758">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4</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29025BF">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2D0F243">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44E85C8">
            <w:pPr>
              <w:widowControl/>
              <w:jc w:val="center"/>
              <w:textAlignment w:val="center"/>
              <w:rPr>
                <w:rFonts w:hint="eastAsia" w:ascii="宋体" w:hAnsi="宋体" w:cs="宋体"/>
                <w:sz w:val="20"/>
                <w:szCs w:val="20"/>
                <w:lang w:val="en-US" w:eastAsia="zh-CN"/>
              </w:rPr>
            </w:pPr>
          </w:p>
        </w:tc>
      </w:tr>
      <w:tr w14:paraId="6AA93335">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853110E">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F80035F">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年度大修</w:t>
            </w: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0F624688">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一次大修</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E64398C">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5B73686">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BB27770">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0A53E61">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C7CAB33">
            <w:pPr>
              <w:widowControl/>
              <w:jc w:val="center"/>
              <w:textAlignment w:val="center"/>
              <w:rPr>
                <w:rFonts w:hint="eastAsia" w:ascii="宋体" w:hAnsi="宋体" w:cs="宋体"/>
                <w:sz w:val="20"/>
                <w:szCs w:val="20"/>
                <w:lang w:val="en-US" w:eastAsia="zh-CN"/>
              </w:rPr>
            </w:pPr>
          </w:p>
        </w:tc>
      </w:tr>
    </w:tbl>
    <w:p w14:paraId="5E963DDB">
      <w:pPr>
        <w:spacing w:line="360" w:lineRule="auto"/>
        <w:ind w:firstLine="482" w:firstLineChars="200"/>
        <w:outlineLvl w:val="0"/>
        <w:rPr>
          <w:rFonts w:ascii="宋体" w:hAnsi="宋体"/>
          <w:b/>
          <w:sz w:val="24"/>
        </w:rPr>
      </w:pPr>
      <w:bookmarkStart w:id="392" w:name="_Toc10340"/>
      <w:bookmarkStart w:id="393" w:name="_Toc1814"/>
      <w:bookmarkStart w:id="394" w:name="_Toc22618"/>
      <w:bookmarkStart w:id="395" w:name="_Toc31421"/>
      <w:bookmarkStart w:id="396" w:name="_Toc8772"/>
      <w:bookmarkStart w:id="397" w:name="_Toc11108"/>
      <w:bookmarkStart w:id="398" w:name="_Toc4760"/>
      <w:bookmarkStart w:id="399" w:name="_Toc3625"/>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b/>
          <w:iCs/>
          <w:color w:val="auto"/>
          <w:sz w:val="24"/>
          <w:u w:val="single"/>
          <w:lang w:val="en-US" w:eastAsia="zh-CN"/>
        </w:rPr>
        <w:t>根据维保要求进行维保服务，双方在维保确认单上签字确认后验收合格。</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w:t>
      </w:r>
      <w:r>
        <w:rPr>
          <w:rFonts w:hint="eastAsia" w:ascii="宋体" w:hAnsi="宋体" w:cs="宋体"/>
          <w:color w:val="auto"/>
          <w:sz w:val="24"/>
        </w:rPr>
        <w:t>规范之间要求不一的，按要求较高者执行）</w:t>
      </w:r>
      <w:r>
        <w:rPr>
          <w:rFonts w:hint="eastAsia" w:ascii="宋体" w:hAnsi="宋体" w:cs="宋体"/>
          <w:color w:val="auto"/>
          <w:sz w:val="24"/>
          <w:highlight w:val="none"/>
        </w:rPr>
        <w:t>；</w:t>
      </w:r>
    </w:p>
    <w:p w14:paraId="1E66227C">
      <w:pPr>
        <w:pStyle w:val="6"/>
        <w:numPr>
          <w:ilvl w:val="0"/>
          <w:numId w:val="0"/>
        </w:numPr>
        <w:ind w:firstLine="480" w:firstLineChars="200"/>
        <w:rPr>
          <w:rFonts w:hint="eastAsia" w:ascii="宋体" w:hAnsi="宋体" w:eastAsia="宋体" w:cs="宋体"/>
          <w:b w:val="0"/>
          <w:bCs w:val="0"/>
          <w:sz w:val="24"/>
          <w:szCs w:val="24"/>
          <w:highlight w:val="none"/>
          <w:lang w:val="en-US" w:eastAsia="zh-CN"/>
        </w:rPr>
      </w:pPr>
      <w:r>
        <w:rPr>
          <w:rFonts w:hint="eastAsia" w:hAnsi="宋体" w:eastAsia="宋体" w:cs="宋体"/>
          <w:sz w:val="24"/>
          <w:highlight w:val="none"/>
          <w:lang w:val="en-US" w:eastAsia="zh-CN"/>
        </w:rPr>
        <w:t>3.</w:t>
      </w:r>
      <w:r>
        <w:rPr>
          <w:rFonts w:hint="eastAsia"/>
          <w:b/>
          <w:bCs/>
          <w:color w:val="auto"/>
          <w:highlight w:val="none"/>
          <w:lang w:val="en-US" w:eastAsia="zh-CN"/>
        </w:rPr>
        <w:t>维保</w:t>
      </w:r>
      <w:r>
        <w:rPr>
          <w:rFonts w:hint="eastAsia" w:ascii="宋体"/>
          <w:b/>
          <w:bCs/>
          <w:color w:val="auto"/>
          <w:highlight w:val="none"/>
          <w:lang w:val="en-US" w:eastAsia="zh-CN"/>
        </w:rPr>
        <w:t>内容：</w:t>
      </w:r>
    </w:p>
    <w:p w14:paraId="6FAB5C61">
      <w:pPr>
        <w:pStyle w:val="6"/>
        <w:numPr>
          <w:ilvl w:val="0"/>
          <w:numId w:val="0"/>
        </w:numPr>
        <w:ind w:firstLine="482" w:firstLineChars="200"/>
        <w:rPr>
          <w:rFonts w:hint="eastAsia" w:ascii="宋体" w:hAnsi="宋体" w:eastAsia="宋体" w:cs="宋体"/>
          <w:b/>
          <w:bCs/>
          <w:sz w:val="24"/>
          <w:highlight w:val="none"/>
          <w:lang w:val="en-US" w:eastAsia="zh-CN"/>
        </w:rPr>
      </w:pPr>
      <w:r>
        <w:rPr>
          <w:rFonts w:hint="eastAsia" w:hAnsi="宋体" w:eastAsia="宋体" w:cs="宋体"/>
          <w:b/>
          <w:bCs/>
          <w:sz w:val="24"/>
          <w:highlight w:val="none"/>
          <w:lang w:val="en-US" w:eastAsia="zh-CN"/>
        </w:rPr>
        <w:t>3.1</w:t>
      </w:r>
      <w:r>
        <w:rPr>
          <w:rFonts w:hint="eastAsia" w:ascii="宋体" w:hAnsi="宋体" w:eastAsia="宋体" w:cs="宋体"/>
          <w:b/>
          <w:bCs/>
          <w:sz w:val="24"/>
          <w:highlight w:val="none"/>
          <w:lang w:val="en-US" w:eastAsia="zh-CN"/>
        </w:rPr>
        <w:t>周检查项目</w:t>
      </w:r>
    </w:p>
    <w:p w14:paraId="0C0E876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（1）记录汽轮机实时振动情况，以及进汽温度和压力，轴承振动值；</w:t>
      </w:r>
    </w:p>
    <w:p w14:paraId="0FAD9C9F">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（2）记录轴承进出口油温；</w:t>
      </w:r>
    </w:p>
    <w:p w14:paraId="00927949">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（3）记录润滑油压、测温（范围0.08~0.12MPa，35~45℃）；</w:t>
      </w:r>
    </w:p>
    <w:p w14:paraId="7C1CF6C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（4）检查抽汽逆止阀是否在正常工作状态；</w:t>
      </w:r>
    </w:p>
    <w:p w14:paraId="3E921DF9">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（5）检查轴承油封环和油管路中的油泄漏或油雾；</w:t>
      </w:r>
    </w:p>
    <w:p w14:paraId="4666E26B">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（6）检查汽轮机任何接口及阀杆处是否有蒸汽泄漏；</w:t>
      </w:r>
    </w:p>
    <w:p w14:paraId="63E5435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（7）检查调节系统是否稳定；</w:t>
      </w:r>
    </w:p>
    <w:p w14:paraId="6F3633E1">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（8）测听汽缸内部噪音水平是否有变化；</w:t>
      </w:r>
    </w:p>
    <w:p w14:paraId="693EA3E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（9）测量并记录各轴承座轴承挡处表面金属温度；</w:t>
      </w:r>
    </w:p>
    <w:p w14:paraId="19F9663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（10）检查汽轮机监测仪表是否正常；</w:t>
      </w:r>
    </w:p>
    <w:p w14:paraId="7D9998A8">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（11）检查发电机外壳、接线盒、电缆有无破损、油污、腐蚀；  </w:t>
      </w:r>
    </w:p>
    <w:p w14:paraId="24F60D26">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（12）检查确认发电机铭牌标识清晰，接地线牢固无锈蚀；</w:t>
      </w:r>
    </w:p>
    <w:p w14:paraId="31D28BC6">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（13）检查发电机冷却系统（如风冷/水冷）是否正常，散热片无堵塞；</w:t>
      </w:r>
    </w:p>
    <w:p w14:paraId="38F53B4B">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（14）记录发电机电压、电流、频率、功率因数等参数是否在额定范围内；</w:t>
      </w:r>
    </w:p>
    <w:p w14:paraId="578DCE35">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（15）检查发电机轴承温度、绕组温度并记录，温度异常升高需及时报知甲方专工； </w:t>
      </w:r>
    </w:p>
    <w:p w14:paraId="6B7CB844">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（16）检查并测量发电机轴承和机座振动值并记录，振动异常需需及时报知甲方专工； </w:t>
      </w:r>
    </w:p>
    <w:p w14:paraId="75BC2FF9">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（17）检查发电机是否有噪音，是否有内部摩擦或松动异响。</w:t>
      </w:r>
    </w:p>
    <w:p w14:paraId="697CC9C1">
      <w:pPr>
        <w:pStyle w:val="6"/>
        <w:numPr>
          <w:ilvl w:val="0"/>
          <w:numId w:val="0"/>
        </w:numPr>
        <w:ind w:firstLine="482" w:firstLineChars="200"/>
        <w:rPr>
          <w:rFonts w:hint="eastAsia" w:ascii="宋体" w:hAnsi="宋体" w:eastAsia="宋体" w:cs="宋体"/>
          <w:b/>
          <w:bCs/>
          <w:sz w:val="24"/>
          <w:highlight w:val="none"/>
          <w:lang w:val="en-US" w:eastAsia="zh-CN"/>
        </w:rPr>
      </w:pPr>
      <w:r>
        <w:rPr>
          <w:rFonts w:hint="eastAsia" w:hAnsi="宋体" w:eastAsia="宋体" w:cs="宋体"/>
          <w:b/>
          <w:bCs/>
          <w:sz w:val="24"/>
          <w:highlight w:val="none"/>
          <w:lang w:val="en-US" w:eastAsia="zh-CN"/>
        </w:rPr>
        <w:t>3.2</w:t>
      </w:r>
      <w:r>
        <w:rPr>
          <w:rFonts w:hint="eastAsia" w:ascii="宋体" w:hAnsi="宋体" w:eastAsia="宋体" w:cs="宋体"/>
          <w:b/>
          <w:bCs/>
          <w:sz w:val="24"/>
          <w:highlight w:val="none"/>
          <w:lang w:val="en-US" w:eastAsia="zh-CN"/>
        </w:rPr>
        <w:t>月检查项目</w:t>
      </w:r>
    </w:p>
    <w:p w14:paraId="1AC1E00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（1）检查汽轮机监测仪表，包括振动和金属温度记录仪，检查期间应使这些仪表保持清洁，对仪表进行电气检查；</w:t>
      </w:r>
    </w:p>
    <w:p w14:paraId="09EEC8B8">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（2）检查抽汽管道阀门，检查这些阀门的所有控制器，包括操纵座、开关、电磁阀；</w:t>
      </w:r>
    </w:p>
    <w:p w14:paraId="2A72829D">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（3）检查汽轮机阀门，包括主蒸汽、抽汽、蒸汽管道；</w:t>
      </w:r>
    </w:p>
    <w:p w14:paraId="5BB87C86">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（4）测量疏水器或孔板上、下游管道的温度，检查所有的孔板和疏水器；</w:t>
      </w:r>
    </w:p>
    <w:p w14:paraId="361C26D5">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（5）检查润滑油及EH油油位并记录，如油位偏低需添加；</w:t>
      </w:r>
    </w:p>
    <w:p w14:paraId="390DB4F8">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（6）发电机轴承润滑脂添加，润滑脂需</w:t>
      </w:r>
      <w:r>
        <w:rPr>
          <w:rFonts w:hint="eastAsia" w:hAnsi="宋体" w:eastAsia="宋体" w:cs="宋体"/>
          <w:sz w:val="24"/>
          <w:highlight w:val="none"/>
          <w:lang w:val="en-US" w:eastAsia="zh-CN"/>
        </w:rPr>
        <w:t>供应商</w:t>
      </w:r>
      <w:r>
        <w:rPr>
          <w:rFonts w:hint="eastAsia" w:ascii="宋体" w:hAnsi="宋体" w:eastAsia="宋体" w:cs="宋体"/>
          <w:sz w:val="24"/>
          <w:highlight w:val="none"/>
          <w:lang w:val="en-US" w:eastAsia="zh-CN"/>
        </w:rPr>
        <w:t>自行准备，每次加约40g；</w:t>
      </w:r>
    </w:p>
    <w:p w14:paraId="01B22088">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（7）月检查项目包含周检查项目。</w:t>
      </w:r>
    </w:p>
    <w:p w14:paraId="5F9A9E54">
      <w:pPr>
        <w:pStyle w:val="6"/>
        <w:numPr>
          <w:ilvl w:val="0"/>
          <w:numId w:val="0"/>
        </w:numPr>
        <w:ind w:firstLine="482" w:firstLineChars="200"/>
        <w:rPr>
          <w:rFonts w:hint="eastAsia" w:ascii="宋体" w:hAnsi="宋体" w:eastAsia="宋体" w:cs="宋体"/>
          <w:b/>
          <w:bCs/>
          <w:sz w:val="24"/>
          <w:highlight w:val="none"/>
          <w:lang w:val="en-US" w:eastAsia="zh-CN"/>
        </w:rPr>
      </w:pPr>
      <w:r>
        <w:rPr>
          <w:rFonts w:hint="eastAsia" w:hAnsi="宋体" w:eastAsia="宋体" w:cs="宋体"/>
          <w:b/>
          <w:bCs/>
          <w:sz w:val="24"/>
          <w:highlight w:val="none"/>
          <w:lang w:val="en-US" w:eastAsia="zh-CN"/>
        </w:rPr>
        <w:t>3.3</w:t>
      </w:r>
      <w:r>
        <w:rPr>
          <w:rFonts w:hint="eastAsia" w:ascii="宋体" w:hAnsi="宋体" w:eastAsia="宋体" w:cs="宋体"/>
          <w:b/>
          <w:bCs/>
          <w:sz w:val="24"/>
          <w:highlight w:val="none"/>
          <w:lang w:val="en-US" w:eastAsia="zh-CN"/>
        </w:rPr>
        <w:t>季度检查维护项目</w:t>
      </w:r>
    </w:p>
    <w:p w14:paraId="132FA835">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（1）每季度对EH油及汽轮机润滑油滤油过滤，过滤周期不低于两天；</w:t>
      </w:r>
    </w:p>
    <w:p w14:paraId="29C5D05E">
      <w:pPr>
        <w:pStyle w:val="6"/>
        <w:numPr>
          <w:ilvl w:val="0"/>
          <w:numId w:val="0"/>
        </w:numPr>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（2）</w:t>
      </w:r>
      <w:r>
        <w:rPr>
          <w:rFonts w:hint="eastAsia" w:ascii="宋体" w:hAnsi="宋体" w:eastAsia="宋体" w:cs="宋体"/>
          <w:sz w:val="24"/>
          <w:highlight w:val="none"/>
          <w:lang w:val="en-US" w:eastAsia="zh-CN"/>
        </w:rPr>
        <w:t>季度检查维护项目包含周检查及月检查项目。</w:t>
      </w:r>
    </w:p>
    <w:p w14:paraId="7218DF54">
      <w:pPr>
        <w:pStyle w:val="6"/>
        <w:numPr>
          <w:ilvl w:val="0"/>
          <w:numId w:val="0"/>
        </w:numPr>
        <w:ind w:firstLine="482" w:firstLineChars="200"/>
        <w:rPr>
          <w:rFonts w:hint="eastAsia" w:ascii="宋体" w:hAnsi="宋体" w:eastAsia="宋体" w:cs="宋体"/>
          <w:b/>
          <w:bCs/>
          <w:sz w:val="24"/>
          <w:highlight w:val="none"/>
          <w:lang w:val="en-US" w:eastAsia="zh-CN"/>
        </w:rPr>
      </w:pPr>
      <w:r>
        <w:rPr>
          <w:rFonts w:hint="eastAsia" w:hAnsi="宋体" w:eastAsia="宋体" w:cs="宋体"/>
          <w:b/>
          <w:bCs/>
          <w:sz w:val="24"/>
          <w:highlight w:val="none"/>
          <w:lang w:val="en-US" w:eastAsia="zh-CN"/>
        </w:rPr>
        <w:t>3.4</w:t>
      </w:r>
      <w:r>
        <w:rPr>
          <w:rFonts w:hint="eastAsia" w:ascii="宋体" w:hAnsi="宋体" w:eastAsia="宋体" w:cs="宋体"/>
          <w:b/>
          <w:bCs/>
          <w:sz w:val="24"/>
          <w:highlight w:val="none"/>
          <w:lang w:val="en-US" w:eastAsia="zh-CN"/>
        </w:rPr>
        <w:t>年度大修</w:t>
      </w:r>
    </w:p>
    <w:p w14:paraId="1762E408">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按照实际运行设备情况，</w:t>
      </w:r>
      <w:r>
        <w:rPr>
          <w:rFonts w:hint="eastAsia" w:hAnsi="宋体" w:eastAsia="宋体" w:cs="宋体"/>
          <w:sz w:val="24"/>
          <w:highlight w:val="none"/>
          <w:lang w:val="en-US" w:eastAsia="zh-CN"/>
        </w:rPr>
        <w:t>乙方</w:t>
      </w:r>
      <w:r>
        <w:rPr>
          <w:rFonts w:hint="eastAsia" w:ascii="宋体" w:hAnsi="宋体" w:eastAsia="宋体" w:cs="宋体"/>
          <w:sz w:val="24"/>
          <w:highlight w:val="none"/>
          <w:lang w:val="en-US" w:eastAsia="zh-CN"/>
        </w:rPr>
        <w:t>应事先制订详尽的大修计划、进度、日程表，并事先准备要更换的零部件备件。</w:t>
      </w:r>
    </w:p>
    <w:p w14:paraId="187F8DA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（1）对主汽门、调节汽阀要测定阀杆、阻汽套、衬套等零件的氧化积垢情况，要恢复其设计间隙，并要核查各密封面（包括自密封面）的接触情况并予以修复；</w:t>
      </w:r>
    </w:p>
    <w:p w14:paraId="1BFF9BF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（2）对汽缸要检查所有配合与装配表面，注意汽缸壁上是否有磨蚀，检查水平中分面有否漏汽迹象，如有需一并处理，检查法兰螺栓、螺母、垫圈，固定螺钉有否松脱；</w:t>
      </w:r>
    </w:p>
    <w:p w14:paraId="26783A14">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全面检查各径向轴承，测定并记录轴承和轴颈的直径，检查轴颈上是否有划痕，擦伤或麻点。轴承衬瓦是否有蚀点，磨痕或脱落情况。推力轴承要检查正、反推力。检查各瓦块表面、各轴承热电偶接线情况；</w:t>
      </w:r>
    </w:p>
    <w:p w14:paraId="4269C74B">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（4）全面检查润滑系统（包括冷油器清洗，油箱清理，辅助油泵及轴承内部清洁）；</w:t>
      </w:r>
    </w:p>
    <w:p w14:paraId="451B8A9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（5）全面检查转子及汽封系统，检查动叶片（包括叶根）和围带情况，末级叶片水蚀情况，测量记录检修前后通流部分的轴向和径向间隙。检查叶片磨蚀情况，检查汽封档凸肩情况，检查汽封环有否磨损；</w:t>
      </w:r>
    </w:p>
    <w:p w14:paraId="1325F68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（6）检查联轴器对中情况，检查其连接螺栓、螺母；</w:t>
      </w:r>
    </w:p>
    <w:p w14:paraId="6FBAD33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（7）检查各隔板有否磨痕，各静叶尤其是出汽边是否有麻点、裂纹、金属磨蚀；</w:t>
      </w:r>
    </w:p>
    <w:p w14:paraId="485BA89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（8）复核通流部分的定位基准，复核轴系的找中曲线，包括复核冷态各轴承标高与原始安装值有否变化，各联轴器处开口和外圆的变化情况，如有变化并予以修复；</w:t>
      </w:r>
    </w:p>
    <w:p w14:paraId="7582765B">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（9）凝汽器检查，包括凝汽器内部汽侧检查及水侧管束、腔室检查并清洗。</w:t>
      </w:r>
    </w:p>
    <w:p w14:paraId="624839A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（10）配件准备，汽轮机检修过程中，如需更换叶片，且更换总数小于等于10片，则由</w:t>
      </w:r>
      <w:r>
        <w:rPr>
          <w:rFonts w:hint="eastAsia" w:hAnsi="宋体" w:eastAsia="宋体" w:cs="宋体"/>
          <w:sz w:val="24"/>
          <w:highlight w:val="none"/>
          <w:lang w:val="en-US" w:eastAsia="zh-CN"/>
        </w:rPr>
        <w:t>乙方</w:t>
      </w:r>
      <w:r>
        <w:rPr>
          <w:rFonts w:hint="eastAsia" w:ascii="宋体" w:hAnsi="宋体" w:eastAsia="宋体" w:cs="宋体"/>
          <w:sz w:val="24"/>
          <w:highlight w:val="none"/>
          <w:lang w:val="en-US" w:eastAsia="zh-CN"/>
        </w:rPr>
        <w:t>自行采购</w:t>
      </w:r>
      <w:r>
        <w:rPr>
          <w:rFonts w:hint="eastAsia" w:hAnsi="宋体" w:eastAsia="宋体" w:cs="宋体"/>
          <w:sz w:val="24"/>
          <w:highlight w:val="none"/>
          <w:lang w:val="en-US" w:eastAsia="zh-CN"/>
        </w:rPr>
        <w:t>承担</w:t>
      </w:r>
      <w:r>
        <w:rPr>
          <w:rFonts w:hint="eastAsia" w:ascii="宋体" w:hAnsi="宋体" w:eastAsia="宋体" w:cs="宋体"/>
          <w:sz w:val="24"/>
          <w:highlight w:val="none"/>
          <w:lang w:val="en-US" w:eastAsia="zh-CN"/>
        </w:rPr>
        <w:t>；更换大于10片的，超过10片以上的数量则由</w:t>
      </w:r>
      <w:r>
        <w:rPr>
          <w:rFonts w:hint="eastAsia" w:hAnsi="宋体" w:eastAsia="宋体" w:cs="宋体"/>
          <w:sz w:val="24"/>
          <w:highlight w:val="none"/>
          <w:lang w:val="en-US" w:eastAsia="zh-CN"/>
        </w:rPr>
        <w:t>甲方</w:t>
      </w:r>
      <w:r>
        <w:rPr>
          <w:rFonts w:hint="eastAsia" w:ascii="宋体" w:hAnsi="宋体" w:eastAsia="宋体" w:cs="宋体"/>
          <w:sz w:val="24"/>
          <w:highlight w:val="none"/>
          <w:lang w:val="en-US" w:eastAsia="zh-CN"/>
        </w:rPr>
        <w:t>提供。</w:t>
      </w:r>
    </w:p>
    <w:p w14:paraId="0EAC14E0">
      <w:pPr>
        <w:pStyle w:val="6"/>
        <w:numPr>
          <w:ilvl w:val="0"/>
          <w:numId w:val="0"/>
        </w:numPr>
        <w:ind w:firstLine="482" w:firstLineChars="200"/>
        <w:rPr>
          <w:rFonts w:hint="default"/>
          <w:b/>
          <w:bCs/>
          <w:color w:val="auto"/>
          <w:lang w:val="en-US" w:eastAsia="zh-CN"/>
        </w:rPr>
      </w:pPr>
      <w:r>
        <w:rPr>
          <w:rFonts w:hint="eastAsia"/>
          <w:b/>
          <w:bCs/>
          <w:color w:val="auto"/>
          <w:lang w:val="en-US" w:eastAsia="zh-CN"/>
        </w:rPr>
        <w:t>4.维保技术要求</w:t>
      </w:r>
    </w:p>
    <w:p w14:paraId="1E01F149">
      <w:pPr>
        <w:pStyle w:val="6"/>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4.1汽轮机运行中的检查项目</w:t>
      </w:r>
    </w:p>
    <w:p w14:paraId="05B60855">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甲方维保</w:t>
      </w:r>
      <w:r>
        <w:rPr>
          <w:rFonts w:hint="eastAsia" w:ascii="宋体" w:hAnsi="宋体" w:eastAsia="宋体" w:cs="宋体"/>
          <w:sz w:val="24"/>
          <w:highlight w:val="none"/>
          <w:lang w:val="en-US" w:eastAsia="zh-CN"/>
        </w:rPr>
        <w:t>运行人员应充分了解设备的运行限额，预防措施和运行程序，应始终严密监测汽轮机的状况。任何偏离正常值的状况都可能表明已出了故障或存在出事故的苗子，应立即查明。任何漏水、漏油、漏汽或保温层松脱等都是</w:t>
      </w:r>
      <w:r>
        <w:rPr>
          <w:rFonts w:hint="eastAsia" w:hAnsi="宋体" w:eastAsia="宋体" w:cs="宋体"/>
          <w:sz w:val="24"/>
          <w:highlight w:val="none"/>
          <w:lang w:val="en-US" w:eastAsia="zh-CN"/>
        </w:rPr>
        <w:t>不稳定因素</w:t>
      </w:r>
      <w:r>
        <w:rPr>
          <w:rFonts w:hint="eastAsia" w:ascii="宋体" w:hAnsi="宋体" w:eastAsia="宋体" w:cs="宋体"/>
          <w:sz w:val="24"/>
          <w:highlight w:val="none"/>
          <w:lang w:val="en-US" w:eastAsia="zh-CN"/>
        </w:rPr>
        <w:t>，可能酿成严重事故，任何这类情况都应立即查明。</w:t>
      </w:r>
    </w:p>
    <w:p w14:paraId="27EBA56B">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在运行期间除完整记录综合运行日志“历史情况记录”外，在汽轮机停机检修前尚应检查下列项目，以确定需特别注意和检查的项目。</w:t>
      </w:r>
    </w:p>
    <w:p w14:paraId="348BCCA3">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（1）记录额定负荷，3/4和1/2额定负荷时的振动情况，相位角变化和幅值增减，以及进汽温度和压力。</w:t>
      </w:r>
    </w:p>
    <w:p w14:paraId="4D2CD89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（2）记录额定负荷和卸负荷停机时轴承进出口油温和巴氏合金的温度。</w:t>
      </w:r>
    </w:p>
    <w:p w14:paraId="31DDF223">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（3）测定油滤网上是否有巴氏合金或其它金属碎片。</w:t>
      </w:r>
    </w:p>
    <w:p w14:paraId="090A484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（4）测定润滑油系统压力是否有任何变化。</w:t>
      </w:r>
    </w:p>
    <w:p w14:paraId="4F16B9B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（5）脱扣时主汽阀和调阀是否能迅速及时地关闭。</w:t>
      </w:r>
    </w:p>
    <w:p w14:paraId="724D679A">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（6）脱扣后测定汽机惰走曲线</w:t>
      </w:r>
    </w:p>
    <w:p w14:paraId="7BBFD67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（7）抽汽逆止阀是否在正常工作状态</w:t>
      </w:r>
    </w:p>
    <w:p w14:paraId="4E6F3911">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（8）转子位置是否与原基准值相比有了变化，应特别注意额定负荷下的比较。</w:t>
      </w:r>
    </w:p>
    <w:p w14:paraId="0BEF06E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（9）注意轴承油封环和油管路中的油泄漏或油雾。</w:t>
      </w:r>
    </w:p>
    <w:p w14:paraId="0C3BA0A1">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（10）注意在汽轮机的任何接口或阀杆处的任何蒸汽泄漏。</w:t>
      </w:r>
    </w:p>
    <w:p w14:paraId="6966CF5D">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（11）观察各汽封是否正常。</w:t>
      </w:r>
    </w:p>
    <w:p w14:paraId="27F8915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（12）调节系统是否稳定。</w:t>
      </w:r>
    </w:p>
    <w:p w14:paraId="51C5D129">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（13）调节油压是否有过什么变化。</w:t>
      </w:r>
    </w:p>
    <w:p w14:paraId="618A1F2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（14）蒸汽排放系统是否正常。</w:t>
      </w:r>
    </w:p>
    <w:p w14:paraId="7FD4AC1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（15）交流油泵及直流油泵开关是否起作用。</w:t>
      </w:r>
    </w:p>
    <w:p w14:paraId="1BD6BE4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（16）测定汽缸内噪音水平是否有变化。</w:t>
      </w:r>
    </w:p>
    <w:p w14:paraId="47B89449">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（17）用表面式温度计测定各轴承座轴承挡处表面金属温度有任何变化。</w:t>
      </w:r>
    </w:p>
    <w:p w14:paraId="57757DA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（18）确定是否所有汽轮机监测仪表都正常工作。</w:t>
      </w:r>
    </w:p>
    <w:p w14:paraId="04B6ED66">
      <w:pPr>
        <w:pStyle w:val="6"/>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4.2短期停机的检查项目</w:t>
      </w:r>
    </w:p>
    <w:p w14:paraId="08FE8D96">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如果以往的运行经验或各进汽阀的活动试验表明其结构可能存在问题，则每种型式的进汽阀至少要拆开一只进行检查。核查阀门，阀杆和衬套的状况及其相应间隙，由检查结果确定是否需要对其余阀门再作检查。</w:t>
      </w:r>
    </w:p>
    <w:p w14:paraId="31D7243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（2）检查所有有异常迹象的部件。</w:t>
      </w:r>
    </w:p>
    <w:p w14:paraId="278509E5">
      <w:pPr>
        <w:pStyle w:val="6"/>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4.3停机后的维护</w:t>
      </w:r>
    </w:p>
    <w:p w14:paraId="2D09D0E6">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4.3.1</w:t>
      </w:r>
      <w:r>
        <w:rPr>
          <w:rFonts w:hint="eastAsia" w:ascii="宋体" w:hAnsi="宋体" w:eastAsia="宋体" w:cs="宋体"/>
          <w:sz w:val="24"/>
          <w:highlight w:val="none"/>
          <w:lang w:val="en-US" w:eastAsia="zh-CN"/>
        </w:rPr>
        <w:t>汽轮机停用期不超过</w:t>
      </w:r>
      <w:r>
        <w:rPr>
          <w:rFonts w:hint="eastAsia" w:hAnsi="宋体" w:eastAsia="宋体" w:cs="宋体"/>
          <w:sz w:val="24"/>
          <w:highlight w:val="none"/>
          <w:lang w:val="en-US" w:eastAsia="zh-CN"/>
        </w:rPr>
        <w:t>14天</w:t>
      </w:r>
      <w:r>
        <w:rPr>
          <w:rFonts w:hint="eastAsia" w:ascii="宋体" w:hAnsi="宋体" w:eastAsia="宋体" w:cs="宋体"/>
          <w:sz w:val="24"/>
          <w:highlight w:val="none"/>
          <w:lang w:val="en-US" w:eastAsia="zh-CN"/>
        </w:rPr>
        <w:t>（无检修工作）时的保养措施：</w:t>
      </w:r>
    </w:p>
    <w:p w14:paraId="13C6750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（1）关闭机组与公共母管连接的汽水系统隔绝阀门，若阀门不严密应扩大隔绝范围或加装堵板。</w:t>
      </w:r>
    </w:p>
    <w:p w14:paraId="42B4369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（2）开启有关通向大气的疏水、放水、放气等阀门。设法放尽管道、容器、箱内等内部的积水或存水。</w:t>
      </w:r>
    </w:p>
    <w:p w14:paraId="19DE22C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（3）每星期进行一次油箱低部放水，若有条件可启动各油泵进行油循环，如无条件则每天将转子转动半圈。</w:t>
      </w:r>
    </w:p>
    <w:p w14:paraId="4847DE4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（4）如汽轮机停用期适值冬季，则应做好防冻工作。</w:t>
      </w:r>
    </w:p>
    <w:p w14:paraId="71588F9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（5）暴露于外部的加工面涂以防锈油。</w:t>
      </w:r>
    </w:p>
    <w:p w14:paraId="552D3279">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4.3.2</w:t>
      </w:r>
      <w:r>
        <w:rPr>
          <w:rFonts w:hint="eastAsia" w:ascii="宋体" w:hAnsi="宋体" w:eastAsia="宋体" w:cs="宋体"/>
          <w:sz w:val="24"/>
          <w:highlight w:val="none"/>
          <w:lang w:val="en-US" w:eastAsia="zh-CN"/>
        </w:rPr>
        <w:t>汽轮机停用超过</w:t>
      </w:r>
      <w:r>
        <w:rPr>
          <w:rFonts w:hint="eastAsia" w:hAnsi="宋体" w:eastAsia="宋体" w:cs="宋体"/>
          <w:sz w:val="24"/>
          <w:highlight w:val="none"/>
          <w:lang w:val="en-US" w:eastAsia="zh-CN"/>
        </w:rPr>
        <w:t>14天</w:t>
      </w:r>
      <w:r>
        <w:rPr>
          <w:rFonts w:hint="eastAsia" w:ascii="宋体" w:hAnsi="宋体" w:eastAsia="宋体" w:cs="宋体"/>
          <w:sz w:val="24"/>
          <w:highlight w:val="none"/>
          <w:lang w:val="en-US" w:eastAsia="zh-CN"/>
        </w:rPr>
        <w:t>，但不超过六个月（无检修工作）时的保养措施，除了应做好上述</w:t>
      </w:r>
      <w:r>
        <w:rPr>
          <w:rFonts w:hint="eastAsia" w:ascii="宋体" w:hAnsi="宋体" w:eastAsia="宋体" w:cs="宋体"/>
          <w:color w:val="0000FF"/>
          <w:sz w:val="24"/>
          <w:highlight w:val="none"/>
          <w:lang w:val="en-US" w:eastAsia="zh-CN"/>
        </w:rPr>
        <w:t>（</w:t>
      </w:r>
      <w:r>
        <w:rPr>
          <w:rFonts w:hint="eastAsia" w:hAnsi="宋体" w:eastAsia="宋体" w:cs="宋体"/>
          <w:color w:val="0000FF"/>
          <w:sz w:val="24"/>
          <w:highlight w:val="none"/>
          <w:lang w:val="en-US" w:eastAsia="zh-CN"/>
        </w:rPr>
        <w:t>3</w:t>
      </w:r>
      <w:r>
        <w:rPr>
          <w:rFonts w:hint="eastAsia" w:ascii="宋体" w:hAnsi="宋体" w:eastAsia="宋体" w:cs="宋体"/>
          <w:color w:val="0000FF"/>
          <w:sz w:val="24"/>
          <w:highlight w:val="none"/>
          <w:lang w:val="en-US" w:eastAsia="zh-CN"/>
        </w:rPr>
        <w:t>.1）</w:t>
      </w:r>
      <w:r>
        <w:rPr>
          <w:rFonts w:hint="eastAsia" w:ascii="宋体" w:hAnsi="宋体" w:eastAsia="宋体" w:cs="宋体"/>
          <w:sz w:val="24"/>
          <w:highlight w:val="none"/>
          <w:lang w:val="en-US" w:eastAsia="zh-CN"/>
        </w:rPr>
        <w:t>保养工作外，还应采用热风干燥法进行保养。送风时排汽缸温度应低于80℃，一般应调节热风温度，使汽轮机内缸内壁温度比室温高3～5℃。若热干燥有困难，可用抽汽器抽真空，使机组内部保持干燥，每月进行一次，运行一小时（选择晴天，空气比较干燥时进行）</w:t>
      </w:r>
    </w:p>
    <w:p w14:paraId="46EC61E0">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4.3.3</w:t>
      </w:r>
      <w:r>
        <w:rPr>
          <w:rFonts w:hint="eastAsia" w:ascii="宋体" w:hAnsi="宋体" w:eastAsia="宋体" w:cs="宋体"/>
          <w:sz w:val="24"/>
          <w:highlight w:val="none"/>
          <w:lang w:val="en-US" w:eastAsia="zh-CN"/>
        </w:rPr>
        <w:t>汽轮机停用期超过六个月时的保养措施：除了应做好上述保养工作外，还应采用拆开保养法进行保养，即在金属表面涂上合适的防锈油脂，或喷上银粉等，妥善保管，并定期检查保养效果。</w:t>
      </w:r>
    </w:p>
    <w:p w14:paraId="3B86B6E5">
      <w:pPr>
        <w:pStyle w:val="6"/>
        <w:numPr>
          <w:ilvl w:val="0"/>
          <w:numId w:val="0"/>
        </w:numPr>
        <w:ind w:firstLine="482" w:firstLineChars="200"/>
        <w:rPr>
          <w:rFonts w:hint="default" w:hAnsi="宋体" w:eastAsia="宋体" w:cs="宋体"/>
          <w:b/>
          <w:bCs/>
          <w:sz w:val="24"/>
          <w:highlight w:val="none"/>
          <w:lang w:val="en-US" w:eastAsia="zh-CN"/>
        </w:rPr>
      </w:pPr>
      <w:r>
        <w:rPr>
          <w:rFonts w:hint="eastAsia" w:hAnsi="宋体" w:eastAsia="宋体" w:cs="宋体"/>
          <w:b/>
          <w:bCs/>
          <w:sz w:val="24"/>
          <w:highlight w:val="none"/>
          <w:lang w:val="en-US" w:eastAsia="zh-CN"/>
        </w:rPr>
        <w:t>4.4.蒸汽管道的清洗要求</w:t>
      </w:r>
    </w:p>
    <w:p w14:paraId="776CBA4C">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4.4.1</w:t>
      </w:r>
      <w:r>
        <w:rPr>
          <w:rFonts w:hint="eastAsia" w:ascii="宋体" w:hAnsi="宋体" w:eastAsia="宋体" w:cs="宋体"/>
          <w:sz w:val="24"/>
          <w:highlight w:val="none"/>
          <w:lang w:val="en-US" w:eastAsia="zh-CN"/>
        </w:rPr>
        <w:t>汽轮机的安全经济运行要求进入汽轮机主蒸汽没有外来杂物，为了提供纯净的蒸汽，要求锅炉以及汽轮机的进汽管道在通过蒸汽前，需要进行彻底清洗，不仅新机组初始启动前要求清洗管道，而且检修后的锅炉管道和进汽管道在再启动前也要进行（清洗汽封管道也包括在内）。</w:t>
      </w:r>
    </w:p>
    <w:p w14:paraId="4EF395DD">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4.4.2清洗后，必须达到能清除掉外部杂物，如附在管子内表面的扎制鳞皮、焊珠、焊渣、氧化皮等。</w:t>
      </w:r>
    </w:p>
    <w:p w14:paraId="124FD1CC">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4.4.3清洗的方法：蒸汽管道的清洗目前普遍采用蒸汽吹扫与化学清洗方法，应按照DL5011-92“电力建设施工及验收技术规范”（汽轮机机组篇）中的规定，依管道的类别分别选取蒸汽吹扫或是化学清洗。对蒸汽吹扫的管道需要按DL5031-94“电力建设施工及验收技术规范”（管道篇）的规定，用蒸汽吹扫合格。而对需进行化学清洗的管道，则应按DLJ58-83“电力建设施工及验收技术规范”（火力发电厂化学篇）的要求进行。</w:t>
      </w:r>
    </w:p>
    <w:p w14:paraId="52C4FA8B">
      <w:pPr>
        <w:pStyle w:val="6"/>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4.5润滑要求</w:t>
      </w:r>
    </w:p>
    <w:p w14:paraId="2158FFF7">
      <w:pPr>
        <w:pStyle w:val="31"/>
        <w:pageBreakBefore w:val="0"/>
        <w:kinsoku/>
        <w:wordWrap/>
        <w:topLinePunct w:val="0"/>
        <w:bidi w:val="0"/>
        <w:snapToGrid w:val="0"/>
        <w:spacing w:line="360" w:lineRule="auto"/>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4.5.1常规的润滑保养项目，对于汽轮机各部套配套的电动机、滚动轴承等需润滑保养的零部件，都按相应制造厂的要求，按常规注油维护。</w:t>
      </w:r>
    </w:p>
    <w:p w14:paraId="7BB0D650">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4.5.2对油质的要求</w:t>
      </w:r>
    </w:p>
    <w:p w14:paraId="17C368B3">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（1）本汽轮机组所用的润滑油规定为32号汽轮机油，并加入防锈用复合添加剂。</w:t>
      </w:r>
    </w:p>
    <w:p w14:paraId="5C95DC59">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汽轮机油质应符合GB11120-1989 L-TSA汽轮机油的规定，所用润滑油应是均匀的精炼矿物油，它不许含有砂砾，无机酸碱、皂液、沥青、柏油脂和树状杂质，或其他会影响油质或对所接触金属有害的任何杂质。</w:t>
      </w:r>
    </w:p>
    <w:p w14:paraId="2D2F0703">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对汽轮机用油的正确保养将保证轴承、轴颈和油泵等不产生过度的磨损，所以必须作定期的油抽样分析以确定油的特性有否改变，如已改变应查明原因予以处理。</w:t>
      </w:r>
    </w:p>
    <w:p w14:paraId="50D3053B">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（2）在汽轮机运行期间，检验油质时，允许的杂质水平按下表的规定。</w:t>
      </w:r>
    </w:p>
    <w:tbl>
      <w:tblPr>
        <w:tblStyle w:val="15"/>
        <w:tblW w:w="0" w:type="auto"/>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7"/>
        <w:gridCol w:w="3382"/>
      </w:tblGrid>
      <w:tr w14:paraId="143F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877" w:type="dxa"/>
            <w:vAlign w:val="center"/>
          </w:tcPr>
          <w:p w14:paraId="1128CB8D">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杂质粒度尺寸（μ）</w:t>
            </w:r>
          </w:p>
        </w:tc>
        <w:tc>
          <w:tcPr>
            <w:tcW w:w="3382" w:type="dxa"/>
            <w:vAlign w:val="center"/>
          </w:tcPr>
          <w:p w14:paraId="79202530">
            <w:pPr>
              <w:pStyle w:val="31"/>
              <w:pageBreakBefore w:val="0"/>
              <w:kinsoku/>
              <w:wordWrap/>
              <w:topLinePunct w:val="0"/>
              <w:bidi w:val="0"/>
              <w:snapToGrid w:val="0"/>
              <w:spacing w:line="360" w:lineRule="auto"/>
              <w:ind w:left="0" w:leftChars="0" w:firstLine="0" w:firstLineChars="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每100mL油样中允许的颗粒数</w:t>
            </w:r>
          </w:p>
        </w:tc>
      </w:tr>
      <w:tr w14:paraId="3373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797BB8FD">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5～10</w:t>
            </w:r>
          </w:p>
        </w:tc>
        <w:tc>
          <w:tcPr>
            <w:tcW w:w="3382" w:type="dxa"/>
            <w:vAlign w:val="center"/>
          </w:tcPr>
          <w:p w14:paraId="73D214D2">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32000</w:t>
            </w:r>
          </w:p>
        </w:tc>
      </w:tr>
      <w:tr w14:paraId="0340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607E7B1B">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10～25</w:t>
            </w:r>
          </w:p>
        </w:tc>
        <w:tc>
          <w:tcPr>
            <w:tcW w:w="3382" w:type="dxa"/>
            <w:vAlign w:val="center"/>
          </w:tcPr>
          <w:p w14:paraId="7B522630">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10700</w:t>
            </w:r>
          </w:p>
        </w:tc>
      </w:tr>
      <w:tr w14:paraId="2126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670FD7FF">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25～100</w:t>
            </w:r>
          </w:p>
        </w:tc>
        <w:tc>
          <w:tcPr>
            <w:tcW w:w="3382" w:type="dxa"/>
            <w:vAlign w:val="center"/>
          </w:tcPr>
          <w:p w14:paraId="0113C6EF">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1510</w:t>
            </w:r>
          </w:p>
        </w:tc>
      </w:tr>
      <w:tr w14:paraId="4FCC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556FA482">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50～250</w:t>
            </w:r>
          </w:p>
        </w:tc>
        <w:tc>
          <w:tcPr>
            <w:tcW w:w="3382" w:type="dxa"/>
            <w:vAlign w:val="center"/>
          </w:tcPr>
          <w:p w14:paraId="7BCF9C5D">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225</w:t>
            </w:r>
          </w:p>
        </w:tc>
      </w:tr>
      <w:tr w14:paraId="1F5C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25DFE72A">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100～250</w:t>
            </w:r>
          </w:p>
        </w:tc>
        <w:tc>
          <w:tcPr>
            <w:tcW w:w="3382" w:type="dxa"/>
            <w:vAlign w:val="center"/>
          </w:tcPr>
          <w:p w14:paraId="76A37896">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21</w:t>
            </w:r>
          </w:p>
        </w:tc>
      </w:tr>
      <w:tr w14:paraId="6623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3877" w:type="dxa"/>
            <w:vAlign w:val="center"/>
          </w:tcPr>
          <w:p w14:paraId="26D6ADA3">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&gt;250</w:t>
            </w:r>
          </w:p>
        </w:tc>
        <w:tc>
          <w:tcPr>
            <w:tcW w:w="3382" w:type="dxa"/>
            <w:vAlign w:val="center"/>
          </w:tcPr>
          <w:p w14:paraId="078CE564">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无</w:t>
            </w:r>
          </w:p>
        </w:tc>
      </w:tr>
    </w:tbl>
    <w:p w14:paraId="2916A618">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4.5.3对油系统清洁度的要求</w:t>
      </w:r>
    </w:p>
    <w:p w14:paraId="423CDE7C">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在新机组安装后，油系统试运和油循环时油样（用150目油过滤器在最大流量下，置30min取样，然后清洗油过滤器，用200目滤网收集异物）应符合下列要求，油系统清洁度才是合格的。</w:t>
      </w:r>
    </w:p>
    <w:p w14:paraId="077CC66E">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（1）没有大于0.25mm的硬颗粒，尺寸在0.125～0.25mm之间的硬颗粒总数不得大于5。</w:t>
      </w:r>
    </w:p>
    <w:p w14:paraId="0D1B21FD">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（2）在冲洗期间通常要清除以下有害颗粒。</w:t>
      </w:r>
      <w:r>
        <w:rPr>
          <w:rFonts w:hint="eastAsia" w:ascii="宋体" w:hAnsi="宋体" w:eastAsia="宋体" w:cs="宋体"/>
          <w:snapToGrid w:val="0"/>
          <w:color w:val="auto"/>
          <w:kern w:val="2"/>
          <w:sz w:val="24"/>
          <w:szCs w:val="21"/>
          <w:highlight w:val="none"/>
          <w:lang w:val="en-US" w:eastAsia="zh-CN" w:bidi="ar-SA"/>
        </w:rPr>
        <w:tab/>
      </w:r>
    </w:p>
    <w:p w14:paraId="2EF847E9">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大粒积垢或铁锈焊珠或焊渣、砂、石、水泥或玻璃，包括焊条在内的任何种类金属碎屑、片布料、塑料或其它不会檫伤轴颈，但却会阻挡油在管内流动或堵住管孔的物质。</w:t>
      </w:r>
    </w:p>
    <w:p w14:paraId="6278B5DF">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（3）虽稍大于0.25mm，但却可认为是无害的颗粒是棉花、碎纸、锯屑、烟丝、石棉和能很快用手指捻碎的其它软性物质，这些颗粒也要去除。</w:t>
      </w:r>
    </w:p>
    <w:p w14:paraId="3CF8417F">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如检查与分析的结果是洁净度不合格，则要继续让热油循环二小时后再收集油样，直至检查与分析合格。</w:t>
      </w:r>
    </w:p>
    <w:p w14:paraId="5D1B6D59">
      <w:pPr>
        <w:pStyle w:val="6"/>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4.6维修备件</w:t>
      </w:r>
    </w:p>
    <w:p w14:paraId="3524ECFC">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4.6.1汽轮机维修配件由甲方提供，低值易耗品由乙方提供，如螺栓、螺母、垫片、抹布等。</w:t>
      </w:r>
    </w:p>
    <w:p w14:paraId="374E59F6">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4.6.2维护保养期内，机组零部件发生故障或损坏，需更换新的备品备件时，乙方向甲方报送需更换的备品清单，经甲方同意批准后方可更换。备件的安装、维修均由乙方承担，一般情况下工时费不另外支付，但若因维修工时超过24个工时，工时费双方协商解决。</w:t>
      </w:r>
    </w:p>
    <w:p w14:paraId="2895D1C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5.验收方式</w:t>
      </w:r>
    </w:p>
    <w:p w14:paraId="09F807C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5.1乙方在每次进行保养或维修服务时需要有甲方陪同，甲方对照维保方案现场检查项目是否符合要求，双方在维保确认单上签字确认后验收合格。</w:t>
      </w:r>
    </w:p>
    <w:p w14:paraId="0153D33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5.2甲方与乙方双方组织各自技术人员共同现场验收。</w:t>
      </w:r>
    </w:p>
    <w:p w14:paraId="03F1D84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6.服务要求</w:t>
      </w:r>
    </w:p>
    <w:p w14:paraId="5CDB852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机组运行期间，乙方指派相对固定的专业人员，对余热发电机组进行巡检（并记录各项数据）、维护保养，乙方每季度需提交一份有关维护保养的情况报告；若乙方服务人员专业技能不满足要求时，乙方要及时更换人员至满足要求为止。</w:t>
      </w:r>
    </w:p>
    <w:p w14:paraId="616FA2D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6.2运维包含的常规巡检保养内容包括检查机组的性能、运转状况及更换配件等；</w:t>
      </w:r>
    </w:p>
    <w:p w14:paraId="4CAFF19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应急维修：运维期间，机组运行出现故障时，乙方在接到甲方报修通知后，立即到达现场对设备进行检修，如果现场人员无法满足检维修条件，需尽快从别的项目派人过来维修，除了因为甲方原因系统停机外，汽轮机年度运行时间不少于8000小时，停机检修期间，乙方根据维修情况适时增派专业维修人员做好维修工作；</w:t>
      </w:r>
    </w:p>
    <w:p w14:paraId="089F788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6.4合同期内发电机出现故障需大修时，乙方需配合进行发电机维修单位拆装及调试工作。</w:t>
      </w:r>
    </w:p>
    <w:p w14:paraId="19A4045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6.5特别约定：</w:t>
      </w:r>
    </w:p>
    <w:p w14:paraId="52B378A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6.5.1甲方在报修通知乙方时应一并提供相关报警信息，以便于乙方工程师做准备。</w:t>
      </w:r>
    </w:p>
    <w:p w14:paraId="57FA5C4D">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6.5.乙方严格遵守甲方各项外来人员的规章制度和安全规程。乙方自行承担工作人员在维护工作中的安全责任。如果出现安全事故，一切后果由乙方自行承担。</w:t>
      </w:r>
    </w:p>
    <w:p w14:paraId="3317878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6.5.3乙方不承担外部坏境或因人为误操作、破坏等引起的直接与间接的损失后果。</w:t>
      </w:r>
    </w:p>
    <w:p w14:paraId="3C09F85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6.5.4乙方不承担因地震、火灾、雷击、战争等自然力量不可抗拒的灾害所造成的机器损坏。</w:t>
      </w:r>
    </w:p>
    <w:p w14:paraId="6078DEE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6.5.5乙方有义务协助甲方维修上述5.3、5.4条发生时所造成的损坏，双方另行协商修理费用。</w:t>
      </w:r>
    </w:p>
    <w:p w14:paraId="1A58DA00">
      <w:pPr>
        <w:pStyle w:val="6"/>
        <w:ind w:firstLine="480" w:firstLineChars="200"/>
        <w:rPr>
          <w:rFonts w:hint="eastAsia" w:ascii="宋体"/>
          <w:lang w:val="en-US"/>
        </w:rPr>
      </w:pPr>
      <w:r>
        <w:rPr>
          <w:rFonts w:hint="eastAsia"/>
          <w:highlight w:val="none"/>
          <w:lang w:val="en-US" w:eastAsia="zh-CN"/>
        </w:rPr>
        <w:t>7.乙方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0AE38A0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400" w:name="_Toc6596"/>
      <w:bookmarkStart w:id="401" w:name="_Toc14563"/>
      <w:bookmarkStart w:id="402" w:name="_Toc1125"/>
      <w:r>
        <w:rPr>
          <w:rFonts w:hint="eastAsia" w:ascii="宋体" w:hAnsi="宋体" w:eastAsia="宋体" w:cs="宋体"/>
          <w:color w:val="auto"/>
          <w:sz w:val="24"/>
          <w:szCs w:val="24"/>
          <w:highlight w:val="none"/>
          <w:lang w:val="en-US" w:eastAsia="zh-CN"/>
        </w:rPr>
        <w:t>9.安全要求</w:t>
      </w:r>
    </w:p>
    <w:p w14:paraId="44DEE9B8">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（1）乙方负责技术服务过程中的机械及人员的安全，加强对技术服务人员的安全教育及防范措施，乙方技术服务过程中发生的任何质量、安全责任事故及工伤事故等，责任均由乙方承担。</w:t>
      </w:r>
    </w:p>
    <w:p w14:paraId="142319D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（2）服务期间如因乙方原因发生设备、人身等安全事故由乙方承担赔偿责任。乙方应对其员工的安全负责。</w:t>
      </w:r>
    </w:p>
    <w:p w14:paraId="64C4091D">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10.保密要求</w:t>
      </w:r>
    </w:p>
    <w:p w14:paraId="58A98EA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对甲方提供的所有业务技术资料、文档，有责任对第三方保密；乙方在供货过程中涉及第三方产品（乙方提供的），若出现技术、经济或法律上的纠纷，应由乙方全面承担并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0"/>
      <w:bookmarkEnd w:id="401"/>
      <w:bookmarkEnd w:id="402"/>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0CC76998">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w:t>
      </w:r>
      <w:r>
        <w:rPr>
          <w:rFonts w:hint="eastAsia" w:ascii="宋体" w:hAnsi="宋体"/>
          <w:sz w:val="24"/>
          <w:highlight w:val="none"/>
          <w:lang w:val="en-US" w:eastAsia="zh-CN"/>
        </w:rPr>
        <w:t>方在</w:t>
      </w:r>
      <w:r>
        <w:rPr>
          <w:rFonts w:hint="eastAsia" w:ascii="宋体" w:hAnsi="宋体"/>
          <w:color w:val="auto"/>
          <w:sz w:val="24"/>
          <w:highlight w:val="none"/>
          <w:u w:val="single"/>
          <w:lang w:val="en-US" w:eastAsia="zh-CN"/>
        </w:rPr>
        <w:t>合同</w:t>
      </w:r>
      <w:r>
        <w:rPr>
          <w:rFonts w:hint="eastAsia" w:ascii="宋体" w:hAnsi="宋体" w:cs="宋体"/>
          <w:color w:val="auto"/>
          <w:kern w:val="0"/>
          <w:sz w:val="24"/>
          <w:highlight w:val="none"/>
          <w:u w:val="single"/>
          <w:lang w:val="en-US" w:eastAsia="zh-CN"/>
        </w:rPr>
        <w:t>到期后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2"/>
    <w:bookmarkEnd w:id="393"/>
    <w:bookmarkEnd w:id="394"/>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12 </w:t>
      </w:r>
      <w:r>
        <w:rPr>
          <w:rFonts w:hint="eastAsia"/>
          <w:color w:val="auto"/>
          <w:u w:val="none"/>
          <w:lang w:val="en-US" w:eastAsia="zh-CN"/>
        </w:rPr>
        <w:t>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（2） </w:t>
      </w:r>
      <w:r>
        <w:rPr>
          <w:rFonts w:hint="eastAsia"/>
          <w:u w:val="single"/>
        </w:rPr>
        <w:t xml:space="preserve"> </w:t>
      </w:r>
      <w:r>
        <w:rPr>
          <w:rFonts w:hint="eastAsia"/>
        </w:rPr>
        <w:t>条款规定：</w:t>
      </w:r>
    </w:p>
    <w:p w14:paraId="5C91D747">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95"/>
      <w:bookmarkEnd w:id="396"/>
      <w:bookmarkEnd w:id="397"/>
      <w:bookmarkEnd w:id="398"/>
      <w:bookmarkEnd w:id="399"/>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505B64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FD9657E">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7"/>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2F8209A">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403" w:name="_Toc19680"/>
      <w:bookmarkStart w:id="404" w:name="_Toc14021"/>
      <w:bookmarkStart w:id="405" w:name="_Toc5228"/>
      <w:bookmarkStart w:id="406" w:name="_Toc31297"/>
      <w:bookmarkStart w:id="407" w:name="_Toc25079"/>
      <w:r>
        <w:rPr>
          <w:rFonts w:hint="eastAsia" w:ascii="宋体" w:hAnsi="宋体"/>
          <w:b/>
          <w:sz w:val="24"/>
        </w:rPr>
        <w:t>一、</w:t>
      </w:r>
      <w:r>
        <w:rPr>
          <w:rFonts w:ascii="宋体" w:hAnsi="宋体"/>
          <w:b/>
          <w:sz w:val="24"/>
        </w:rPr>
        <w:t>定义</w:t>
      </w:r>
      <w:bookmarkEnd w:id="403"/>
      <w:bookmarkEnd w:id="404"/>
      <w:bookmarkEnd w:id="405"/>
      <w:bookmarkEnd w:id="406"/>
      <w:bookmarkEnd w:id="407"/>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8" w:name="_Toc31402"/>
      <w:bookmarkStart w:id="409" w:name="_Toc16752"/>
      <w:bookmarkStart w:id="410" w:name="_Toc3769"/>
      <w:bookmarkStart w:id="411" w:name="_Toc19539"/>
      <w:bookmarkStart w:id="412" w:name="_Toc23289"/>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8"/>
      <w:bookmarkEnd w:id="409"/>
      <w:bookmarkEnd w:id="410"/>
      <w:bookmarkEnd w:id="411"/>
      <w:bookmarkEnd w:id="412"/>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13" w:name="_Toc9161"/>
      <w:bookmarkStart w:id="414" w:name="_Toc13673"/>
      <w:bookmarkStart w:id="415" w:name="_Toc12412"/>
      <w:bookmarkStart w:id="416" w:name="_Toc4133"/>
      <w:bookmarkStart w:id="417" w:name="_Toc27945"/>
      <w:r>
        <w:rPr>
          <w:rFonts w:hint="eastAsia" w:ascii="宋体" w:hAnsi="宋体"/>
          <w:b/>
          <w:sz w:val="24"/>
        </w:rPr>
        <w:t>三、</w:t>
      </w:r>
      <w:r>
        <w:rPr>
          <w:rFonts w:ascii="宋体" w:hAnsi="宋体"/>
          <w:b/>
          <w:sz w:val="24"/>
        </w:rPr>
        <w:t xml:space="preserve"> 知识产权</w:t>
      </w:r>
      <w:bookmarkEnd w:id="413"/>
      <w:bookmarkEnd w:id="414"/>
      <w:bookmarkEnd w:id="415"/>
      <w:bookmarkEnd w:id="416"/>
      <w:bookmarkEnd w:id="417"/>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8" w:name="_Toc15447"/>
      <w:bookmarkStart w:id="419" w:name="_Toc26555"/>
      <w:bookmarkStart w:id="420" w:name="_Toc32670"/>
      <w:bookmarkStart w:id="421" w:name="_Toc22011"/>
      <w:bookmarkStart w:id="422" w:name="_Toc31233"/>
      <w:r>
        <w:rPr>
          <w:rFonts w:hint="eastAsia" w:ascii="宋体" w:hAnsi="宋体"/>
          <w:b/>
          <w:sz w:val="24"/>
        </w:rPr>
        <w:t>五、</w:t>
      </w:r>
      <w:r>
        <w:rPr>
          <w:rFonts w:ascii="宋体" w:hAnsi="宋体"/>
          <w:b/>
          <w:sz w:val="24"/>
        </w:rPr>
        <w:t>结算方式和付款条件</w:t>
      </w:r>
      <w:bookmarkEnd w:id="418"/>
      <w:bookmarkEnd w:id="419"/>
      <w:bookmarkEnd w:id="420"/>
      <w:bookmarkEnd w:id="421"/>
      <w:bookmarkEnd w:id="422"/>
    </w:p>
    <w:p w14:paraId="58708174">
      <w:pPr>
        <w:spacing w:line="360" w:lineRule="auto"/>
        <w:ind w:firstLine="480" w:firstLineChars="200"/>
        <w:outlineLvl w:val="0"/>
        <w:rPr>
          <w:rFonts w:hint="eastAsia" w:ascii="宋体" w:hAnsi="宋体"/>
          <w:bCs/>
          <w:sz w:val="24"/>
        </w:rPr>
      </w:pPr>
      <w:bookmarkStart w:id="423" w:name="_Toc13467"/>
      <w:bookmarkStart w:id="424" w:name="_Toc16163"/>
      <w:bookmarkStart w:id="425" w:name="_Toc30507"/>
      <w:bookmarkStart w:id="426" w:name="_Toc18990"/>
      <w:bookmarkStart w:id="427" w:name="_Toc13154"/>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23"/>
      <w:bookmarkEnd w:id="424"/>
      <w:bookmarkEnd w:id="425"/>
      <w:bookmarkEnd w:id="426"/>
      <w:bookmarkEnd w:id="427"/>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8" w:name="_Toc19069"/>
      <w:r>
        <w:rPr>
          <w:rFonts w:hint="eastAsia" w:ascii="宋体" w:hAnsi="宋体"/>
          <w:b/>
          <w:sz w:val="24"/>
        </w:rPr>
        <w:t>七、质量保证</w:t>
      </w:r>
      <w:bookmarkEnd w:id="428"/>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9"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9"/>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30" w:name="_Toc10611"/>
      <w:r>
        <w:rPr>
          <w:rFonts w:hint="eastAsia" w:ascii="宋体" w:hAnsi="宋体"/>
          <w:b/>
          <w:sz w:val="24"/>
        </w:rPr>
        <w:t>九、合同变更</w:t>
      </w:r>
      <w:bookmarkEnd w:id="430"/>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31" w:name="_Toc10663"/>
      <w:bookmarkStart w:id="432" w:name="_Toc23368"/>
      <w:bookmarkStart w:id="433" w:name="_Toc21830"/>
      <w:bookmarkStart w:id="434" w:name="_Toc42"/>
      <w:bookmarkStart w:id="435"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31"/>
      <w:bookmarkEnd w:id="432"/>
      <w:bookmarkEnd w:id="433"/>
      <w:bookmarkEnd w:id="434"/>
      <w:bookmarkEnd w:id="435"/>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36" w:name="_Toc32494"/>
      <w:bookmarkStart w:id="437" w:name="_Toc25571"/>
      <w:bookmarkStart w:id="438" w:name="_Toc26633"/>
      <w:bookmarkStart w:id="439" w:name="_Toc4720"/>
      <w:bookmarkStart w:id="440" w:name="_Toc14371"/>
      <w:r>
        <w:rPr>
          <w:rFonts w:hint="eastAsia" w:ascii="宋体" w:hAnsi="宋体"/>
          <w:b/>
          <w:sz w:val="24"/>
        </w:rPr>
        <w:t>十一、</w:t>
      </w:r>
      <w:r>
        <w:rPr>
          <w:rFonts w:ascii="宋体" w:hAnsi="宋体"/>
          <w:b/>
          <w:sz w:val="24"/>
        </w:rPr>
        <w:t>不可抗力</w:t>
      </w:r>
      <w:bookmarkEnd w:id="436"/>
      <w:bookmarkEnd w:id="437"/>
      <w:bookmarkEnd w:id="438"/>
      <w:bookmarkEnd w:id="439"/>
      <w:bookmarkEnd w:id="440"/>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41" w:name="_Toc14115"/>
      <w:bookmarkStart w:id="442" w:name="_Toc23854"/>
      <w:bookmarkStart w:id="443" w:name="_Toc3638"/>
      <w:bookmarkStart w:id="444" w:name="_Toc25783"/>
      <w:bookmarkStart w:id="445" w:name="_Toc24465"/>
      <w:r>
        <w:rPr>
          <w:rFonts w:hint="eastAsia" w:ascii="宋体" w:hAnsi="宋体"/>
          <w:b/>
          <w:sz w:val="24"/>
        </w:rPr>
        <w:t>十二、</w:t>
      </w:r>
      <w:r>
        <w:rPr>
          <w:rFonts w:ascii="宋体" w:hAnsi="宋体"/>
          <w:b/>
          <w:sz w:val="24"/>
        </w:rPr>
        <w:t>税费</w:t>
      </w:r>
      <w:bookmarkEnd w:id="441"/>
      <w:bookmarkEnd w:id="442"/>
      <w:bookmarkEnd w:id="443"/>
      <w:bookmarkEnd w:id="444"/>
      <w:bookmarkEnd w:id="445"/>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46" w:name="_Toc25525"/>
      <w:bookmarkStart w:id="447" w:name="_Toc14814"/>
      <w:bookmarkStart w:id="448" w:name="_Toc7315"/>
      <w:bookmarkStart w:id="449" w:name="_Toc26883"/>
      <w:bookmarkStart w:id="450" w:name="_Toc30105"/>
      <w:r>
        <w:rPr>
          <w:rFonts w:hint="eastAsia" w:ascii="宋体" w:hAnsi="宋体"/>
          <w:b/>
          <w:sz w:val="24"/>
        </w:rPr>
        <w:t>十三、</w:t>
      </w:r>
      <w:r>
        <w:rPr>
          <w:rFonts w:ascii="宋体" w:hAnsi="宋体"/>
          <w:b/>
          <w:sz w:val="24"/>
        </w:rPr>
        <w:t>乙方破产</w:t>
      </w:r>
      <w:bookmarkEnd w:id="446"/>
      <w:bookmarkEnd w:id="447"/>
      <w:bookmarkEnd w:id="448"/>
      <w:bookmarkEnd w:id="449"/>
      <w:bookmarkEnd w:id="450"/>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51" w:name="_Toc1123"/>
      <w:bookmarkStart w:id="452" w:name="_Toc2016"/>
      <w:bookmarkStart w:id="453" w:name="_Toc23323"/>
      <w:r>
        <w:rPr>
          <w:rFonts w:hint="eastAsia" w:ascii="宋体" w:hAnsi="宋体"/>
          <w:b/>
          <w:sz w:val="24"/>
        </w:rPr>
        <w:t>十四、</w:t>
      </w:r>
      <w:r>
        <w:rPr>
          <w:rFonts w:ascii="宋体" w:hAnsi="宋体"/>
          <w:b/>
          <w:sz w:val="24"/>
        </w:rPr>
        <w:t>合同中止、终止</w:t>
      </w:r>
      <w:bookmarkEnd w:id="451"/>
      <w:bookmarkEnd w:id="452"/>
      <w:bookmarkEnd w:id="453"/>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54" w:name="_Toc17363"/>
      <w:bookmarkStart w:id="455" w:name="_Toc1969"/>
      <w:bookmarkStart w:id="456"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54"/>
      <w:bookmarkEnd w:id="455"/>
      <w:bookmarkEnd w:id="456"/>
      <w:bookmarkStart w:id="457" w:name="_Toc31892"/>
      <w:bookmarkStart w:id="458" w:name="_Toc2308"/>
      <w:bookmarkStart w:id="459" w:name="_Toc25198"/>
      <w:bookmarkStart w:id="460" w:name="_Toc12666"/>
      <w:bookmarkStart w:id="461" w:name="_Toc9808"/>
      <w:r>
        <w:rPr>
          <w:rFonts w:hint="eastAsia" w:ascii="宋体" w:hAnsi="宋体"/>
          <w:b/>
          <w:sz w:val="24"/>
        </w:rPr>
        <w:t>、</w:t>
      </w:r>
      <w:r>
        <w:rPr>
          <w:rFonts w:ascii="宋体" w:hAnsi="宋体"/>
          <w:b/>
          <w:sz w:val="24"/>
        </w:rPr>
        <w:t>通知和送达</w:t>
      </w:r>
      <w:bookmarkEnd w:id="457"/>
      <w:bookmarkEnd w:id="458"/>
      <w:bookmarkEnd w:id="459"/>
      <w:bookmarkEnd w:id="460"/>
      <w:bookmarkEnd w:id="461"/>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62" w:name="_Toc28906"/>
      <w:bookmarkStart w:id="463" w:name="_Toc27644"/>
      <w:bookmarkStart w:id="464" w:name="_Toc12254"/>
      <w:bookmarkStart w:id="465" w:name="_Toc5063"/>
      <w:bookmarkStart w:id="466" w:name="_Toc20808"/>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62"/>
      <w:bookmarkEnd w:id="463"/>
      <w:bookmarkEnd w:id="464"/>
      <w:bookmarkEnd w:id="465"/>
      <w:bookmarkEnd w:id="466"/>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60B9AB68">
      <w:pPr>
        <w:pStyle w:val="23"/>
        <w:spacing w:line="560" w:lineRule="exact"/>
        <w:ind w:left="0" w:leftChars="0" w:firstLine="0" w:firstLineChars="0"/>
        <w:jc w:val="center"/>
        <w:rPr>
          <w:rFonts w:hint="eastAsia" w:ascii="宋体" w:hAnsi="宋体"/>
          <w:b/>
          <w:szCs w:val="24"/>
        </w:rPr>
      </w:pPr>
    </w:p>
    <w:p w14:paraId="188C5370">
      <w:pPr>
        <w:rPr>
          <w:rFonts w:hint="eastAsia"/>
        </w:rPr>
      </w:pPr>
    </w:p>
    <w:p w14:paraId="5E5526CB">
      <w:pPr>
        <w:rPr>
          <w:rFonts w:hint="eastAsia"/>
        </w:rPr>
      </w:pPr>
    </w:p>
    <w:p w14:paraId="0FA98FE5">
      <w:pPr>
        <w:rPr>
          <w:rFonts w:hint="eastAsia"/>
        </w:rPr>
      </w:pPr>
    </w:p>
    <w:p w14:paraId="290C5AEB">
      <w:pPr>
        <w:rPr>
          <w:rFonts w:hint="eastAsia"/>
        </w:rPr>
      </w:pPr>
    </w:p>
    <w:p w14:paraId="03A58B4E">
      <w:pPr>
        <w:rPr>
          <w:rFonts w:hint="eastAsia"/>
        </w:rPr>
      </w:pPr>
    </w:p>
    <w:p w14:paraId="48951272">
      <w:pPr>
        <w:rPr>
          <w:rFonts w:hint="eastAsia"/>
        </w:rPr>
      </w:pPr>
    </w:p>
    <w:p w14:paraId="17466022">
      <w:pPr>
        <w:rPr>
          <w:rFonts w:hint="eastAsia"/>
        </w:rPr>
      </w:pPr>
    </w:p>
    <w:p w14:paraId="2ACB13C4">
      <w:pPr>
        <w:rPr>
          <w:rFonts w:hint="eastAsia"/>
        </w:rPr>
      </w:pPr>
    </w:p>
    <w:p w14:paraId="0152E190">
      <w:pPr>
        <w:rPr>
          <w:rFonts w:hint="eastAsia"/>
        </w:rPr>
      </w:pPr>
    </w:p>
    <w:p w14:paraId="4C2D8A1D">
      <w:pPr>
        <w:rPr>
          <w:rFonts w:hint="eastAsia"/>
        </w:rPr>
      </w:pPr>
    </w:p>
    <w:p w14:paraId="7FE48847">
      <w:pPr>
        <w:rPr>
          <w:rFonts w:hint="eastAsia"/>
        </w:rPr>
      </w:pPr>
    </w:p>
    <w:p w14:paraId="214AEDD0">
      <w:pPr>
        <w:rPr>
          <w:rFonts w:hint="eastAsia"/>
        </w:rPr>
      </w:pPr>
    </w:p>
    <w:p w14:paraId="39353224">
      <w:pPr>
        <w:rPr>
          <w:rFonts w:hint="eastAsia"/>
        </w:rPr>
      </w:pPr>
    </w:p>
    <w:p w14:paraId="3AC37905">
      <w:pPr>
        <w:rPr>
          <w:rFonts w:hint="eastAsia"/>
        </w:rPr>
      </w:pPr>
    </w:p>
    <w:p w14:paraId="14B6370F">
      <w:pPr>
        <w:rPr>
          <w:rFonts w:hint="eastAsia"/>
        </w:rPr>
      </w:pPr>
    </w:p>
    <w:p w14:paraId="01A7DE89">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2025年-2026年三固运行中心1.5MW汽轮机维保服务采购项目（重新询价）</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2025年-2026年三固运行中心1.5MW汽轮机维保服务采购项目（重新询价）</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9"/>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8"/>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7"/>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7"/>
        <w:rPr>
          <w:color w:val="auto"/>
        </w:rPr>
      </w:pPr>
    </w:p>
    <w:p w14:paraId="3B048014">
      <w:pPr>
        <w:pStyle w:val="8"/>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5"/>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2025年-2026年三固运行中心1.5MW汽轮机维保服务采购项目（重新询价）</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202507071</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8"/>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2025年-2026年三固运行中心1.5MW汽轮机维保服务采购项目（重新询价）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202507071</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6"/>
              <w:adjustRightInd w:val="0"/>
              <w:spacing w:line="360" w:lineRule="auto"/>
              <w:rPr>
                <w:rFonts w:cs="仿宋" w:asciiTheme="minorEastAsia" w:hAnsiTheme="minorEastAsia" w:eastAsiaTheme="minorEastAsia"/>
                <w:bCs/>
                <w:color w:val="auto"/>
                <w:sz w:val="24"/>
              </w:rPr>
            </w:pP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6"/>
              <w:adjustRightInd w:val="0"/>
              <w:spacing w:line="360" w:lineRule="auto"/>
              <w:rPr>
                <w:rFonts w:cs="仿宋" w:asciiTheme="minorEastAsia" w:hAnsiTheme="minorEastAsia" w:eastAsiaTheme="minorEastAsia"/>
                <w:bCs/>
                <w:color w:val="auto"/>
                <w:sz w:val="24"/>
              </w:rPr>
            </w:pPr>
          </w:p>
        </w:tc>
      </w:tr>
    </w:tbl>
    <w:p w14:paraId="34853E9C">
      <w:pPr>
        <w:rPr>
          <w:color w:val="auto"/>
        </w:rPr>
      </w:pPr>
    </w:p>
    <w:p w14:paraId="44ED3486">
      <w:pPr>
        <w:pStyle w:val="6"/>
        <w:rPr>
          <w:color w:val="auto"/>
        </w:rPr>
      </w:pPr>
    </w:p>
    <w:p w14:paraId="7051BD90">
      <w:pPr>
        <w:pStyle w:val="7"/>
        <w:rPr>
          <w:color w:val="auto"/>
        </w:rPr>
      </w:pPr>
    </w:p>
    <w:p w14:paraId="15ED29BF">
      <w:pPr>
        <w:rPr>
          <w:color w:val="auto"/>
        </w:rPr>
      </w:pPr>
    </w:p>
    <w:p w14:paraId="2DD7C309">
      <w:pPr>
        <w:pStyle w:val="6"/>
        <w:rPr>
          <w:color w:val="auto"/>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8"/>
        <w:rPr>
          <w:color w:val="auto"/>
        </w:rPr>
      </w:pPr>
    </w:p>
    <w:p w14:paraId="12E7506A">
      <w:pPr>
        <w:rPr>
          <w:color w:val="auto"/>
        </w:rPr>
      </w:pPr>
    </w:p>
    <w:p w14:paraId="21F41F43">
      <w:pPr>
        <w:rPr>
          <w:color w:val="auto"/>
        </w:rPr>
      </w:pPr>
    </w:p>
    <w:p w14:paraId="2A2C7AEE">
      <w:pPr>
        <w:rPr>
          <w:color w:val="auto"/>
        </w:rPr>
      </w:pPr>
    </w:p>
    <w:p w14:paraId="74966C05">
      <w:pPr>
        <w:pStyle w:val="7"/>
        <w:rPr>
          <w:color w:val="auto"/>
        </w:rPr>
      </w:pPr>
    </w:p>
    <w:p w14:paraId="70007663">
      <w:pPr>
        <w:rPr>
          <w:color w:val="auto"/>
        </w:rPr>
      </w:pPr>
    </w:p>
    <w:p w14:paraId="6385A43C">
      <w:pPr>
        <w:pStyle w:val="7"/>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2025年-2026年三固运行中心1.5MW汽轮机维保服务采购项目（重新询价）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202507071</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0000FF"/>
          <w:sz w:val="24"/>
        </w:rPr>
      </w:pPr>
      <w:r>
        <w:rPr>
          <w:rFonts w:hint="eastAsia" w:cs="仿宋" w:asciiTheme="minorEastAsia" w:hAnsiTheme="minorEastAsia"/>
          <w:color w:val="0000FF"/>
          <w:sz w:val="24"/>
        </w:rPr>
        <w:t>2.2.</w:t>
      </w:r>
      <w:r>
        <w:rPr>
          <w:rFonts w:hint="eastAsia" w:cs="仿宋" w:asciiTheme="minorEastAsia" w:hAnsiTheme="minorEastAsia"/>
          <w:color w:val="0000FF"/>
          <w:sz w:val="24"/>
          <w:lang w:val="en-US" w:eastAsia="zh-CN"/>
        </w:rPr>
        <w:t>4</w:t>
      </w:r>
      <w:r>
        <w:rPr>
          <w:rFonts w:hint="eastAsia" w:cs="仿宋" w:asciiTheme="minorEastAsia" w:hAnsiTheme="minorEastAsia"/>
          <w:color w:val="0000FF"/>
          <w:sz w:val="24"/>
        </w:rPr>
        <w:t>商务技术偏离表；</w:t>
      </w:r>
    </w:p>
    <w:p w14:paraId="4C9D3015">
      <w:pPr>
        <w:snapToGrid w:val="0"/>
        <w:spacing w:line="360" w:lineRule="auto"/>
        <w:ind w:left="420" w:leftChars="200" w:firstLine="480" w:firstLineChars="200"/>
        <w:rPr>
          <w:rFonts w:cs="仿宋" w:asciiTheme="minorEastAsia" w:hAnsiTheme="minorEastAsia"/>
          <w:color w:val="0000FF"/>
          <w:sz w:val="24"/>
          <w:lang w:val="zh-CN"/>
        </w:rPr>
      </w:pPr>
      <w:r>
        <w:rPr>
          <w:rFonts w:hint="eastAsia" w:cs="仿宋" w:asciiTheme="minorEastAsia" w:hAnsiTheme="minorEastAsia"/>
          <w:color w:val="0000FF"/>
          <w:sz w:val="24"/>
        </w:rPr>
        <w:t>2</w:t>
      </w:r>
      <w:r>
        <w:rPr>
          <w:rFonts w:hint="eastAsia" w:cs="仿宋" w:asciiTheme="minorEastAsia" w:hAnsiTheme="minorEastAsia"/>
          <w:color w:val="0000FF"/>
          <w:sz w:val="24"/>
          <w:lang w:val="zh-CN"/>
        </w:rPr>
        <w:t>.</w:t>
      </w:r>
      <w:r>
        <w:rPr>
          <w:rFonts w:hint="eastAsia" w:cs="仿宋" w:asciiTheme="minorEastAsia" w:hAnsiTheme="minorEastAsia"/>
          <w:color w:val="0000FF"/>
          <w:sz w:val="24"/>
        </w:rPr>
        <w:t>2</w:t>
      </w:r>
      <w:r>
        <w:rPr>
          <w:rFonts w:hint="eastAsia" w:cs="仿宋" w:asciiTheme="minorEastAsia" w:hAnsiTheme="minorEastAsia"/>
          <w:color w:val="0000FF"/>
          <w:sz w:val="24"/>
          <w:lang w:val="zh-CN"/>
        </w:rPr>
        <w:t>.</w:t>
      </w:r>
      <w:r>
        <w:rPr>
          <w:rFonts w:hint="eastAsia" w:cs="仿宋" w:asciiTheme="minorEastAsia" w:hAnsiTheme="minorEastAsia"/>
          <w:color w:val="0000FF"/>
          <w:sz w:val="24"/>
          <w:lang w:val="en-US" w:eastAsia="zh-CN"/>
        </w:rPr>
        <w:t>5</w:t>
      </w:r>
      <w:r>
        <w:rPr>
          <w:rFonts w:hint="eastAsia" w:cs="仿宋" w:asciiTheme="minorEastAsia" w:hAnsiTheme="minorEastAsia"/>
          <w:color w:val="0000FF"/>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2025年-2026年三固运行中心1.5MW汽轮机维保服务采购项目（重新询价）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3"/>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2025年-2026年三固运行中心1.5MW汽轮机维保服务采购项目（重新询价）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2025年-2026年三固运行中心1.5MW汽轮机维保服务采购项目（重新询价）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税率应满足设备的修理修配要求，不满足的需要根据采购人要求调整</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2025年-2026年三固运行中心1.5MW汽轮机维保服务采购项目（重新询价）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202507071</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776"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31"/>
        <w:gridCol w:w="6017"/>
        <w:gridCol w:w="923"/>
        <w:gridCol w:w="1264"/>
        <w:gridCol w:w="975"/>
        <w:gridCol w:w="1129"/>
        <w:gridCol w:w="1445"/>
      </w:tblGrid>
      <w:tr w14:paraId="7824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92" w:type="dxa"/>
            <w:noWrap/>
            <w:vAlign w:val="center"/>
          </w:tcPr>
          <w:p w14:paraId="6095C455">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序号</w:t>
            </w:r>
          </w:p>
        </w:tc>
        <w:tc>
          <w:tcPr>
            <w:tcW w:w="1231" w:type="dxa"/>
            <w:noWrap/>
            <w:vAlign w:val="center"/>
          </w:tcPr>
          <w:p w14:paraId="29A06532">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服务项目</w:t>
            </w:r>
          </w:p>
        </w:tc>
        <w:tc>
          <w:tcPr>
            <w:tcW w:w="6017" w:type="dxa"/>
            <w:noWrap/>
            <w:vAlign w:val="center"/>
          </w:tcPr>
          <w:p w14:paraId="62B39824">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lang w:val="en-US" w:eastAsia="zh-CN"/>
              </w:rPr>
              <w:t>服务</w:t>
            </w:r>
            <w:r>
              <w:rPr>
                <w:rFonts w:hint="eastAsia" w:cs="仿宋" w:asciiTheme="minorEastAsia" w:hAnsiTheme="minorEastAsia"/>
                <w:b/>
                <w:color w:val="auto"/>
                <w:sz w:val="21"/>
                <w:szCs w:val="21"/>
                <w:highlight w:val="none"/>
              </w:rPr>
              <w:t>内容</w:t>
            </w:r>
          </w:p>
        </w:tc>
        <w:tc>
          <w:tcPr>
            <w:tcW w:w="923" w:type="dxa"/>
            <w:noWrap/>
            <w:vAlign w:val="center"/>
          </w:tcPr>
          <w:p w14:paraId="3EC56340">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单位</w:t>
            </w:r>
          </w:p>
        </w:tc>
        <w:tc>
          <w:tcPr>
            <w:tcW w:w="1264" w:type="dxa"/>
            <w:noWrap/>
            <w:vAlign w:val="center"/>
          </w:tcPr>
          <w:p w14:paraId="5D79858D">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暂定数量</w:t>
            </w:r>
          </w:p>
        </w:tc>
        <w:tc>
          <w:tcPr>
            <w:tcW w:w="975" w:type="dxa"/>
            <w:noWrap/>
            <w:vAlign w:val="center"/>
          </w:tcPr>
          <w:p w14:paraId="0D8B767F">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单价（元）</w:t>
            </w:r>
          </w:p>
        </w:tc>
        <w:tc>
          <w:tcPr>
            <w:tcW w:w="1129" w:type="dxa"/>
            <w:noWrap/>
            <w:vAlign w:val="center"/>
          </w:tcPr>
          <w:p w14:paraId="2A7C0E93">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金额（元）</w:t>
            </w:r>
          </w:p>
        </w:tc>
        <w:tc>
          <w:tcPr>
            <w:tcW w:w="1445" w:type="dxa"/>
            <w:noWrap/>
            <w:vAlign w:val="center"/>
          </w:tcPr>
          <w:p w14:paraId="4D2B983B">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备注</w:t>
            </w:r>
          </w:p>
        </w:tc>
      </w:tr>
      <w:tr w14:paraId="0290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92" w:type="dxa"/>
            <w:noWrap/>
            <w:vAlign w:val="center"/>
          </w:tcPr>
          <w:p w14:paraId="37315B5B">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231" w:type="dxa"/>
            <w:noWrap/>
            <w:vAlign w:val="center"/>
          </w:tcPr>
          <w:p w14:paraId="73974B47">
            <w:pPr>
              <w:keepNext w:val="0"/>
              <w:keepLines w:val="0"/>
              <w:widowControl/>
              <w:suppressLineNumbers w:val="0"/>
              <w:jc w:val="center"/>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1"/>
                <w:szCs w:val="21"/>
                <w:u w:val="none"/>
                <w:lang w:val="en-US" w:eastAsia="zh-CN" w:bidi="ar"/>
              </w:rPr>
              <w:t>周检查</w:t>
            </w:r>
          </w:p>
        </w:tc>
        <w:tc>
          <w:tcPr>
            <w:tcW w:w="6017" w:type="dxa"/>
            <w:shd w:val="clear" w:color="auto" w:fill="auto"/>
            <w:noWrap/>
            <w:vAlign w:val="center"/>
          </w:tcPr>
          <w:p w14:paraId="48415E1D">
            <w:pPr>
              <w:pStyle w:val="31"/>
              <w:pageBreakBefore w:val="0"/>
              <w:kinsoku/>
              <w:wordWrap/>
              <w:topLinePunct w:val="0"/>
              <w:bidi w:val="0"/>
              <w:snapToGrid w:val="0"/>
              <w:spacing w:line="360" w:lineRule="auto"/>
              <w:ind w:left="0" w:leftChars="0" w:firstLine="0" w:firstLineChars="0"/>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每周一次定期检查，内容详见采购需求</w:t>
            </w:r>
          </w:p>
        </w:tc>
        <w:tc>
          <w:tcPr>
            <w:tcW w:w="923" w:type="dxa"/>
            <w:noWrap w:val="0"/>
            <w:vAlign w:val="center"/>
          </w:tcPr>
          <w:p w14:paraId="7486C068">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062B9730">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35</w:t>
            </w:r>
          </w:p>
        </w:tc>
        <w:tc>
          <w:tcPr>
            <w:tcW w:w="975" w:type="dxa"/>
            <w:noWrap/>
            <w:vAlign w:val="center"/>
          </w:tcPr>
          <w:p w14:paraId="0697500F">
            <w:pPr>
              <w:widowControl/>
              <w:jc w:val="center"/>
              <w:textAlignment w:val="center"/>
              <w:rPr>
                <w:rFonts w:ascii="宋体" w:hAnsi="宋体" w:cs="宋体"/>
                <w:kern w:val="0"/>
                <w:sz w:val="20"/>
                <w:szCs w:val="20"/>
                <w:highlight w:val="none"/>
                <w:lang w:bidi="ar"/>
              </w:rPr>
            </w:pPr>
          </w:p>
        </w:tc>
        <w:tc>
          <w:tcPr>
            <w:tcW w:w="1129" w:type="dxa"/>
            <w:noWrap/>
            <w:vAlign w:val="center"/>
          </w:tcPr>
          <w:p w14:paraId="0643E0AA">
            <w:pPr>
              <w:widowControl/>
              <w:jc w:val="center"/>
              <w:textAlignment w:val="center"/>
              <w:rPr>
                <w:rFonts w:hint="eastAsia" w:ascii="宋体" w:hAnsi="宋体" w:cs="宋体"/>
                <w:kern w:val="0"/>
                <w:sz w:val="20"/>
                <w:szCs w:val="20"/>
                <w:highlight w:val="none"/>
                <w:lang w:bidi="ar"/>
              </w:rPr>
            </w:pPr>
          </w:p>
        </w:tc>
        <w:tc>
          <w:tcPr>
            <w:tcW w:w="1445" w:type="dxa"/>
            <w:noWrap/>
            <w:vAlign w:val="center"/>
          </w:tcPr>
          <w:p w14:paraId="71024F70">
            <w:pPr>
              <w:widowControl/>
              <w:jc w:val="center"/>
              <w:textAlignment w:val="center"/>
              <w:rPr>
                <w:rFonts w:hint="eastAsia" w:ascii="宋体" w:hAnsi="宋体" w:eastAsia="宋体" w:cs="宋体"/>
                <w:sz w:val="21"/>
                <w:szCs w:val="21"/>
                <w:highlight w:val="none"/>
                <w:lang w:val="en-US" w:eastAsia="zh-CN"/>
              </w:rPr>
            </w:pPr>
          </w:p>
        </w:tc>
      </w:tr>
      <w:tr w14:paraId="38D9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2" w:type="dxa"/>
            <w:noWrap/>
            <w:vAlign w:val="center"/>
          </w:tcPr>
          <w:p w14:paraId="2D47C44E">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231" w:type="dxa"/>
            <w:noWrap/>
            <w:vAlign w:val="center"/>
          </w:tcPr>
          <w:p w14:paraId="23EC8D0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月检查</w:t>
            </w:r>
          </w:p>
        </w:tc>
        <w:tc>
          <w:tcPr>
            <w:tcW w:w="6017" w:type="dxa"/>
            <w:shd w:val="clear" w:color="auto" w:fill="auto"/>
            <w:noWrap/>
            <w:vAlign w:val="center"/>
          </w:tcPr>
          <w:p w14:paraId="150A5104">
            <w:pPr>
              <w:pStyle w:val="31"/>
              <w:pageBreakBefore w:val="0"/>
              <w:kinsoku/>
              <w:wordWrap/>
              <w:topLinePunct w:val="0"/>
              <w:bidi w:val="0"/>
              <w:snapToGrid w:val="0"/>
              <w:spacing w:line="360" w:lineRule="auto"/>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每月一次定期检查，内容详见采购需求</w:t>
            </w:r>
          </w:p>
        </w:tc>
        <w:tc>
          <w:tcPr>
            <w:tcW w:w="923" w:type="dxa"/>
            <w:noWrap w:val="0"/>
            <w:vAlign w:val="center"/>
          </w:tcPr>
          <w:p w14:paraId="11ADB6F8">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0698F583">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11</w:t>
            </w:r>
          </w:p>
        </w:tc>
        <w:tc>
          <w:tcPr>
            <w:tcW w:w="975" w:type="dxa"/>
            <w:noWrap/>
            <w:vAlign w:val="center"/>
          </w:tcPr>
          <w:p w14:paraId="6AA03910">
            <w:pPr>
              <w:widowControl/>
              <w:jc w:val="center"/>
              <w:textAlignment w:val="center"/>
              <w:rPr>
                <w:rFonts w:ascii="宋体" w:hAnsi="宋体" w:cs="宋体"/>
                <w:kern w:val="0"/>
                <w:sz w:val="20"/>
                <w:szCs w:val="20"/>
                <w:highlight w:val="none"/>
                <w:lang w:bidi="ar"/>
              </w:rPr>
            </w:pPr>
          </w:p>
        </w:tc>
        <w:tc>
          <w:tcPr>
            <w:tcW w:w="1129" w:type="dxa"/>
            <w:noWrap/>
            <w:vAlign w:val="center"/>
          </w:tcPr>
          <w:p w14:paraId="627E4E94">
            <w:pPr>
              <w:widowControl/>
              <w:jc w:val="center"/>
              <w:textAlignment w:val="center"/>
              <w:rPr>
                <w:rFonts w:hint="eastAsia" w:ascii="宋体" w:hAnsi="宋体" w:cs="宋体"/>
                <w:kern w:val="0"/>
                <w:sz w:val="20"/>
                <w:szCs w:val="20"/>
                <w:highlight w:val="none"/>
                <w:lang w:bidi="ar"/>
              </w:rPr>
            </w:pPr>
          </w:p>
        </w:tc>
        <w:tc>
          <w:tcPr>
            <w:tcW w:w="1445" w:type="dxa"/>
            <w:noWrap/>
            <w:vAlign w:val="center"/>
          </w:tcPr>
          <w:p w14:paraId="67CA65C9">
            <w:pPr>
              <w:widowControl/>
              <w:jc w:val="center"/>
              <w:textAlignment w:val="center"/>
              <w:rPr>
                <w:rFonts w:hint="eastAsia" w:ascii="宋体" w:hAnsi="宋体" w:eastAsia="宋体" w:cs="宋体"/>
                <w:sz w:val="21"/>
                <w:szCs w:val="21"/>
                <w:highlight w:val="none"/>
                <w:lang w:val="en-US" w:eastAsia="zh-CN"/>
              </w:rPr>
            </w:pPr>
          </w:p>
        </w:tc>
      </w:tr>
      <w:tr w14:paraId="2511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2" w:type="dxa"/>
            <w:noWrap/>
            <w:vAlign w:val="center"/>
          </w:tcPr>
          <w:p w14:paraId="2819C9D9">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w:t>
            </w:r>
          </w:p>
        </w:tc>
        <w:tc>
          <w:tcPr>
            <w:tcW w:w="1231" w:type="dxa"/>
            <w:noWrap/>
            <w:vAlign w:val="center"/>
          </w:tcPr>
          <w:p w14:paraId="71AF492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季度检查维护</w:t>
            </w:r>
          </w:p>
        </w:tc>
        <w:tc>
          <w:tcPr>
            <w:tcW w:w="6017" w:type="dxa"/>
            <w:shd w:val="clear" w:color="auto" w:fill="auto"/>
            <w:noWrap/>
            <w:vAlign w:val="center"/>
          </w:tcPr>
          <w:p w14:paraId="512C8F6A">
            <w:pPr>
              <w:pStyle w:val="31"/>
              <w:pageBreakBefore w:val="0"/>
              <w:kinsoku/>
              <w:wordWrap/>
              <w:topLinePunct w:val="0"/>
              <w:bidi w:val="0"/>
              <w:snapToGrid w:val="0"/>
              <w:spacing w:line="360" w:lineRule="auto"/>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每季度一次定期检查，内容详见采购需求</w:t>
            </w:r>
          </w:p>
        </w:tc>
        <w:tc>
          <w:tcPr>
            <w:tcW w:w="923" w:type="dxa"/>
            <w:noWrap w:val="0"/>
            <w:vAlign w:val="center"/>
          </w:tcPr>
          <w:p w14:paraId="1296BFE1">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356E19F5">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w:t>
            </w:r>
          </w:p>
        </w:tc>
        <w:tc>
          <w:tcPr>
            <w:tcW w:w="975" w:type="dxa"/>
            <w:noWrap/>
            <w:vAlign w:val="center"/>
          </w:tcPr>
          <w:p w14:paraId="58AC937C">
            <w:pPr>
              <w:widowControl/>
              <w:jc w:val="center"/>
              <w:textAlignment w:val="center"/>
              <w:rPr>
                <w:rFonts w:ascii="宋体" w:hAnsi="宋体" w:cs="宋体"/>
                <w:kern w:val="0"/>
                <w:sz w:val="20"/>
                <w:szCs w:val="20"/>
                <w:highlight w:val="none"/>
                <w:lang w:bidi="ar"/>
              </w:rPr>
            </w:pPr>
          </w:p>
        </w:tc>
        <w:tc>
          <w:tcPr>
            <w:tcW w:w="1129" w:type="dxa"/>
            <w:noWrap/>
            <w:vAlign w:val="center"/>
          </w:tcPr>
          <w:p w14:paraId="745A7965">
            <w:pPr>
              <w:widowControl/>
              <w:jc w:val="center"/>
              <w:textAlignment w:val="center"/>
              <w:rPr>
                <w:rFonts w:hint="eastAsia" w:ascii="宋体" w:hAnsi="宋体" w:cs="宋体"/>
                <w:kern w:val="0"/>
                <w:sz w:val="20"/>
                <w:szCs w:val="20"/>
                <w:highlight w:val="none"/>
                <w:lang w:bidi="ar"/>
              </w:rPr>
            </w:pPr>
          </w:p>
        </w:tc>
        <w:tc>
          <w:tcPr>
            <w:tcW w:w="1445" w:type="dxa"/>
            <w:noWrap/>
            <w:vAlign w:val="center"/>
          </w:tcPr>
          <w:p w14:paraId="53C3B5E4">
            <w:pPr>
              <w:widowControl/>
              <w:jc w:val="center"/>
              <w:textAlignment w:val="center"/>
              <w:rPr>
                <w:rFonts w:hint="eastAsia" w:ascii="宋体" w:hAnsi="宋体" w:eastAsia="宋体" w:cs="宋体"/>
                <w:sz w:val="21"/>
                <w:szCs w:val="21"/>
                <w:highlight w:val="none"/>
                <w:lang w:val="en-US" w:eastAsia="zh-CN"/>
              </w:rPr>
            </w:pPr>
          </w:p>
        </w:tc>
      </w:tr>
      <w:tr w14:paraId="6C1B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92" w:type="dxa"/>
            <w:noWrap/>
            <w:vAlign w:val="center"/>
          </w:tcPr>
          <w:p w14:paraId="15DE88A8">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w:t>
            </w:r>
          </w:p>
        </w:tc>
        <w:tc>
          <w:tcPr>
            <w:tcW w:w="1231" w:type="dxa"/>
            <w:noWrap/>
            <w:vAlign w:val="center"/>
          </w:tcPr>
          <w:p w14:paraId="45709A78">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年度大修</w:t>
            </w:r>
          </w:p>
        </w:tc>
        <w:tc>
          <w:tcPr>
            <w:tcW w:w="6017" w:type="dxa"/>
            <w:shd w:val="clear" w:color="auto" w:fill="auto"/>
            <w:noWrap/>
            <w:vAlign w:val="center"/>
          </w:tcPr>
          <w:p w14:paraId="4CB50DC9">
            <w:pPr>
              <w:pStyle w:val="31"/>
              <w:pageBreakBefore w:val="0"/>
              <w:kinsoku/>
              <w:wordWrap/>
              <w:topLinePunct w:val="0"/>
              <w:bidi w:val="0"/>
              <w:snapToGrid w:val="0"/>
              <w:spacing w:line="360" w:lineRule="auto"/>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每年一次大修，内容详见采购需求</w:t>
            </w:r>
          </w:p>
        </w:tc>
        <w:tc>
          <w:tcPr>
            <w:tcW w:w="923" w:type="dxa"/>
            <w:noWrap w:val="0"/>
            <w:vAlign w:val="center"/>
          </w:tcPr>
          <w:p w14:paraId="763408AA">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66101437">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975" w:type="dxa"/>
            <w:noWrap/>
            <w:vAlign w:val="center"/>
          </w:tcPr>
          <w:p w14:paraId="53DD2D0E">
            <w:pPr>
              <w:widowControl/>
              <w:jc w:val="center"/>
              <w:textAlignment w:val="center"/>
              <w:rPr>
                <w:rFonts w:ascii="宋体" w:hAnsi="宋体" w:cs="宋体"/>
                <w:kern w:val="0"/>
                <w:sz w:val="20"/>
                <w:szCs w:val="20"/>
                <w:highlight w:val="none"/>
                <w:lang w:bidi="ar"/>
              </w:rPr>
            </w:pPr>
          </w:p>
        </w:tc>
        <w:tc>
          <w:tcPr>
            <w:tcW w:w="1129" w:type="dxa"/>
            <w:noWrap/>
            <w:vAlign w:val="center"/>
          </w:tcPr>
          <w:p w14:paraId="709390E2">
            <w:pPr>
              <w:widowControl/>
              <w:jc w:val="center"/>
              <w:textAlignment w:val="center"/>
              <w:rPr>
                <w:rFonts w:hint="eastAsia" w:ascii="宋体" w:hAnsi="宋体" w:cs="宋体"/>
                <w:kern w:val="0"/>
                <w:sz w:val="20"/>
                <w:szCs w:val="20"/>
                <w:highlight w:val="none"/>
                <w:lang w:bidi="ar"/>
              </w:rPr>
            </w:pPr>
          </w:p>
        </w:tc>
        <w:tc>
          <w:tcPr>
            <w:tcW w:w="1445" w:type="dxa"/>
            <w:noWrap/>
            <w:vAlign w:val="center"/>
          </w:tcPr>
          <w:p w14:paraId="74045614">
            <w:pPr>
              <w:widowControl/>
              <w:jc w:val="center"/>
              <w:textAlignment w:val="center"/>
              <w:rPr>
                <w:rFonts w:hint="eastAsia" w:ascii="宋体" w:hAnsi="宋体" w:eastAsia="宋体" w:cs="宋体"/>
                <w:sz w:val="21"/>
                <w:szCs w:val="21"/>
                <w:highlight w:val="none"/>
                <w:lang w:val="en-US" w:eastAsia="zh-CN"/>
              </w:rPr>
            </w:pPr>
          </w:p>
        </w:tc>
      </w:tr>
      <w:tr w14:paraId="50BE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63" w:type="dxa"/>
            <w:gridSpan w:val="4"/>
            <w:noWrap/>
            <w:vAlign w:val="center"/>
          </w:tcPr>
          <w:p w14:paraId="4A01E179">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rPr>
              <w:t>响应报价合计（小写）</w:t>
            </w:r>
          </w:p>
        </w:tc>
        <w:tc>
          <w:tcPr>
            <w:tcW w:w="4813" w:type="dxa"/>
            <w:gridSpan w:val="4"/>
            <w:noWrap/>
            <w:vAlign w:val="center"/>
          </w:tcPr>
          <w:p w14:paraId="2BB302F7">
            <w:pPr>
              <w:spacing w:line="360" w:lineRule="auto"/>
              <w:jc w:val="center"/>
              <w:rPr>
                <w:rFonts w:hint="eastAsia" w:ascii="宋体" w:hAnsi="宋体" w:eastAsia="宋体" w:cs="宋体"/>
                <w:sz w:val="21"/>
                <w:szCs w:val="21"/>
                <w:highlight w:val="none"/>
                <w:lang w:val="en-US" w:eastAsia="zh-CN"/>
              </w:rPr>
            </w:pPr>
          </w:p>
        </w:tc>
      </w:tr>
      <w:tr w14:paraId="2A52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63" w:type="dxa"/>
            <w:gridSpan w:val="4"/>
            <w:noWrap/>
            <w:vAlign w:val="center"/>
          </w:tcPr>
          <w:p w14:paraId="0F5FD15A">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rPr>
              <w:t>响应报价合计（大写）</w:t>
            </w:r>
          </w:p>
        </w:tc>
        <w:tc>
          <w:tcPr>
            <w:tcW w:w="4813" w:type="dxa"/>
            <w:gridSpan w:val="4"/>
            <w:noWrap/>
            <w:vAlign w:val="center"/>
          </w:tcPr>
          <w:p w14:paraId="7F77D5C1">
            <w:pPr>
              <w:spacing w:line="360" w:lineRule="auto"/>
              <w:jc w:val="center"/>
              <w:rPr>
                <w:rFonts w:hint="eastAsia" w:ascii="宋体" w:hAnsi="宋体" w:eastAsia="宋体" w:cs="宋体"/>
                <w:sz w:val="21"/>
                <w:szCs w:val="21"/>
                <w:highlight w:val="none"/>
                <w:lang w:val="en-US" w:eastAsia="zh-CN"/>
              </w:rPr>
            </w:pPr>
          </w:p>
        </w:tc>
      </w:tr>
      <w:tr w14:paraId="6209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63" w:type="dxa"/>
            <w:gridSpan w:val="4"/>
            <w:noWrap/>
            <w:vAlign w:val="center"/>
          </w:tcPr>
          <w:p w14:paraId="072AA0A2">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lang w:eastAsia="zh-CN"/>
              </w:rPr>
              <w:t>税率</w:t>
            </w:r>
          </w:p>
        </w:tc>
        <w:tc>
          <w:tcPr>
            <w:tcW w:w="4813" w:type="dxa"/>
            <w:gridSpan w:val="4"/>
            <w:noWrap/>
            <w:vAlign w:val="center"/>
          </w:tcPr>
          <w:p w14:paraId="0252985E">
            <w:pPr>
              <w:spacing w:line="360" w:lineRule="auto"/>
              <w:jc w:val="center"/>
              <w:rPr>
                <w:rFonts w:hint="eastAsia" w:ascii="宋体" w:hAnsi="宋体" w:eastAsia="宋体" w:cs="宋体"/>
                <w:sz w:val="21"/>
                <w:szCs w:val="21"/>
                <w:highlight w:val="none"/>
                <w:lang w:val="en-US" w:eastAsia="zh-CN"/>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r>
              <w:rPr>
                <w:rFonts w:hint="eastAsia" w:ascii="宋体" w:hAnsi="宋体" w:eastAsia="宋体" w:cs="宋体"/>
                <w:b/>
                <w:bCs/>
                <w:color w:val="auto"/>
                <w:sz w:val="24"/>
                <w:szCs w:val="24"/>
                <w:u w:val="single"/>
                <w:lang w:val="en-US" w:eastAsia="zh-CN"/>
              </w:rPr>
              <w:t>税率应满足设备的修理修配要求，不满足的需要根据采购人要求调整</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51D19BFC">
      <w:pPr>
        <w:pStyle w:val="7"/>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单独提供</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2025年-2026年三固运行中心1.5MW汽轮机维保服务采购项目（重新询价）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2025年-2026年三固运行中心1.5MW汽轮机维保服务采购项目（重新询价）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10"/>
        <w:rPr>
          <w:rFonts w:hint="eastAsia" w:hAnsi="宋体" w:cs="宋体"/>
          <w:b/>
          <w:bCs/>
          <w:sz w:val="24"/>
        </w:rPr>
      </w:pPr>
    </w:p>
    <w:p w14:paraId="5BC930A5">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3"/>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50FE7FF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2"/>
      <w:jc w:val="right"/>
      <w:rPr>
        <w:rFonts w:ascii="仿宋" w:hAnsi="仿宋" w:eastAsia="仿宋" w:cs="仿宋"/>
        <w:i/>
        <w:iCs/>
      </w:rPr>
    </w:pPr>
  </w:p>
  <w:p w14:paraId="793F1943">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4141DC"/>
    <w:rsid w:val="03272182"/>
    <w:rsid w:val="03F704C6"/>
    <w:rsid w:val="046A1781"/>
    <w:rsid w:val="047D4F66"/>
    <w:rsid w:val="04E634F4"/>
    <w:rsid w:val="05150472"/>
    <w:rsid w:val="05171224"/>
    <w:rsid w:val="051B17AF"/>
    <w:rsid w:val="05ED6B08"/>
    <w:rsid w:val="0706436A"/>
    <w:rsid w:val="0805754C"/>
    <w:rsid w:val="08322A8C"/>
    <w:rsid w:val="08670640"/>
    <w:rsid w:val="08E37A2F"/>
    <w:rsid w:val="09545F70"/>
    <w:rsid w:val="09946F9F"/>
    <w:rsid w:val="09D74B85"/>
    <w:rsid w:val="09EC7123"/>
    <w:rsid w:val="09ED56C9"/>
    <w:rsid w:val="0A1D0FFF"/>
    <w:rsid w:val="0A3D70EB"/>
    <w:rsid w:val="0A7C1006"/>
    <w:rsid w:val="0AD025A1"/>
    <w:rsid w:val="0B4E0B4D"/>
    <w:rsid w:val="0B6333D0"/>
    <w:rsid w:val="0BD07B44"/>
    <w:rsid w:val="0BFF2A12"/>
    <w:rsid w:val="0C492847"/>
    <w:rsid w:val="0C554576"/>
    <w:rsid w:val="0F095788"/>
    <w:rsid w:val="0F29227F"/>
    <w:rsid w:val="0F5E496A"/>
    <w:rsid w:val="0F81598B"/>
    <w:rsid w:val="0FEF02B3"/>
    <w:rsid w:val="10947BCD"/>
    <w:rsid w:val="10BE08E9"/>
    <w:rsid w:val="1157552B"/>
    <w:rsid w:val="11EC0AD6"/>
    <w:rsid w:val="13064D3F"/>
    <w:rsid w:val="1399374C"/>
    <w:rsid w:val="13BF1AD6"/>
    <w:rsid w:val="13FF5068"/>
    <w:rsid w:val="14521AA0"/>
    <w:rsid w:val="146C41CB"/>
    <w:rsid w:val="15003014"/>
    <w:rsid w:val="15BE749A"/>
    <w:rsid w:val="15E02F18"/>
    <w:rsid w:val="166F3635"/>
    <w:rsid w:val="185A544F"/>
    <w:rsid w:val="18890233"/>
    <w:rsid w:val="18CF230C"/>
    <w:rsid w:val="18E66EE1"/>
    <w:rsid w:val="19106352"/>
    <w:rsid w:val="19711A8B"/>
    <w:rsid w:val="198737C7"/>
    <w:rsid w:val="19DC6BDA"/>
    <w:rsid w:val="1A1526B6"/>
    <w:rsid w:val="1AA56FDE"/>
    <w:rsid w:val="1B4E3C2D"/>
    <w:rsid w:val="1B7913A6"/>
    <w:rsid w:val="1BEF726B"/>
    <w:rsid w:val="1C017D20"/>
    <w:rsid w:val="1C742A28"/>
    <w:rsid w:val="1CAA3340"/>
    <w:rsid w:val="1CD34128"/>
    <w:rsid w:val="1CDE6781"/>
    <w:rsid w:val="1D987ACC"/>
    <w:rsid w:val="1DEB283E"/>
    <w:rsid w:val="1E28796F"/>
    <w:rsid w:val="1F29161A"/>
    <w:rsid w:val="1F457921"/>
    <w:rsid w:val="20284B0B"/>
    <w:rsid w:val="212608CC"/>
    <w:rsid w:val="215F709E"/>
    <w:rsid w:val="21677697"/>
    <w:rsid w:val="229536BA"/>
    <w:rsid w:val="22A244DC"/>
    <w:rsid w:val="235E195C"/>
    <w:rsid w:val="2378337E"/>
    <w:rsid w:val="23AE001C"/>
    <w:rsid w:val="23C721A3"/>
    <w:rsid w:val="249017C8"/>
    <w:rsid w:val="24DA6F9D"/>
    <w:rsid w:val="251A0B90"/>
    <w:rsid w:val="25251AF7"/>
    <w:rsid w:val="25C26B32"/>
    <w:rsid w:val="272E083D"/>
    <w:rsid w:val="27C87065"/>
    <w:rsid w:val="27D77CED"/>
    <w:rsid w:val="284A39BF"/>
    <w:rsid w:val="285F135B"/>
    <w:rsid w:val="286A0D7D"/>
    <w:rsid w:val="28A354BE"/>
    <w:rsid w:val="29300521"/>
    <w:rsid w:val="298D0BC4"/>
    <w:rsid w:val="2A1060BE"/>
    <w:rsid w:val="2A6366FF"/>
    <w:rsid w:val="2A6807FA"/>
    <w:rsid w:val="2AD92671"/>
    <w:rsid w:val="2B2D753F"/>
    <w:rsid w:val="2B32649C"/>
    <w:rsid w:val="2B9B5E5B"/>
    <w:rsid w:val="2BDA5141"/>
    <w:rsid w:val="2C270527"/>
    <w:rsid w:val="2C4141D8"/>
    <w:rsid w:val="2D0347D2"/>
    <w:rsid w:val="2D682F2F"/>
    <w:rsid w:val="2E543475"/>
    <w:rsid w:val="2EA152A3"/>
    <w:rsid w:val="2F1F33A8"/>
    <w:rsid w:val="2F5836E9"/>
    <w:rsid w:val="2F7610B9"/>
    <w:rsid w:val="2F7A10AB"/>
    <w:rsid w:val="30123142"/>
    <w:rsid w:val="302169BE"/>
    <w:rsid w:val="304A7E50"/>
    <w:rsid w:val="314B6E80"/>
    <w:rsid w:val="31BF0628"/>
    <w:rsid w:val="32843E96"/>
    <w:rsid w:val="32D33460"/>
    <w:rsid w:val="346671FA"/>
    <w:rsid w:val="34B27304"/>
    <w:rsid w:val="34BD5CF3"/>
    <w:rsid w:val="351F7AFD"/>
    <w:rsid w:val="352F03C1"/>
    <w:rsid w:val="35B75F88"/>
    <w:rsid w:val="36162BCB"/>
    <w:rsid w:val="361749EF"/>
    <w:rsid w:val="363646DC"/>
    <w:rsid w:val="36412810"/>
    <w:rsid w:val="36A32180"/>
    <w:rsid w:val="36BD312A"/>
    <w:rsid w:val="36C96732"/>
    <w:rsid w:val="37396C72"/>
    <w:rsid w:val="37514AF4"/>
    <w:rsid w:val="377C0298"/>
    <w:rsid w:val="37F61CA1"/>
    <w:rsid w:val="388A1C74"/>
    <w:rsid w:val="394A64EB"/>
    <w:rsid w:val="39C31C6C"/>
    <w:rsid w:val="3A797A04"/>
    <w:rsid w:val="3C283344"/>
    <w:rsid w:val="3C3420E0"/>
    <w:rsid w:val="3C485F9D"/>
    <w:rsid w:val="3C4E2A76"/>
    <w:rsid w:val="3C7C70D7"/>
    <w:rsid w:val="3CB84BBF"/>
    <w:rsid w:val="3D3879AE"/>
    <w:rsid w:val="3D6835D8"/>
    <w:rsid w:val="3E0C6463"/>
    <w:rsid w:val="3E1F4D64"/>
    <w:rsid w:val="3E564C85"/>
    <w:rsid w:val="3F4F566F"/>
    <w:rsid w:val="3F8142B1"/>
    <w:rsid w:val="3FA13295"/>
    <w:rsid w:val="3FC90E96"/>
    <w:rsid w:val="40050825"/>
    <w:rsid w:val="403E57B7"/>
    <w:rsid w:val="40532D51"/>
    <w:rsid w:val="40533552"/>
    <w:rsid w:val="4179370E"/>
    <w:rsid w:val="41D016DB"/>
    <w:rsid w:val="42043E37"/>
    <w:rsid w:val="42112513"/>
    <w:rsid w:val="4257520F"/>
    <w:rsid w:val="42E9077C"/>
    <w:rsid w:val="433F2D12"/>
    <w:rsid w:val="43496F4C"/>
    <w:rsid w:val="435518AD"/>
    <w:rsid w:val="437A2DA4"/>
    <w:rsid w:val="44407722"/>
    <w:rsid w:val="44873A1C"/>
    <w:rsid w:val="4491515E"/>
    <w:rsid w:val="465217E4"/>
    <w:rsid w:val="465A6EBC"/>
    <w:rsid w:val="46EB193D"/>
    <w:rsid w:val="470471FE"/>
    <w:rsid w:val="472961BF"/>
    <w:rsid w:val="472E3564"/>
    <w:rsid w:val="49105C83"/>
    <w:rsid w:val="4992263D"/>
    <w:rsid w:val="499917D4"/>
    <w:rsid w:val="49A53D97"/>
    <w:rsid w:val="49FB6AEB"/>
    <w:rsid w:val="4A035B02"/>
    <w:rsid w:val="4AE27CAC"/>
    <w:rsid w:val="4BAC48C9"/>
    <w:rsid w:val="4CAA0A32"/>
    <w:rsid w:val="4E191EC4"/>
    <w:rsid w:val="4EA9254B"/>
    <w:rsid w:val="4F251D5C"/>
    <w:rsid w:val="4FD65994"/>
    <w:rsid w:val="4FEB08B0"/>
    <w:rsid w:val="50772E11"/>
    <w:rsid w:val="50886E1D"/>
    <w:rsid w:val="50D545B6"/>
    <w:rsid w:val="513B5867"/>
    <w:rsid w:val="51454B8D"/>
    <w:rsid w:val="514563A8"/>
    <w:rsid w:val="523875F5"/>
    <w:rsid w:val="52506204"/>
    <w:rsid w:val="52B35FD7"/>
    <w:rsid w:val="533B163F"/>
    <w:rsid w:val="53FA1DF3"/>
    <w:rsid w:val="54204352"/>
    <w:rsid w:val="54AB2D04"/>
    <w:rsid w:val="54BE47E5"/>
    <w:rsid w:val="55EB46D9"/>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30D80"/>
    <w:rsid w:val="5B3D7F5F"/>
    <w:rsid w:val="5EA617F0"/>
    <w:rsid w:val="5EFD2476"/>
    <w:rsid w:val="5F0279C4"/>
    <w:rsid w:val="5F433EA1"/>
    <w:rsid w:val="5F8C0C0E"/>
    <w:rsid w:val="5F944466"/>
    <w:rsid w:val="6139287F"/>
    <w:rsid w:val="61C61218"/>
    <w:rsid w:val="61F56B7E"/>
    <w:rsid w:val="62121B84"/>
    <w:rsid w:val="6218254A"/>
    <w:rsid w:val="63CF15A0"/>
    <w:rsid w:val="6434196E"/>
    <w:rsid w:val="64CD2ABF"/>
    <w:rsid w:val="64EF09EB"/>
    <w:rsid w:val="657B7ADB"/>
    <w:rsid w:val="660E4A3F"/>
    <w:rsid w:val="66A54383"/>
    <w:rsid w:val="66B60EF8"/>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CEB080D"/>
    <w:rsid w:val="6D893D5F"/>
    <w:rsid w:val="6DA6506A"/>
    <w:rsid w:val="6EAC75B8"/>
    <w:rsid w:val="6F502166"/>
    <w:rsid w:val="700D088C"/>
    <w:rsid w:val="700E4F44"/>
    <w:rsid w:val="70173239"/>
    <w:rsid w:val="70FC24C5"/>
    <w:rsid w:val="71A36DE5"/>
    <w:rsid w:val="721A5B23"/>
    <w:rsid w:val="72B931C1"/>
    <w:rsid w:val="738D03F5"/>
    <w:rsid w:val="73D37293"/>
    <w:rsid w:val="7420296E"/>
    <w:rsid w:val="7431692A"/>
    <w:rsid w:val="74435A84"/>
    <w:rsid w:val="764022FF"/>
    <w:rsid w:val="767E5B01"/>
    <w:rsid w:val="779944AF"/>
    <w:rsid w:val="78160310"/>
    <w:rsid w:val="785A54C0"/>
    <w:rsid w:val="78D32916"/>
    <w:rsid w:val="78FD6DDA"/>
    <w:rsid w:val="79674595"/>
    <w:rsid w:val="79AA36CA"/>
    <w:rsid w:val="79DF4732"/>
    <w:rsid w:val="79EB254B"/>
    <w:rsid w:val="79F044D8"/>
    <w:rsid w:val="7AA872E5"/>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paragraph" w:customStyle="1" w:styleId="31">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1875</Words>
  <Characters>2163</Characters>
  <Lines>0</Lines>
  <Paragraphs>0</Paragraphs>
  <TotalTime>9</TotalTime>
  <ScaleCrop>false</ScaleCrop>
  <LinksUpToDate>false</LinksUpToDate>
  <CharactersWithSpaces>2234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2025-08-11T05:20:25Z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