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2025年-2026年三固运行中心1.5MW汽轮机维保服务采购项目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202507071</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7</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w:t>
      </w:r>
      <w:bookmarkStart w:id="467" w:name="_GoBack"/>
      <w:bookmarkEnd w:id="467"/>
      <w:r>
        <w:rPr>
          <w:rFonts w:hint="eastAsia" w:cs="仿宋" w:asciiTheme="minorEastAsia" w:hAnsiTheme="minorEastAsia"/>
          <w:color w:val="auto"/>
          <w:sz w:val="32"/>
          <w:szCs w:val="32"/>
        </w:rPr>
        <w:t>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2025年-2026年三固运行中心1.5MW汽轮机维保服务采购项目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202507071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2025年-2026年三固运行中心1.5MW汽轮机维保服务采购项目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临江公司三固运行中心因日常运营需要，需委托第三方单位对汽轮机进行维保服务，具体要求以询价通知书第三部分采购需求为准。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汽轮机维保或维修服务业绩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5000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2025年-2026年三固运行中心1.5MW汽轮机维保服务采购项目询价保证金</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7月30</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2EEEE2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主要对</w:t>
      </w:r>
      <w:r>
        <w:rPr>
          <w:rFonts w:hint="eastAsia" w:ascii="宋体" w:hAnsi="Times New Roman" w:cs="Times New Roman"/>
          <w:snapToGrid/>
          <w:color w:val="auto"/>
          <w:kern w:val="2"/>
          <w:sz w:val="24"/>
          <w:szCs w:val="20"/>
          <w:lang w:val="en-US" w:eastAsia="zh-CN" w:bidi="ar-SA"/>
        </w:rPr>
        <w:t>三固运行中心1.5MW汽轮机</w:t>
      </w:r>
      <w:r>
        <w:rPr>
          <w:rFonts w:hint="eastAsia" w:ascii="宋体" w:hAnsi="Times New Roman" w:cs="Times New Roman" w:eastAsiaTheme="minorEastAsia"/>
          <w:snapToGrid/>
          <w:color w:val="auto"/>
          <w:kern w:val="2"/>
          <w:sz w:val="24"/>
          <w:szCs w:val="20"/>
          <w:lang w:val="en-US" w:eastAsia="zh-CN" w:bidi="ar-SA"/>
        </w:rPr>
        <w:t>进行定期维护保养</w:t>
      </w:r>
      <w:r>
        <w:rPr>
          <w:rFonts w:hint="eastAsia" w:ascii="宋体" w:hAnsi="Times New Roman" w:cs="Times New Roman"/>
          <w:snapToGrid/>
          <w:color w:val="auto"/>
          <w:kern w:val="2"/>
          <w:sz w:val="24"/>
          <w:szCs w:val="20"/>
          <w:lang w:val="en-US" w:eastAsia="zh-CN" w:bidi="ar-SA"/>
        </w:rPr>
        <w:t>，具体详见维保内容要求。</w:t>
      </w:r>
    </w:p>
    <w:p w14:paraId="7B8971F5">
      <w:pPr>
        <w:pStyle w:val="6"/>
        <w:numPr>
          <w:ilvl w:val="0"/>
          <w:numId w:val="0"/>
        </w:numPr>
        <w:ind w:firstLine="480" w:firstLineChars="200"/>
        <w:rPr>
          <w:rFonts w:hint="eastAsia"/>
          <w:color w:val="auto"/>
          <w:lang w:val="en-US" w:eastAsia="zh-CN"/>
        </w:rPr>
      </w:pPr>
      <w:r>
        <w:rPr>
          <w:rFonts w:hint="eastAsia"/>
          <w:color w:val="auto"/>
          <w:lang w:val="en-US" w:eastAsia="zh-CN"/>
        </w:rPr>
        <w:t>2.维保地点：浙江省杭州市钱塘区临江街道红十五路10388-123号。</w:t>
      </w:r>
    </w:p>
    <w:p w14:paraId="544F3706">
      <w:pPr>
        <w:pStyle w:val="6"/>
        <w:numPr>
          <w:ilvl w:val="0"/>
          <w:numId w:val="0"/>
        </w:numPr>
        <w:ind w:firstLine="482" w:firstLineChars="200"/>
        <w:rPr>
          <w:rFonts w:hint="eastAsia"/>
          <w:b/>
          <w:bCs/>
          <w:color w:val="auto"/>
          <w:lang w:val="en-US" w:eastAsia="zh-CN"/>
        </w:rPr>
      </w:pPr>
      <w:r>
        <w:rPr>
          <w:rFonts w:hint="eastAsia"/>
          <w:b/>
          <w:bCs/>
          <w:color w:val="auto"/>
          <w:lang w:val="en-US" w:eastAsia="zh-CN"/>
        </w:rPr>
        <w:t>3.汽轮机技术参数：</w:t>
      </w:r>
    </w:p>
    <w:p w14:paraId="12A65BE0">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3.1主要设备参数</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755"/>
        <w:gridCol w:w="1238"/>
        <w:gridCol w:w="1538"/>
        <w:gridCol w:w="682"/>
        <w:gridCol w:w="3314"/>
      </w:tblGrid>
      <w:tr w14:paraId="3DBC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44" w:type="dxa"/>
            <w:vAlign w:val="center"/>
          </w:tcPr>
          <w:p w14:paraId="590ADC0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755" w:type="dxa"/>
            <w:vAlign w:val="center"/>
          </w:tcPr>
          <w:p w14:paraId="114C782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设备名称</w:t>
            </w:r>
          </w:p>
        </w:tc>
        <w:tc>
          <w:tcPr>
            <w:tcW w:w="1238" w:type="dxa"/>
            <w:vAlign w:val="center"/>
          </w:tcPr>
          <w:p w14:paraId="7FE4D44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制造厂</w:t>
            </w:r>
          </w:p>
        </w:tc>
        <w:tc>
          <w:tcPr>
            <w:tcW w:w="1538" w:type="dxa"/>
            <w:vAlign w:val="center"/>
          </w:tcPr>
          <w:p w14:paraId="4BD5846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规格型号</w:t>
            </w:r>
          </w:p>
        </w:tc>
        <w:tc>
          <w:tcPr>
            <w:tcW w:w="682" w:type="dxa"/>
            <w:vAlign w:val="center"/>
          </w:tcPr>
          <w:p w14:paraId="62B1E56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数量</w:t>
            </w:r>
          </w:p>
        </w:tc>
        <w:tc>
          <w:tcPr>
            <w:tcW w:w="3314" w:type="dxa"/>
            <w:vAlign w:val="center"/>
          </w:tcPr>
          <w:p w14:paraId="7350345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tc>
      </w:tr>
      <w:tr w14:paraId="3EA4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44" w:type="dxa"/>
            <w:vAlign w:val="center"/>
          </w:tcPr>
          <w:p w14:paraId="5F35C143">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755" w:type="dxa"/>
            <w:vAlign w:val="center"/>
          </w:tcPr>
          <w:p w14:paraId="5A45C12B">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汽轮机本体</w:t>
            </w:r>
          </w:p>
        </w:tc>
        <w:tc>
          <w:tcPr>
            <w:tcW w:w="1238" w:type="dxa"/>
            <w:vAlign w:val="center"/>
          </w:tcPr>
          <w:p w14:paraId="06FB76D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6131DB9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N1.5-1.35</w:t>
            </w:r>
          </w:p>
          <w:p w14:paraId="44ED605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 饱和）</w:t>
            </w:r>
          </w:p>
        </w:tc>
        <w:tc>
          <w:tcPr>
            <w:tcW w:w="682" w:type="dxa"/>
            <w:vAlign w:val="center"/>
          </w:tcPr>
          <w:p w14:paraId="4B49D13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7DF658B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整装式（无需扣缸）、电动盘车、撬装1</w:t>
            </w:r>
          </w:p>
        </w:tc>
      </w:tr>
      <w:tr w14:paraId="3E76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44" w:type="dxa"/>
            <w:vAlign w:val="center"/>
          </w:tcPr>
          <w:p w14:paraId="3CE6682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755" w:type="dxa"/>
            <w:vAlign w:val="center"/>
          </w:tcPr>
          <w:p w14:paraId="4EE3AC9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汽轮机调节系（DEH）</w:t>
            </w:r>
          </w:p>
        </w:tc>
        <w:tc>
          <w:tcPr>
            <w:tcW w:w="1238" w:type="dxa"/>
            <w:vAlign w:val="center"/>
          </w:tcPr>
          <w:p w14:paraId="7ACD435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和利时</w:t>
            </w:r>
          </w:p>
        </w:tc>
        <w:tc>
          <w:tcPr>
            <w:tcW w:w="1538" w:type="dxa"/>
            <w:vAlign w:val="center"/>
          </w:tcPr>
          <w:p w14:paraId="44830A3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T80电调自容式系统</w:t>
            </w:r>
          </w:p>
        </w:tc>
        <w:tc>
          <w:tcPr>
            <w:tcW w:w="682" w:type="dxa"/>
            <w:vAlign w:val="center"/>
          </w:tcPr>
          <w:p w14:paraId="459AF161">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7725064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数字式电液调节器及执行机构，箱柜等</w:t>
            </w:r>
          </w:p>
        </w:tc>
      </w:tr>
      <w:tr w14:paraId="299E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44" w:type="dxa"/>
            <w:vAlign w:val="center"/>
          </w:tcPr>
          <w:p w14:paraId="5CB9302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755" w:type="dxa"/>
            <w:vAlign w:val="center"/>
          </w:tcPr>
          <w:p w14:paraId="5D054927">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汽机保安系统（ETS）</w:t>
            </w:r>
          </w:p>
        </w:tc>
        <w:tc>
          <w:tcPr>
            <w:tcW w:w="1238" w:type="dxa"/>
            <w:vAlign w:val="center"/>
          </w:tcPr>
          <w:p w14:paraId="7DEBE4F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ATOS</w:t>
            </w:r>
          </w:p>
        </w:tc>
        <w:tc>
          <w:tcPr>
            <w:tcW w:w="1538" w:type="dxa"/>
            <w:vAlign w:val="center"/>
          </w:tcPr>
          <w:p w14:paraId="4C0DCC18">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780A6AE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0239890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含危急遮断器、停机电磁阀，箱柜等</w:t>
            </w:r>
          </w:p>
        </w:tc>
      </w:tr>
      <w:tr w14:paraId="35EE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44" w:type="dxa"/>
            <w:vAlign w:val="center"/>
          </w:tcPr>
          <w:p w14:paraId="7686CC51">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755" w:type="dxa"/>
            <w:vAlign w:val="center"/>
          </w:tcPr>
          <w:p w14:paraId="61A3F99F">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安全监测系统（TSI）</w:t>
            </w:r>
          </w:p>
        </w:tc>
        <w:tc>
          <w:tcPr>
            <w:tcW w:w="1238" w:type="dxa"/>
            <w:vAlign w:val="center"/>
          </w:tcPr>
          <w:p w14:paraId="46197BB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江阴天亿、</w:t>
            </w:r>
          </w:p>
          <w:p w14:paraId="33F222F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无锡厚德</w:t>
            </w:r>
          </w:p>
        </w:tc>
        <w:tc>
          <w:tcPr>
            <w:tcW w:w="1538" w:type="dxa"/>
            <w:vAlign w:val="center"/>
          </w:tcPr>
          <w:p w14:paraId="63273B6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HZO-850</w:t>
            </w:r>
          </w:p>
        </w:tc>
        <w:tc>
          <w:tcPr>
            <w:tcW w:w="682" w:type="dxa"/>
            <w:vAlign w:val="center"/>
          </w:tcPr>
          <w:p w14:paraId="32A79BD4">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66C63FC7">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含转速、位移、振动，箱柜等</w:t>
            </w:r>
          </w:p>
        </w:tc>
      </w:tr>
      <w:tr w14:paraId="35D0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544" w:type="dxa"/>
            <w:vAlign w:val="center"/>
          </w:tcPr>
          <w:p w14:paraId="34AC0BB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755" w:type="dxa"/>
            <w:vAlign w:val="center"/>
          </w:tcPr>
          <w:p w14:paraId="24ED87D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凝结系统</w:t>
            </w:r>
          </w:p>
        </w:tc>
        <w:tc>
          <w:tcPr>
            <w:tcW w:w="1238" w:type="dxa"/>
            <w:vAlign w:val="center"/>
          </w:tcPr>
          <w:p w14:paraId="67FE7CF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33B0295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N-1-280</w:t>
            </w:r>
          </w:p>
        </w:tc>
        <w:tc>
          <w:tcPr>
            <w:tcW w:w="682" w:type="dxa"/>
            <w:vAlign w:val="center"/>
          </w:tcPr>
          <w:p w14:paraId="763C350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7FE9B232">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含与汽机连接部及补偿器（单发）、</w:t>
            </w:r>
          </w:p>
          <w:p w14:paraId="5F0ECAA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凝结水泵（苏尔寿＋西门子）2台、撬装2</w:t>
            </w:r>
          </w:p>
        </w:tc>
      </w:tr>
      <w:tr w14:paraId="13E4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44" w:type="dxa"/>
            <w:vAlign w:val="center"/>
          </w:tcPr>
          <w:p w14:paraId="6367610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755" w:type="dxa"/>
            <w:vAlign w:val="center"/>
          </w:tcPr>
          <w:p w14:paraId="5619828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真空系统</w:t>
            </w:r>
          </w:p>
        </w:tc>
        <w:tc>
          <w:tcPr>
            <w:tcW w:w="1238" w:type="dxa"/>
            <w:vAlign w:val="center"/>
          </w:tcPr>
          <w:p w14:paraId="429F2B5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2D48A27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6C68B40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10081C5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含启动、运行、疏水、撬装2</w:t>
            </w:r>
          </w:p>
        </w:tc>
      </w:tr>
      <w:tr w14:paraId="6622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544" w:type="dxa"/>
            <w:vAlign w:val="center"/>
          </w:tcPr>
          <w:p w14:paraId="4F2B59A5">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755" w:type="dxa"/>
            <w:vAlign w:val="center"/>
          </w:tcPr>
          <w:p w14:paraId="6B73E10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汽机润滑、冷却系统</w:t>
            </w:r>
          </w:p>
        </w:tc>
        <w:tc>
          <w:tcPr>
            <w:tcW w:w="1238" w:type="dxa"/>
            <w:vAlign w:val="center"/>
          </w:tcPr>
          <w:p w14:paraId="3184B85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0B1344A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410D2534">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584327E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含油泵、过滤网、双油冷器、油路、油箱、撬装1、真空滤油机等</w:t>
            </w:r>
          </w:p>
        </w:tc>
      </w:tr>
      <w:tr w14:paraId="415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4D18AB4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755" w:type="dxa"/>
            <w:vAlign w:val="center"/>
          </w:tcPr>
          <w:p w14:paraId="7F3C6B8B">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辅机系统及管路</w:t>
            </w:r>
          </w:p>
        </w:tc>
        <w:tc>
          <w:tcPr>
            <w:tcW w:w="1238" w:type="dxa"/>
            <w:vAlign w:val="center"/>
          </w:tcPr>
          <w:p w14:paraId="419A84F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青岛捷能</w:t>
            </w:r>
          </w:p>
        </w:tc>
        <w:tc>
          <w:tcPr>
            <w:tcW w:w="1538" w:type="dxa"/>
            <w:vAlign w:val="center"/>
          </w:tcPr>
          <w:p w14:paraId="2F2224F9">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w:t>
            </w:r>
          </w:p>
        </w:tc>
        <w:tc>
          <w:tcPr>
            <w:tcW w:w="682" w:type="dxa"/>
            <w:vAlign w:val="center"/>
          </w:tcPr>
          <w:p w14:paraId="7942D8E6">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1套</w:t>
            </w:r>
          </w:p>
        </w:tc>
        <w:tc>
          <w:tcPr>
            <w:tcW w:w="3314" w:type="dxa"/>
            <w:vAlign w:val="center"/>
          </w:tcPr>
          <w:p w14:paraId="13F36FB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含疏水膨胀箱、均压箱（含调节阀、节流孔板、阀等）、滤水器、安全膜板（撬装）</w:t>
            </w:r>
          </w:p>
        </w:tc>
      </w:tr>
      <w:tr w14:paraId="60D0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44" w:type="dxa"/>
            <w:vAlign w:val="center"/>
          </w:tcPr>
          <w:p w14:paraId="58D336AF">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755" w:type="dxa"/>
            <w:vAlign w:val="center"/>
          </w:tcPr>
          <w:p w14:paraId="2836354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减速箱</w:t>
            </w:r>
          </w:p>
        </w:tc>
        <w:tc>
          <w:tcPr>
            <w:tcW w:w="1238" w:type="dxa"/>
            <w:vAlign w:val="center"/>
          </w:tcPr>
          <w:p w14:paraId="6771E20E">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郑州机械研究所</w:t>
            </w:r>
          </w:p>
        </w:tc>
        <w:tc>
          <w:tcPr>
            <w:tcW w:w="1538" w:type="dxa"/>
            <w:vAlign w:val="center"/>
          </w:tcPr>
          <w:p w14:paraId="0BE7ACD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5600/1500</w:t>
            </w:r>
          </w:p>
        </w:tc>
        <w:tc>
          <w:tcPr>
            <w:tcW w:w="682" w:type="dxa"/>
            <w:vAlign w:val="center"/>
          </w:tcPr>
          <w:p w14:paraId="7D09BE92">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6BD75DD0">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撬装1</w:t>
            </w:r>
          </w:p>
        </w:tc>
      </w:tr>
      <w:tr w14:paraId="0681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Align w:val="center"/>
          </w:tcPr>
          <w:p w14:paraId="17E8F74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755" w:type="dxa"/>
            <w:vAlign w:val="center"/>
          </w:tcPr>
          <w:p w14:paraId="448E275D">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同步交流发电机</w:t>
            </w:r>
          </w:p>
        </w:tc>
        <w:tc>
          <w:tcPr>
            <w:tcW w:w="1238" w:type="dxa"/>
            <w:vAlign w:val="center"/>
          </w:tcPr>
          <w:p w14:paraId="5203D69A">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柳州佳力</w:t>
            </w:r>
          </w:p>
        </w:tc>
        <w:tc>
          <w:tcPr>
            <w:tcW w:w="1538" w:type="dxa"/>
            <w:vAlign w:val="center"/>
          </w:tcPr>
          <w:p w14:paraId="68ABA3E4">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JFG1800-4/10500 1800Kw、10.5KV、1500rpm</w:t>
            </w:r>
          </w:p>
        </w:tc>
        <w:tc>
          <w:tcPr>
            <w:tcW w:w="682" w:type="dxa"/>
            <w:vAlign w:val="center"/>
          </w:tcPr>
          <w:p w14:paraId="0A7F5300">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1台</w:t>
            </w:r>
          </w:p>
        </w:tc>
        <w:tc>
          <w:tcPr>
            <w:tcW w:w="3314" w:type="dxa"/>
            <w:vAlign w:val="center"/>
          </w:tcPr>
          <w:p w14:paraId="072AD19C">
            <w:pPr>
              <w:spacing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冷却方式：风扇自冷IC01</w:t>
            </w:r>
          </w:p>
        </w:tc>
      </w:tr>
    </w:tbl>
    <w:p w14:paraId="5F471960">
      <w:pPr>
        <w:pStyle w:val="6"/>
        <w:numPr>
          <w:ilvl w:val="0"/>
          <w:numId w:val="0"/>
        </w:numPr>
        <w:ind w:firstLine="482" w:firstLineChars="200"/>
        <w:rPr>
          <w:rFonts w:hint="eastAsia" w:ascii="宋体"/>
          <w:b/>
          <w:bCs/>
          <w:color w:val="auto"/>
          <w:lang w:val="en-US" w:eastAsia="zh-CN"/>
        </w:rPr>
      </w:pPr>
    </w:p>
    <w:p w14:paraId="2FCA3DC5">
      <w:pPr>
        <w:pStyle w:val="6"/>
        <w:numPr>
          <w:ilvl w:val="0"/>
          <w:numId w:val="0"/>
        </w:numPr>
        <w:ind w:firstLine="482" w:firstLineChars="200"/>
        <w:rPr>
          <w:rFonts w:hint="eastAsia" w:ascii="宋体"/>
          <w:b/>
          <w:bCs/>
          <w:color w:val="auto"/>
          <w:lang w:val="en-US" w:eastAsia="zh-CN"/>
        </w:rPr>
      </w:pPr>
    </w:p>
    <w:p w14:paraId="2DA838A8">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3.2机组参数</w:t>
      </w:r>
    </w:p>
    <w:tbl>
      <w:tblPr>
        <w:tblStyle w:val="15"/>
        <w:tblW w:w="892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2351"/>
        <w:gridCol w:w="1800"/>
        <w:gridCol w:w="1260"/>
        <w:gridCol w:w="3512"/>
      </w:tblGrid>
      <w:tr w14:paraId="49643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0A5DA20">
            <w:pPr>
              <w:spacing w:line="360" w:lineRule="auto"/>
              <w:rPr>
                <w:rFonts w:hint="eastAsia" w:ascii="宋体" w:hAnsi="宋体" w:eastAsia="宋体" w:cs="宋体"/>
                <w:color w:val="000000"/>
                <w:szCs w:val="21"/>
              </w:rPr>
            </w:pPr>
            <w:r>
              <w:rPr>
                <w:rFonts w:hint="eastAsia" w:ascii="宋体" w:hAnsi="宋体" w:eastAsia="宋体" w:cs="宋体"/>
                <w:color w:val="000000"/>
                <w:szCs w:val="21"/>
              </w:rPr>
              <w:t>产品代号</w:t>
            </w:r>
          </w:p>
        </w:tc>
        <w:tc>
          <w:tcPr>
            <w:tcW w:w="1260" w:type="dxa"/>
            <w:vAlign w:val="center"/>
          </w:tcPr>
          <w:p w14:paraId="651AA14C">
            <w:pPr>
              <w:spacing w:line="360" w:lineRule="auto"/>
              <w:jc w:val="center"/>
              <w:rPr>
                <w:rFonts w:hint="eastAsia" w:ascii="宋体" w:hAnsi="宋体" w:eastAsia="宋体" w:cs="宋体"/>
                <w:color w:val="000000"/>
                <w:szCs w:val="21"/>
              </w:rPr>
            </w:pPr>
          </w:p>
        </w:tc>
        <w:tc>
          <w:tcPr>
            <w:tcW w:w="3512" w:type="dxa"/>
            <w:vAlign w:val="center"/>
          </w:tcPr>
          <w:p w14:paraId="2F53C06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KBN40A0L</w:t>
            </w:r>
          </w:p>
        </w:tc>
      </w:tr>
      <w:tr w14:paraId="2B21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9258899">
            <w:pPr>
              <w:spacing w:line="360" w:lineRule="auto"/>
              <w:rPr>
                <w:rFonts w:hint="eastAsia" w:ascii="宋体" w:hAnsi="宋体" w:eastAsia="宋体" w:cs="宋体"/>
                <w:color w:val="000000"/>
                <w:szCs w:val="21"/>
              </w:rPr>
            </w:pPr>
            <w:r>
              <w:rPr>
                <w:rFonts w:hint="eastAsia" w:ascii="宋体" w:hAnsi="宋体" w:eastAsia="宋体" w:cs="宋体"/>
                <w:color w:val="000000"/>
                <w:szCs w:val="21"/>
              </w:rPr>
              <w:t>产品型号</w:t>
            </w:r>
          </w:p>
        </w:tc>
        <w:tc>
          <w:tcPr>
            <w:tcW w:w="1260" w:type="dxa"/>
            <w:vAlign w:val="center"/>
          </w:tcPr>
          <w:p w14:paraId="797B574B">
            <w:pPr>
              <w:spacing w:line="360" w:lineRule="auto"/>
              <w:jc w:val="center"/>
              <w:rPr>
                <w:rFonts w:hint="eastAsia" w:ascii="宋体" w:hAnsi="宋体" w:eastAsia="宋体" w:cs="宋体"/>
                <w:color w:val="000000"/>
                <w:szCs w:val="21"/>
              </w:rPr>
            </w:pPr>
          </w:p>
        </w:tc>
        <w:tc>
          <w:tcPr>
            <w:tcW w:w="3512" w:type="dxa"/>
            <w:vAlign w:val="center"/>
          </w:tcPr>
          <w:p w14:paraId="285866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N1.5-1.35</w:t>
            </w:r>
          </w:p>
        </w:tc>
      </w:tr>
      <w:tr w14:paraId="1840E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3C930E73">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额定功率</w:t>
            </w:r>
          </w:p>
        </w:tc>
        <w:tc>
          <w:tcPr>
            <w:tcW w:w="1260" w:type="dxa"/>
            <w:vAlign w:val="center"/>
          </w:tcPr>
          <w:p w14:paraId="550AC64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w:t>
            </w:r>
          </w:p>
        </w:tc>
        <w:tc>
          <w:tcPr>
            <w:tcW w:w="3512" w:type="dxa"/>
            <w:vAlign w:val="center"/>
          </w:tcPr>
          <w:p w14:paraId="179FA46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1.5</w:t>
            </w:r>
          </w:p>
        </w:tc>
      </w:tr>
      <w:tr w14:paraId="2FFD6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42361F9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最大功率</w:t>
            </w:r>
          </w:p>
        </w:tc>
        <w:tc>
          <w:tcPr>
            <w:tcW w:w="1260" w:type="dxa"/>
            <w:vAlign w:val="center"/>
          </w:tcPr>
          <w:p w14:paraId="183212C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w:t>
            </w:r>
          </w:p>
        </w:tc>
        <w:tc>
          <w:tcPr>
            <w:tcW w:w="3512" w:type="dxa"/>
            <w:vAlign w:val="center"/>
          </w:tcPr>
          <w:p w14:paraId="34D82C1E">
            <w:pPr>
              <w:spacing w:line="360" w:lineRule="auto"/>
              <w:jc w:val="center"/>
              <w:rPr>
                <w:rFonts w:hint="eastAsia" w:ascii="宋体" w:hAnsi="宋体" w:eastAsia="宋体" w:cs="宋体"/>
                <w:color w:val="000000"/>
                <w:szCs w:val="21"/>
              </w:rPr>
            </w:pPr>
          </w:p>
        </w:tc>
      </w:tr>
      <w:tr w14:paraId="70E8A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CB1E712">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额定转速</w:t>
            </w:r>
          </w:p>
        </w:tc>
        <w:tc>
          <w:tcPr>
            <w:tcW w:w="1260" w:type="dxa"/>
            <w:vAlign w:val="center"/>
          </w:tcPr>
          <w:p w14:paraId="23EDA29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r/min</w:t>
            </w:r>
          </w:p>
        </w:tc>
        <w:tc>
          <w:tcPr>
            <w:tcW w:w="3512" w:type="dxa"/>
            <w:vAlign w:val="center"/>
          </w:tcPr>
          <w:p w14:paraId="1A00CD4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5600/1500</w:t>
            </w:r>
          </w:p>
        </w:tc>
      </w:tr>
      <w:tr w14:paraId="07BF7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CBC01C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旋转方向</w:t>
            </w:r>
          </w:p>
        </w:tc>
        <w:tc>
          <w:tcPr>
            <w:tcW w:w="1260" w:type="dxa"/>
            <w:vAlign w:val="center"/>
          </w:tcPr>
          <w:p w14:paraId="49B89954">
            <w:pPr>
              <w:spacing w:line="360" w:lineRule="auto"/>
              <w:jc w:val="center"/>
              <w:rPr>
                <w:rFonts w:hint="eastAsia" w:ascii="宋体" w:hAnsi="宋体" w:eastAsia="宋体" w:cs="宋体"/>
                <w:color w:val="000000"/>
                <w:szCs w:val="21"/>
              </w:rPr>
            </w:pPr>
          </w:p>
        </w:tc>
        <w:tc>
          <w:tcPr>
            <w:tcW w:w="3512" w:type="dxa"/>
            <w:vAlign w:val="center"/>
          </w:tcPr>
          <w:p w14:paraId="12F511F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逆时针（顺汽流方向看）</w:t>
            </w:r>
          </w:p>
        </w:tc>
      </w:tr>
      <w:tr w14:paraId="66922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B22FA06">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额定进汽压力及变化范围</w:t>
            </w:r>
          </w:p>
        </w:tc>
        <w:tc>
          <w:tcPr>
            <w:tcW w:w="1260" w:type="dxa"/>
            <w:vAlign w:val="center"/>
          </w:tcPr>
          <w:p w14:paraId="371B0DD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512" w:type="dxa"/>
            <w:vAlign w:val="center"/>
          </w:tcPr>
          <w:p w14:paraId="1F70CB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1.35（绝对）</w:t>
            </w:r>
          </w:p>
        </w:tc>
      </w:tr>
      <w:tr w14:paraId="4870A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FF7D4AA">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额定进汽温度及变化范围</w:t>
            </w:r>
          </w:p>
        </w:tc>
        <w:tc>
          <w:tcPr>
            <w:tcW w:w="1260" w:type="dxa"/>
            <w:vAlign w:val="center"/>
          </w:tcPr>
          <w:p w14:paraId="4D7E911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0CBF7D7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193.35（饱和温度）</w:t>
            </w:r>
          </w:p>
        </w:tc>
      </w:tr>
      <w:tr w14:paraId="2B35F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79C8446B">
            <w:pPr>
              <w:spacing w:line="360" w:lineRule="auto"/>
              <w:rPr>
                <w:rFonts w:hint="eastAsia" w:ascii="宋体" w:hAnsi="宋体" w:eastAsia="宋体" w:cs="宋体"/>
                <w:color w:val="000000"/>
                <w:szCs w:val="21"/>
              </w:rPr>
            </w:pPr>
            <w:r>
              <w:rPr>
                <w:rFonts w:hint="eastAsia" w:ascii="宋体" w:hAnsi="宋体" w:eastAsia="宋体" w:cs="宋体"/>
                <w:color w:val="000000"/>
                <w:szCs w:val="21"/>
              </w:rPr>
              <w:t>进汽量</w:t>
            </w:r>
          </w:p>
        </w:tc>
        <w:tc>
          <w:tcPr>
            <w:tcW w:w="1800" w:type="dxa"/>
            <w:vAlign w:val="center"/>
          </w:tcPr>
          <w:p w14:paraId="7C7E8B7D">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额定点</w:t>
            </w:r>
          </w:p>
        </w:tc>
        <w:tc>
          <w:tcPr>
            <w:tcW w:w="1260" w:type="dxa"/>
            <w:vAlign w:val="center"/>
          </w:tcPr>
          <w:p w14:paraId="054A743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512" w:type="dxa"/>
            <w:vAlign w:val="center"/>
          </w:tcPr>
          <w:p w14:paraId="5B9AE74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w:t>
            </w:r>
          </w:p>
        </w:tc>
      </w:tr>
      <w:tr w14:paraId="1353B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676329A2">
            <w:pPr>
              <w:spacing w:line="360" w:lineRule="auto"/>
              <w:rPr>
                <w:rFonts w:hint="eastAsia" w:ascii="宋体" w:hAnsi="宋体" w:eastAsia="宋体" w:cs="宋体"/>
                <w:color w:val="000000"/>
                <w:szCs w:val="21"/>
              </w:rPr>
            </w:pPr>
          </w:p>
        </w:tc>
        <w:tc>
          <w:tcPr>
            <w:tcW w:w="1800" w:type="dxa"/>
            <w:vAlign w:val="center"/>
          </w:tcPr>
          <w:p w14:paraId="4511BBB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  大</w:t>
            </w:r>
          </w:p>
        </w:tc>
        <w:tc>
          <w:tcPr>
            <w:tcW w:w="1260" w:type="dxa"/>
            <w:vAlign w:val="center"/>
          </w:tcPr>
          <w:p w14:paraId="5E6CE4C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512" w:type="dxa"/>
            <w:vAlign w:val="center"/>
          </w:tcPr>
          <w:p w14:paraId="785D7F73">
            <w:pPr>
              <w:spacing w:line="360" w:lineRule="auto"/>
              <w:jc w:val="center"/>
              <w:rPr>
                <w:rFonts w:hint="eastAsia" w:ascii="宋体" w:hAnsi="宋体" w:eastAsia="宋体" w:cs="宋体"/>
                <w:color w:val="000000"/>
                <w:szCs w:val="21"/>
              </w:rPr>
            </w:pPr>
          </w:p>
        </w:tc>
      </w:tr>
      <w:tr w14:paraId="51B0F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3C320C80">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冷却水温</w:t>
            </w:r>
          </w:p>
        </w:tc>
        <w:tc>
          <w:tcPr>
            <w:tcW w:w="1800" w:type="dxa"/>
            <w:vAlign w:val="center"/>
          </w:tcPr>
          <w:p w14:paraId="7593ACA6">
            <w:pPr>
              <w:spacing w:line="360" w:lineRule="auto"/>
              <w:rPr>
                <w:rFonts w:hint="eastAsia" w:ascii="宋体" w:hAnsi="宋体" w:eastAsia="宋体" w:cs="宋体"/>
                <w:color w:val="000000"/>
                <w:szCs w:val="21"/>
              </w:rPr>
            </w:pPr>
            <w:r>
              <w:rPr>
                <w:rFonts w:hint="eastAsia" w:ascii="宋体" w:hAnsi="宋体" w:eastAsia="宋体" w:cs="宋体"/>
                <w:color w:val="000000"/>
                <w:szCs w:val="21"/>
              </w:rPr>
              <w:t>正  常</w:t>
            </w:r>
          </w:p>
        </w:tc>
        <w:tc>
          <w:tcPr>
            <w:tcW w:w="1260" w:type="dxa"/>
            <w:vAlign w:val="center"/>
          </w:tcPr>
          <w:p w14:paraId="0E92BFD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5FEACA7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28</w:t>
            </w:r>
          </w:p>
        </w:tc>
      </w:tr>
      <w:tr w14:paraId="789AD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45CCF18C">
            <w:pPr>
              <w:spacing w:line="360" w:lineRule="auto"/>
              <w:rPr>
                <w:rFonts w:hint="eastAsia" w:ascii="宋体" w:hAnsi="宋体" w:eastAsia="宋体" w:cs="宋体"/>
                <w:color w:val="000000"/>
                <w:szCs w:val="21"/>
              </w:rPr>
            </w:pPr>
          </w:p>
        </w:tc>
        <w:tc>
          <w:tcPr>
            <w:tcW w:w="1800" w:type="dxa"/>
            <w:vAlign w:val="center"/>
          </w:tcPr>
          <w:p w14:paraId="6D77A571">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  高</w:t>
            </w:r>
          </w:p>
        </w:tc>
        <w:tc>
          <w:tcPr>
            <w:tcW w:w="1260" w:type="dxa"/>
            <w:vAlign w:val="center"/>
          </w:tcPr>
          <w:p w14:paraId="10D8DB5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2F63945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32</w:t>
            </w:r>
          </w:p>
        </w:tc>
      </w:tr>
      <w:tr w14:paraId="3DA99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5AE131B4">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额定排汽压力</w:t>
            </w:r>
          </w:p>
        </w:tc>
        <w:tc>
          <w:tcPr>
            <w:tcW w:w="1260" w:type="dxa"/>
            <w:vAlign w:val="center"/>
          </w:tcPr>
          <w:p w14:paraId="0900094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512" w:type="dxa"/>
            <w:vAlign w:val="center"/>
          </w:tcPr>
          <w:p w14:paraId="0A3B84D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0.01（绝对）</w:t>
            </w:r>
          </w:p>
        </w:tc>
      </w:tr>
      <w:tr w14:paraId="791C8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070DDE79">
            <w:pPr>
              <w:spacing w:line="360" w:lineRule="auto"/>
              <w:rPr>
                <w:rFonts w:hint="eastAsia" w:ascii="宋体" w:hAnsi="宋体" w:eastAsia="宋体" w:cs="宋体"/>
                <w:color w:val="000000"/>
                <w:szCs w:val="21"/>
              </w:rPr>
            </w:pPr>
            <w:r>
              <w:rPr>
                <w:rFonts w:hint="eastAsia" w:ascii="宋体" w:hAnsi="宋体" w:eastAsia="宋体" w:cs="宋体"/>
                <w:color w:val="000000"/>
                <w:szCs w:val="21"/>
              </w:rPr>
              <w:t>排汽温度</w:t>
            </w:r>
          </w:p>
        </w:tc>
        <w:tc>
          <w:tcPr>
            <w:tcW w:w="1260" w:type="dxa"/>
            <w:vAlign w:val="center"/>
          </w:tcPr>
          <w:p w14:paraId="1A73BAB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512" w:type="dxa"/>
            <w:vAlign w:val="center"/>
          </w:tcPr>
          <w:p w14:paraId="4C77DAB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45.81（饱和温度）</w:t>
            </w:r>
          </w:p>
        </w:tc>
      </w:tr>
      <w:tr w14:paraId="05F9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restart"/>
            <w:vAlign w:val="center"/>
          </w:tcPr>
          <w:p w14:paraId="5F17800A">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 耗 率</w:t>
            </w:r>
          </w:p>
        </w:tc>
        <w:tc>
          <w:tcPr>
            <w:tcW w:w="1800" w:type="dxa"/>
            <w:vAlign w:val="center"/>
          </w:tcPr>
          <w:p w14:paraId="000DC890">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额定点</w:t>
            </w:r>
          </w:p>
        </w:tc>
        <w:tc>
          <w:tcPr>
            <w:tcW w:w="1260" w:type="dxa"/>
            <w:vAlign w:val="center"/>
          </w:tcPr>
          <w:p w14:paraId="043CAE1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kg/kw.h</w:t>
            </w:r>
          </w:p>
        </w:tc>
        <w:tc>
          <w:tcPr>
            <w:tcW w:w="3512" w:type="dxa"/>
            <w:vAlign w:val="center"/>
          </w:tcPr>
          <w:p w14:paraId="3E20AA8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9</w:t>
            </w:r>
          </w:p>
        </w:tc>
      </w:tr>
      <w:tr w14:paraId="66F47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2351" w:type="dxa"/>
            <w:vMerge w:val="continue"/>
            <w:vAlign w:val="center"/>
          </w:tcPr>
          <w:p w14:paraId="7799CBBF">
            <w:pPr>
              <w:spacing w:line="360" w:lineRule="auto"/>
              <w:rPr>
                <w:rFonts w:hint="eastAsia" w:ascii="宋体" w:hAnsi="宋体" w:eastAsia="宋体" w:cs="宋体"/>
                <w:color w:val="000000"/>
                <w:szCs w:val="21"/>
              </w:rPr>
            </w:pPr>
          </w:p>
        </w:tc>
        <w:tc>
          <w:tcPr>
            <w:tcW w:w="1800" w:type="dxa"/>
            <w:vAlign w:val="center"/>
          </w:tcPr>
          <w:p w14:paraId="51D685E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最大点</w:t>
            </w:r>
          </w:p>
        </w:tc>
        <w:tc>
          <w:tcPr>
            <w:tcW w:w="1260" w:type="dxa"/>
            <w:vAlign w:val="center"/>
          </w:tcPr>
          <w:p w14:paraId="4643719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kg/kw.h</w:t>
            </w:r>
          </w:p>
        </w:tc>
        <w:tc>
          <w:tcPr>
            <w:tcW w:w="3512" w:type="dxa"/>
            <w:vAlign w:val="center"/>
          </w:tcPr>
          <w:p w14:paraId="15154364">
            <w:pPr>
              <w:spacing w:line="360" w:lineRule="auto"/>
              <w:jc w:val="center"/>
              <w:rPr>
                <w:rFonts w:hint="eastAsia" w:ascii="宋体" w:hAnsi="宋体" w:eastAsia="宋体" w:cs="宋体"/>
                <w:color w:val="000000"/>
                <w:szCs w:val="21"/>
              </w:rPr>
            </w:pPr>
          </w:p>
        </w:tc>
      </w:tr>
      <w:tr w14:paraId="7182C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18D72D8">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临界转速（一阶）</w:t>
            </w:r>
          </w:p>
        </w:tc>
        <w:tc>
          <w:tcPr>
            <w:tcW w:w="1260" w:type="dxa"/>
            <w:vAlign w:val="center"/>
          </w:tcPr>
          <w:p w14:paraId="1C3C3F1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r/min</w:t>
            </w:r>
          </w:p>
        </w:tc>
        <w:tc>
          <w:tcPr>
            <w:tcW w:w="3512" w:type="dxa"/>
            <w:vAlign w:val="center"/>
          </w:tcPr>
          <w:p w14:paraId="6A8D846A">
            <w:pPr>
              <w:spacing w:line="360" w:lineRule="auto"/>
              <w:jc w:val="center"/>
              <w:rPr>
                <w:rFonts w:hint="eastAsia" w:ascii="宋体" w:hAnsi="宋体" w:eastAsia="宋体" w:cs="宋体"/>
                <w:color w:val="000000"/>
                <w:szCs w:val="21"/>
              </w:rPr>
            </w:pPr>
          </w:p>
        </w:tc>
      </w:tr>
      <w:tr w14:paraId="38C94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AFEFA49">
            <w:pPr>
              <w:spacing w:line="360" w:lineRule="auto"/>
              <w:rPr>
                <w:rFonts w:hint="eastAsia" w:ascii="宋体" w:hAnsi="宋体" w:eastAsia="宋体" w:cs="宋体"/>
                <w:color w:val="000000"/>
                <w:szCs w:val="21"/>
              </w:rPr>
            </w:pPr>
            <w:r>
              <w:rPr>
                <w:rFonts w:hint="eastAsia" w:ascii="宋体" w:hAnsi="宋体" w:eastAsia="宋体" w:cs="宋体"/>
                <w:color w:val="000000"/>
                <w:szCs w:val="21"/>
              </w:rPr>
              <w:t>额定转速时轴承座振动值(全振幅)</w:t>
            </w:r>
          </w:p>
        </w:tc>
        <w:tc>
          <w:tcPr>
            <w:tcW w:w="1260" w:type="dxa"/>
            <w:vAlign w:val="center"/>
          </w:tcPr>
          <w:p w14:paraId="40B5613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mm</w:t>
            </w:r>
          </w:p>
        </w:tc>
        <w:tc>
          <w:tcPr>
            <w:tcW w:w="3512" w:type="dxa"/>
            <w:vAlign w:val="center"/>
          </w:tcPr>
          <w:p w14:paraId="6609ABB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≤0.03（全振幅）</w:t>
            </w:r>
          </w:p>
        </w:tc>
      </w:tr>
      <w:tr w14:paraId="4051F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4665FE71">
            <w:pPr>
              <w:spacing w:line="360" w:lineRule="auto"/>
              <w:rPr>
                <w:rFonts w:hint="eastAsia" w:ascii="宋体" w:hAnsi="宋体" w:eastAsia="宋体" w:cs="宋体"/>
                <w:color w:val="000000"/>
                <w:szCs w:val="21"/>
              </w:rPr>
            </w:pPr>
            <w:r>
              <w:rPr>
                <w:rFonts w:hint="eastAsia" w:ascii="宋体" w:hAnsi="宋体" w:eastAsia="宋体" w:cs="宋体"/>
                <w:color w:val="000000"/>
                <w:szCs w:val="21"/>
              </w:rPr>
              <w:t>临界转速时轴承座振动值(全振幅)</w:t>
            </w:r>
          </w:p>
        </w:tc>
        <w:tc>
          <w:tcPr>
            <w:tcW w:w="1260" w:type="dxa"/>
            <w:vAlign w:val="center"/>
          </w:tcPr>
          <w:p w14:paraId="3122743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mm</w:t>
            </w:r>
          </w:p>
        </w:tc>
        <w:tc>
          <w:tcPr>
            <w:tcW w:w="3512" w:type="dxa"/>
            <w:vAlign w:val="center"/>
          </w:tcPr>
          <w:p w14:paraId="247F95D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≤0.15（全振幅）</w:t>
            </w:r>
          </w:p>
        </w:tc>
      </w:tr>
      <w:tr w14:paraId="19BFE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243AB07C">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汽轮机本体重量</w:t>
            </w:r>
          </w:p>
        </w:tc>
        <w:tc>
          <w:tcPr>
            <w:tcW w:w="1260" w:type="dxa"/>
            <w:vAlign w:val="center"/>
          </w:tcPr>
          <w:p w14:paraId="340F2C2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4EEB620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r>
      <w:tr w14:paraId="615F0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60A465A6">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汽轮机安装时最大件重量(整体安装)</w:t>
            </w:r>
          </w:p>
        </w:tc>
        <w:tc>
          <w:tcPr>
            <w:tcW w:w="1260" w:type="dxa"/>
            <w:vAlign w:val="center"/>
          </w:tcPr>
          <w:p w14:paraId="29A0D4A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29070AD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~14</w:t>
            </w:r>
          </w:p>
        </w:tc>
      </w:tr>
      <w:tr w14:paraId="0BED0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162560C0">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汽轮机检修时最大件重量</w:t>
            </w:r>
          </w:p>
        </w:tc>
        <w:tc>
          <w:tcPr>
            <w:tcW w:w="1260" w:type="dxa"/>
            <w:vAlign w:val="center"/>
          </w:tcPr>
          <w:p w14:paraId="1ED24D2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w:t>
            </w:r>
          </w:p>
        </w:tc>
        <w:tc>
          <w:tcPr>
            <w:tcW w:w="3512" w:type="dxa"/>
            <w:vAlign w:val="center"/>
          </w:tcPr>
          <w:p w14:paraId="549E6DC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~4</w:t>
            </w:r>
          </w:p>
        </w:tc>
      </w:tr>
      <w:tr w14:paraId="037DE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32EF5A6F">
            <w:pPr>
              <w:spacing w:line="360" w:lineRule="auto"/>
              <w:rPr>
                <w:rFonts w:hint="eastAsia" w:ascii="宋体" w:hAnsi="宋体" w:eastAsia="宋体" w:cs="宋体"/>
                <w:color w:val="000000"/>
                <w:szCs w:val="21"/>
              </w:rPr>
            </w:pPr>
            <w:r>
              <w:rPr>
                <w:rFonts w:hint="eastAsia" w:ascii="宋体" w:hAnsi="宋体" w:eastAsia="宋体" w:cs="宋体"/>
                <w:color w:val="000000"/>
                <w:szCs w:val="21"/>
              </w:rPr>
              <w:t>转子重量</w:t>
            </w:r>
          </w:p>
        </w:tc>
        <w:tc>
          <w:tcPr>
            <w:tcW w:w="1260" w:type="dxa"/>
            <w:vAlign w:val="center"/>
          </w:tcPr>
          <w:p w14:paraId="36A49AE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Kg</w:t>
            </w:r>
          </w:p>
        </w:tc>
        <w:tc>
          <w:tcPr>
            <w:tcW w:w="3512" w:type="dxa"/>
            <w:vAlign w:val="center"/>
          </w:tcPr>
          <w:p w14:paraId="64B70EF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~869</w:t>
            </w:r>
          </w:p>
        </w:tc>
      </w:tr>
      <w:tr w14:paraId="72037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vAlign w:val="center"/>
          </w:tcPr>
          <w:p w14:paraId="79F364E1">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汽轮机外形尺寸（运行平台以上）</w:t>
            </w:r>
          </w:p>
        </w:tc>
        <w:tc>
          <w:tcPr>
            <w:tcW w:w="1260" w:type="dxa"/>
            <w:vAlign w:val="center"/>
          </w:tcPr>
          <w:p w14:paraId="61D043B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512" w:type="dxa"/>
            <w:vAlign w:val="center"/>
          </w:tcPr>
          <w:p w14:paraId="3788563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~3.84×2.8×2.015</w:t>
            </w:r>
          </w:p>
          <w:p w14:paraId="03062C6A">
            <w:pPr>
              <w:spacing w:line="360" w:lineRule="auto"/>
              <w:ind w:left="165" w:hanging="165"/>
              <w:jc w:val="center"/>
              <w:rPr>
                <w:rFonts w:hint="eastAsia" w:ascii="宋体" w:hAnsi="宋体" w:eastAsia="宋体" w:cs="宋体"/>
                <w:color w:val="000000"/>
                <w:szCs w:val="21"/>
              </w:rPr>
            </w:pPr>
            <w:r>
              <w:rPr>
                <w:rFonts w:hint="eastAsia" w:ascii="宋体" w:hAnsi="宋体" w:eastAsia="宋体" w:cs="宋体"/>
                <w:color w:val="000000"/>
                <w:szCs w:val="21"/>
              </w:rPr>
              <w:t>（L×W×H）</w:t>
            </w:r>
          </w:p>
        </w:tc>
      </w:tr>
      <w:tr w14:paraId="65467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151" w:type="dxa"/>
            <w:gridSpan w:val="2"/>
            <w:tcBorders>
              <w:bottom w:val="single" w:color="auto" w:sz="8" w:space="0"/>
            </w:tcBorders>
            <w:vAlign w:val="center"/>
          </w:tcPr>
          <w:p w14:paraId="7C6D96EF">
            <w:pPr>
              <w:spacing w:line="360" w:lineRule="auto"/>
              <w:rPr>
                <w:rFonts w:hint="eastAsia" w:ascii="宋体" w:hAnsi="宋体" w:eastAsia="宋体" w:cs="宋体"/>
                <w:color w:val="000000"/>
                <w:szCs w:val="21"/>
              </w:rPr>
            </w:pPr>
            <w:r>
              <w:rPr>
                <w:rFonts w:hint="eastAsia" w:ascii="宋体" w:hAnsi="宋体" w:eastAsia="宋体" w:cs="宋体"/>
                <w:color w:val="000000"/>
                <w:szCs w:val="21"/>
              </w:rPr>
              <w:t>汽轮机中心标高（距运行平台）</w:t>
            </w:r>
          </w:p>
        </w:tc>
        <w:tc>
          <w:tcPr>
            <w:tcW w:w="1260" w:type="dxa"/>
            <w:tcBorders>
              <w:bottom w:val="single" w:color="auto" w:sz="8" w:space="0"/>
            </w:tcBorders>
            <w:vAlign w:val="center"/>
          </w:tcPr>
          <w:p w14:paraId="64C586A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512" w:type="dxa"/>
            <w:tcBorders>
              <w:bottom w:val="single" w:color="auto" w:sz="8" w:space="0"/>
            </w:tcBorders>
            <w:vAlign w:val="center"/>
          </w:tcPr>
          <w:p w14:paraId="586DABB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1.050</w:t>
            </w:r>
          </w:p>
        </w:tc>
      </w:tr>
    </w:tbl>
    <w:p w14:paraId="63E8ED89">
      <w:pPr>
        <w:spacing w:line="360" w:lineRule="auto"/>
        <w:rPr>
          <w:color w:val="000000"/>
          <w:sz w:val="24"/>
          <w:szCs w:val="24"/>
        </w:rPr>
      </w:pPr>
    </w:p>
    <w:p w14:paraId="5EA071C0">
      <w:pPr>
        <w:pStyle w:val="6"/>
        <w:numPr>
          <w:ilvl w:val="0"/>
          <w:numId w:val="0"/>
        </w:numPr>
        <w:ind w:firstLine="482" w:firstLineChars="200"/>
        <w:rPr>
          <w:rFonts w:hint="eastAsia" w:ascii="宋体"/>
          <w:b/>
          <w:bCs/>
          <w:color w:val="auto"/>
          <w:lang w:val="en-US" w:eastAsia="zh-CN"/>
        </w:rPr>
      </w:pPr>
    </w:p>
    <w:p w14:paraId="2B73CF84">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3.3调节保安润滑系统</w:t>
      </w:r>
    </w:p>
    <w:tbl>
      <w:tblPr>
        <w:tblStyle w:val="15"/>
        <w:tblW w:w="89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4017"/>
        <w:gridCol w:w="1260"/>
        <w:gridCol w:w="3653"/>
      </w:tblGrid>
      <w:tr w14:paraId="06CF4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3621F5C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调速范围</w:t>
            </w:r>
          </w:p>
        </w:tc>
        <w:tc>
          <w:tcPr>
            <w:tcW w:w="1260" w:type="dxa"/>
            <w:vAlign w:val="center"/>
          </w:tcPr>
          <w:p w14:paraId="7FD4E69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r/min</w:t>
            </w:r>
          </w:p>
        </w:tc>
        <w:tc>
          <w:tcPr>
            <w:tcW w:w="3653" w:type="dxa"/>
            <w:vAlign w:val="center"/>
          </w:tcPr>
          <w:p w14:paraId="7D11586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position w:val="-34"/>
                <w:sz w:val="21"/>
                <w:szCs w:val="21"/>
              </w:rPr>
              <w:t>4200～5880</w:t>
            </w:r>
          </w:p>
        </w:tc>
      </w:tr>
      <w:tr w14:paraId="16ED8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7697C15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危急遮断器动作转速</w:t>
            </w:r>
          </w:p>
        </w:tc>
        <w:tc>
          <w:tcPr>
            <w:tcW w:w="1260" w:type="dxa"/>
            <w:vAlign w:val="center"/>
          </w:tcPr>
          <w:p w14:paraId="2EF129C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r/min</w:t>
            </w:r>
          </w:p>
        </w:tc>
        <w:tc>
          <w:tcPr>
            <w:tcW w:w="3653" w:type="dxa"/>
            <w:vAlign w:val="center"/>
          </w:tcPr>
          <w:p w14:paraId="1AD806C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position w:val="-34"/>
                <w:sz w:val="21"/>
                <w:szCs w:val="21"/>
              </w:rPr>
              <w:t>6160±56</w:t>
            </w:r>
          </w:p>
        </w:tc>
      </w:tr>
      <w:tr w14:paraId="5DB0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tcPr>
          <w:p w14:paraId="537B1FFB">
            <w:pPr>
              <w:spacing w:line="360" w:lineRule="auto"/>
              <w:rPr>
                <w:rFonts w:hint="eastAsia" w:ascii="宋体" w:hAnsi="宋体" w:eastAsia="宋体" w:cs="宋体"/>
                <w:position w:val="-34"/>
                <w:sz w:val="21"/>
                <w:szCs w:val="21"/>
              </w:rPr>
            </w:pPr>
            <w:r>
              <w:rPr>
                <w:rFonts w:hint="eastAsia" w:ascii="宋体" w:hAnsi="宋体" w:eastAsia="宋体" w:cs="宋体"/>
                <w:position w:val="-34"/>
                <w:sz w:val="21"/>
                <w:szCs w:val="21"/>
              </w:rPr>
              <w:t>电调超速保护</w:t>
            </w:r>
          </w:p>
        </w:tc>
        <w:tc>
          <w:tcPr>
            <w:tcW w:w="1260" w:type="dxa"/>
          </w:tcPr>
          <w:p w14:paraId="77F7C8D3">
            <w:pPr>
              <w:spacing w:line="360" w:lineRule="auto"/>
              <w:jc w:val="center"/>
              <w:rPr>
                <w:rFonts w:hint="eastAsia" w:ascii="宋体" w:hAnsi="宋体" w:eastAsia="宋体" w:cs="宋体"/>
                <w:position w:val="-34"/>
                <w:sz w:val="21"/>
                <w:szCs w:val="21"/>
              </w:rPr>
            </w:pPr>
            <w:r>
              <w:rPr>
                <w:rFonts w:hint="eastAsia" w:ascii="宋体" w:hAnsi="宋体" w:eastAsia="宋体" w:cs="宋体"/>
                <w:position w:val="-34"/>
                <w:sz w:val="21"/>
                <w:szCs w:val="21"/>
              </w:rPr>
              <w:t>r/min</w:t>
            </w:r>
          </w:p>
        </w:tc>
        <w:tc>
          <w:tcPr>
            <w:tcW w:w="3653" w:type="dxa"/>
          </w:tcPr>
          <w:p w14:paraId="2A460D9E">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6216</w:t>
            </w:r>
          </w:p>
        </w:tc>
      </w:tr>
      <w:tr w14:paraId="26DC2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6C21881C">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调节汽阀最大行程</w:t>
            </w:r>
          </w:p>
        </w:tc>
        <w:tc>
          <w:tcPr>
            <w:tcW w:w="1260" w:type="dxa"/>
            <w:vAlign w:val="center"/>
          </w:tcPr>
          <w:p w14:paraId="5361B30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mm</w:t>
            </w:r>
          </w:p>
        </w:tc>
        <w:tc>
          <w:tcPr>
            <w:tcW w:w="3653" w:type="dxa"/>
            <w:vAlign w:val="center"/>
          </w:tcPr>
          <w:p w14:paraId="3939B11A">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42</w:t>
            </w:r>
          </w:p>
        </w:tc>
      </w:tr>
      <w:tr w14:paraId="28B1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5BE3EE0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调节油压</w:t>
            </w:r>
          </w:p>
        </w:tc>
        <w:tc>
          <w:tcPr>
            <w:tcW w:w="1260" w:type="dxa"/>
            <w:vAlign w:val="center"/>
          </w:tcPr>
          <w:p w14:paraId="2A40D22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653" w:type="dxa"/>
            <w:vAlign w:val="center"/>
          </w:tcPr>
          <w:p w14:paraId="2A2DF51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21300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05BD17E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润滑油压</w:t>
            </w:r>
          </w:p>
        </w:tc>
        <w:tc>
          <w:tcPr>
            <w:tcW w:w="1260" w:type="dxa"/>
            <w:vAlign w:val="center"/>
          </w:tcPr>
          <w:p w14:paraId="4AC4691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653" w:type="dxa"/>
            <w:vAlign w:val="center"/>
          </w:tcPr>
          <w:p w14:paraId="4369CE2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0.08~0.12</w:t>
            </w:r>
          </w:p>
        </w:tc>
      </w:tr>
      <w:tr w14:paraId="2B6B7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3A725A3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汽轮机油牌号</w:t>
            </w:r>
          </w:p>
        </w:tc>
        <w:tc>
          <w:tcPr>
            <w:tcW w:w="1260" w:type="dxa"/>
            <w:vAlign w:val="center"/>
          </w:tcPr>
          <w:p w14:paraId="26C4AA9D">
            <w:pPr>
              <w:spacing w:line="360" w:lineRule="auto"/>
              <w:jc w:val="center"/>
              <w:rPr>
                <w:rFonts w:hint="eastAsia" w:ascii="宋体" w:hAnsi="宋体" w:eastAsia="宋体" w:cs="宋体"/>
                <w:color w:val="000000"/>
                <w:sz w:val="21"/>
                <w:szCs w:val="21"/>
              </w:rPr>
            </w:pPr>
          </w:p>
        </w:tc>
        <w:tc>
          <w:tcPr>
            <w:tcW w:w="3653" w:type="dxa"/>
            <w:vAlign w:val="center"/>
          </w:tcPr>
          <w:p w14:paraId="776458F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L-TSA46</w:t>
            </w:r>
          </w:p>
        </w:tc>
      </w:tr>
      <w:tr w14:paraId="25568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jc w:val="center"/>
        </w:trPr>
        <w:tc>
          <w:tcPr>
            <w:tcW w:w="4017" w:type="dxa"/>
            <w:vAlign w:val="center"/>
          </w:tcPr>
          <w:p w14:paraId="18412A84">
            <w:pPr>
              <w:spacing w:line="360" w:lineRule="auto"/>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润滑油耗量</w:t>
            </w:r>
          </w:p>
        </w:tc>
        <w:tc>
          <w:tcPr>
            <w:tcW w:w="1260" w:type="dxa"/>
          </w:tcPr>
          <w:p w14:paraId="212C24C3">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L/min</w:t>
            </w:r>
          </w:p>
        </w:tc>
        <w:tc>
          <w:tcPr>
            <w:tcW w:w="3653" w:type="dxa"/>
          </w:tcPr>
          <w:p w14:paraId="6996898F">
            <w:pPr>
              <w:spacing w:line="360" w:lineRule="auto"/>
              <w:jc w:val="center"/>
              <w:rPr>
                <w:rFonts w:hint="eastAsia" w:ascii="宋体" w:hAnsi="宋体" w:eastAsia="宋体" w:cs="宋体"/>
                <w:color w:val="000000"/>
                <w:position w:val="-34"/>
                <w:sz w:val="21"/>
                <w:szCs w:val="21"/>
              </w:rPr>
            </w:pPr>
            <w:r>
              <w:rPr>
                <w:rFonts w:hint="eastAsia" w:ascii="宋体" w:hAnsi="宋体" w:eastAsia="宋体" w:cs="宋体"/>
                <w:color w:val="000000"/>
                <w:position w:val="-34"/>
                <w:sz w:val="21"/>
                <w:szCs w:val="21"/>
              </w:rPr>
              <w:t>200</w:t>
            </w:r>
          </w:p>
        </w:tc>
      </w:tr>
    </w:tbl>
    <w:p w14:paraId="7A5E6024">
      <w:pPr>
        <w:pStyle w:val="6"/>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3.4整定值</w:t>
      </w:r>
    </w:p>
    <w:tbl>
      <w:tblPr>
        <w:tblStyle w:val="15"/>
        <w:tblW w:w="8954" w:type="dxa"/>
        <w:tblInd w:w="9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585"/>
        <w:gridCol w:w="700"/>
        <w:gridCol w:w="26"/>
        <w:gridCol w:w="1586"/>
        <w:gridCol w:w="1166"/>
        <w:gridCol w:w="3891"/>
      </w:tblGrid>
      <w:tr w14:paraId="2F915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342DBA3A">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排汽压力高限报警</w:t>
            </w:r>
          </w:p>
        </w:tc>
        <w:tc>
          <w:tcPr>
            <w:tcW w:w="1166" w:type="dxa"/>
            <w:vAlign w:val="center"/>
          </w:tcPr>
          <w:p w14:paraId="635A41CE">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251214A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-0.084（表）</w:t>
            </w:r>
          </w:p>
        </w:tc>
      </w:tr>
      <w:tr w14:paraId="05FD1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61D3EEC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排汽安全阀开启压力</w:t>
            </w:r>
          </w:p>
        </w:tc>
        <w:tc>
          <w:tcPr>
            <w:tcW w:w="1166" w:type="dxa"/>
            <w:vAlign w:val="center"/>
          </w:tcPr>
          <w:p w14:paraId="01B006C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43F7A28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-0.040（表）</w:t>
            </w:r>
          </w:p>
        </w:tc>
      </w:tr>
      <w:tr w14:paraId="54B22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3897" w:type="dxa"/>
            <w:gridSpan w:val="4"/>
            <w:vAlign w:val="center"/>
          </w:tcPr>
          <w:p w14:paraId="3F6CD207">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排汽温度高限报警</w:t>
            </w:r>
          </w:p>
        </w:tc>
        <w:tc>
          <w:tcPr>
            <w:tcW w:w="1166" w:type="dxa"/>
            <w:vAlign w:val="center"/>
          </w:tcPr>
          <w:p w14:paraId="6A30F367">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48F4CA8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80（表）</w:t>
            </w:r>
          </w:p>
        </w:tc>
      </w:tr>
      <w:tr w14:paraId="7A7E2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restart"/>
            <w:vAlign w:val="center"/>
          </w:tcPr>
          <w:p w14:paraId="5C81C3D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润滑油压</w:t>
            </w:r>
          </w:p>
          <w:p w14:paraId="7EBEBD7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降低保护</w:t>
            </w:r>
          </w:p>
        </w:tc>
        <w:tc>
          <w:tcPr>
            <w:tcW w:w="2312" w:type="dxa"/>
            <w:gridSpan w:val="3"/>
            <w:vAlign w:val="center"/>
          </w:tcPr>
          <w:p w14:paraId="6DE28E26">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报 警</w:t>
            </w:r>
          </w:p>
        </w:tc>
        <w:tc>
          <w:tcPr>
            <w:tcW w:w="1166" w:type="dxa"/>
            <w:vAlign w:val="center"/>
          </w:tcPr>
          <w:p w14:paraId="6910457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24D3C602">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0.07（表）</w:t>
            </w:r>
          </w:p>
        </w:tc>
      </w:tr>
      <w:tr w14:paraId="3455B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006CE3DD">
            <w:pPr>
              <w:spacing w:line="360" w:lineRule="auto"/>
              <w:rPr>
                <w:rFonts w:hint="eastAsia" w:ascii="宋体" w:hAnsi="宋体" w:eastAsia="宋体" w:cs="宋体"/>
                <w:color w:val="000000"/>
                <w:sz w:val="21"/>
                <w:szCs w:val="21"/>
              </w:rPr>
            </w:pPr>
          </w:p>
        </w:tc>
        <w:tc>
          <w:tcPr>
            <w:tcW w:w="2312" w:type="dxa"/>
            <w:gridSpan w:val="3"/>
            <w:vAlign w:val="center"/>
          </w:tcPr>
          <w:p w14:paraId="5D24F4DB">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交流润滑油泵投入</w:t>
            </w:r>
          </w:p>
        </w:tc>
        <w:tc>
          <w:tcPr>
            <w:tcW w:w="1166" w:type="dxa"/>
            <w:vAlign w:val="center"/>
          </w:tcPr>
          <w:p w14:paraId="58119A1C">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6B9C740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0.06（表）</w:t>
            </w:r>
          </w:p>
        </w:tc>
      </w:tr>
      <w:tr w14:paraId="6E3D4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4C7944B4">
            <w:pPr>
              <w:spacing w:line="360" w:lineRule="auto"/>
              <w:rPr>
                <w:rFonts w:hint="eastAsia" w:ascii="宋体" w:hAnsi="宋体" w:eastAsia="宋体" w:cs="宋体"/>
                <w:color w:val="000000"/>
                <w:sz w:val="21"/>
                <w:szCs w:val="21"/>
              </w:rPr>
            </w:pPr>
          </w:p>
        </w:tc>
        <w:tc>
          <w:tcPr>
            <w:tcW w:w="2312" w:type="dxa"/>
            <w:gridSpan w:val="3"/>
            <w:vAlign w:val="center"/>
          </w:tcPr>
          <w:p w14:paraId="6E0AA4D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直流润滑油泵投入</w:t>
            </w:r>
          </w:p>
        </w:tc>
        <w:tc>
          <w:tcPr>
            <w:tcW w:w="1166" w:type="dxa"/>
            <w:vAlign w:val="center"/>
          </w:tcPr>
          <w:p w14:paraId="724F9AC6">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0A3DE9B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0.04（表）</w:t>
            </w:r>
          </w:p>
        </w:tc>
      </w:tr>
      <w:tr w14:paraId="31866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6B27D6CD">
            <w:pPr>
              <w:spacing w:line="360" w:lineRule="auto"/>
              <w:rPr>
                <w:rFonts w:hint="eastAsia" w:ascii="宋体" w:hAnsi="宋体" w:eastAsia="宋体" w:cs="宋体"/>
                <w:color w:val="000000"/>
                <w:sz w:val="21"/>
                <w:szCs w:val="21"/>
              </w:rPr>
            </w:pPr>
          </w:p>
        </w:tc>
        <w:tc>
          <w:tcPr>
            <w:tcW w:w="2312" w:type="dxa"/>
            <w:gridSpan w:val="3"/>
            <w:vAlign w:val="center"/>
          </w:tcPr>
          <w:p w14:paraId="0AD8A7A9">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停 机</w:t>
            </w:r>
          </w:p>
        </w:tc>
        <w:tc>
          <w:tcPr>
            <w:tcW w:w="1166" w:type="dxa"/>
            <w:vAlign w:val="center"/>
          </w:tcPr>
          <w:p w14:paraId="076DBF7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35532488">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0.04（表）</w:t>
            </w:r>
          </w:p>
        </w:tc>
      </w:tr>
      <w:tr w14:paraId="4E0AB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897" w:type="dxa"/>
            <w:gridSpan w:val="4"/>
            <w:vAlign w:val="center"/>
          </w:tcPr>
          <w:p w14:paraId="0FBBAC77">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高压油压力低启备泵</w:t>
            </w:r>
          </w:p>
        </w:tc>
        <w:tc>
          <w:tcPr>
            <w:tcW w:w="1166" w:type="dxa"/>
            <w:vAlign w:val="center"/>
          </w:tcPr>
          <w:p w14:paraId="6B1BFBA4">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0A3891A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0.48（表）</w:t>
            </w:r>
          </w:p>
        </w:tc>
      </w:tr>
      <w:tr w14:paraId="2B210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3897" w:type="dxa"/>
            <w:gridSpan w:val="4"/>
            <w:vAlign w:val="center"/>
          </w:tcPr>
          <w:p w14:paraId="4C963F1D">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保安油压力低停机</w:t>
            </w:r>
          </w:p>
        </w:tc>
        <w:tc>
          <w:tcPr>
            <w:tcW w:w="1166" w:type="dxa"/>
            <w:vAlign w:val="center"/>
          </w:tcPr>
          <w:p w14:paraId="758E9859">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Mpa</w:t>
            </w:r>
          </w:p>
        </w:tc>
        <w:tc>
          <w:tcPr>
            <w:tcW w:w="3891" w:type="dxa"/>
            <w:vAlign w:val="center"/>
          </w:tcPr>
          <w:p w14:paraId="34D264A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0.2（表）</w:t>
            </w:r>
          </w:p>
        </w:tc>
      </w:tr>
      <w:tr w14:paraId="28B2E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restart"/>
            <w:vAlign w:val="center"/>
          </w:tcPr>
          <w:p w14:paraId="01800D60">
            <w:pPr>
              <w:spacing w:line="360" w:lineRule="auto"/>
              <w:rPr>
                <w:rFonts w:hint="eastAsia" w:ascii="宋体" w:hAnsi="宋体" w:eastAsia="宋体" w:cs="宋体"/>
                <w:sz w:val="21"/>
                <w:szCs w:val="21"/>
              </w:rPr>
            </w:pPr>
            <w:r>
              <w:rPr>
                <w:rFonts w:hint="eastAsia" w:ascii="宋体" w:hAnsi="宋体" w:eastAsia="宋体" w:cs="宋体"/>
                <w:sz w:val="21"/>
                <w:szCs w:val="21"/>
              </w:rPr>
              <w:t>轴承温度</w:t>
            </w:r>
          </w:p>
          <w:p w14:paraId="3715912B">
            <w:pPr>
              <w:spacing w:line="360" w:lineRule="auto"/>
              <w:rPr>
                <w:rFonts w:hint="eastAsia" w:ascii="宋体" w:hAnsi="宋体" w:eastAsia="宋体" w:cs="宋体"/>
                <w:sz w:val="21"/>
                <w:szCs w:val="21"/>
              </w:rPr>
            </w:pPr>
            <w:r>
              <w:rPr>
                <w:rFonts w:hint="eastAsia" w:ascii="宋体" w:hAnsi="宋体" w:eastAsia="宋体" w:cs="宋体"/>
                <w:sz w:val="21"/>
                <w:szCs w:val="21"/>
              </w:rPr>
              <w:t>升高保护</w:t>
            </w:r>
          </w:p>
        </w:tc>
        <w:tc>
          <w:tcPr>
            <w:tcW w:w="700" w:type="dxa"/>
            <w:vMerge w:val="restart"/>
            <w:vAlign w:val="center"/>
          </w:tcPr>
          <w:p w14:paraId="1AB3068E">
            <w:pPr>
              <w:spacing w:line="360" w:lineRule="auto"/>
              <w:rPr>
                <w:rFonts w:hint="eastAsia" w:ascii="宋体" w:hAnsi="宋体" w:eastAsia="宋体" w:cs="宋体"/>
                <w:sz w:val="21"/>
                <w:szCs w:val="21"/>
              </w:rPr>
            </w:pPr>
            <w:r>
              <w:rPr>
                <w:rFonts w:hint="eastAsia" w:ascii="宋体" w:hAnsi="宋体" w:eastAsia="宋体" w:cs="宋体"/>
                <w:sz w:val="21"/>
                <w:szCs w:val="21"/>
              </w:rPr>
              <w:t>报 警</w:t>
            </w:r>
          </w:p>
        </w:tc>
        <w:tc>
          <w:tcPr>
            <w:tcW w:w="1612" w:type="dxa"/>
            <w:gridSpan w:val="2"/>
            <w:vAlign w:val="center"/>
          </w:tcPr>
          <w:p w14:paraId="6967A694">
            <w:pPr>
              <w:spacing w:line="360" w:lineRule="auto"/>
              <w:rPr>
                <w:rFonts w:hint="eastAsia" w:ascii="宋体" w:hAnsi="宋体" w:eastAsia="宋体" w:cs="宋体"/>
                <w:sz w:val="21"/>
                <w:szCs w:val="21"/>
              </w:rPr>
            </w:pPr>
            <w:r>
              <w:rPr>
                <w:rFonts w:hint="eastAsia" w:ascii="宋体" w:hAnsi="宋体" w:eastAsia="宋体" w:cs="宋体"/>
                <w:sz w:val="21"/>
                <w:szCs w:val="21"/>
              </w:rPr>
              <w:t>回 油 温 度</w:t>
            </w:r>
          </w:p>
        </w:tc>
        <w:tc>
          <w:tcPr>
            <w:tcW w:w="1166" w:type="dxa"/>
            <w:vAlign w:val="center"/>
          </w:tcPr>
          <w:p w14:paraId="1BC4B96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3891" w:type="dxa"/>
            <w:vAlign w:val="center"/>
          </w:tcPr>
          <w:p w14:paraId="32A7AD5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r>
      <w:tr w14:paraId="07531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1" w:hRule="atLeast"/>
        </w:trPr>
        <w:tc>
          <w:tcPr>
            <w:tcW w:w="1585" w:type="dxa"/>
            <w:vMerge w:val="continue"/>
            <w:vAlign w:val="center"/>
          </w:tcPr>
          <w:p w14:paraId="4B47F5CB">
            <w:pPr>
              <w:spacing w:line="360" w:lineRule="auto"/>
              <w:rPr>
                <w:rFonts w:hint="eastAsia" w:ascii="宋体" w:hAnsi="宋体" w:eastAsia="宋体" w:cs="宋体"/>
                <w:color w:val="000000"/>
                <w:sz w:val="21"/>
                <w:szCs w:val="21"/>
              </w:rPr>
            </w:pPr>
          </w:p>
        </w:tc>
        <w:tc>
          <w:tcPr>
            <w:tcW w:w="700" w:type="dxa"/>
            <w:vMerge w:val="continue"/>
            <w:vAlign w:val="center"/>
          </w:tcPr>
          <w:p w14:paraId="16B77E06">
            <w:pPr>
              <w:spacing w:line="360" w:lineRule="auto"/>
              <w:rPr>
                <w:rFonts w:hint="eastAsia" w:ascii="宋体" w:hAnsi="宋体" w:eastAsia="宋体" w:cs="宋体"/>
                <w:color w:val="000000"/>
                <w:sz w:val="21"/>
                <w:szCs w:val="21"/>
              </w:rPr>
            </w:pPr>
          </w:p>
        </w:tc>
        <w:tc>
          <w:tcPr>
            <w:tcW w:w="1612" w:type="dxa"/>
            <w:gridSpan w:val="2"/>
            <w:vAlign w:val="center"/>
          </w:tcPr>
          <w:p w14:paraId="11AF1D1B">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温 度</w:t>
            </w:r>
          </w:p>
        </w:tc>
        <w:tc>
          <w:tcPr>
            <w:tcW w:w="1166" w:type="dxa"/>
            <w:vAlign w:val="center"/>
          </w:tcPr>
          <w:p w14:paraId="286D424A">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02235440">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r>
      <w:tr w14:paraId="4AF6B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7277F298">
            <w:pPr>
              <w:spacing w:line="360" w:lineRule="auto"/>
              <w:rPr>
                <w:rFonts w:hint="eastAsia" w:ascii="宋体" w:hAnsi="宋体" w:eastAsia="宋体" w:cs="宋体"/>
                <w:color w:val="000000"/>
                <w:sz w:val="21"/>
                <w:szCs w:val="21"/>
              </w:rPr>
            </w:pPr>
          </w:p>
        </w:tc>
        <w:tc>
          <w:tcPr>
            <w:tcW w:w="700" w:type="dxa"/>
            <w:vMerge w:val="restart"/>
            <w:shd w:val="clear" w:color="auto" w:fill="auto"/>
            <w:vAlign w:val="center"/>
          </w:tcPr>
          <w:p w14:paraId="6FEF3D75">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 机</w:t>
            </w:r>
          </w:p>
        </w:tc>
        <w:tc>
          <w:tcPr>
            <w:tcW w:w="1612" w:type="dxa"/>
            <w:gridSpan w:val="2"/>
            <w:shd w:val="clear" w:color="auto" w:fill="auto"/>
            <w:vAlign w:val="center"/>
          </w:tcPr>
          <w:p w14:paraId="786CC0E8">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回 油 温 度</w:t>
            </w:r>
          </w:p>
        </w:tc>
        <w:tc>
          <w:tcPr>
            <w:tcW w:w="1166" w:type="dxa"/>
            <w:vAlign w:val="center"/>
          </w:tcPr>
          <w:p w14:paraId="37683C16">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2EBF9DB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r>
      <w:tr w14:paraId="49242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16A007F9">
            <w:pPr>
              <w:spacing w:line="360" w:lineRule="auto"/>
              <w:rPr>
                <w:rFonts w:hint="eastAsia" w:ascii="宋体" w:hAnsi="宋体" w:eastAsia="宋体" w:cs="宋体"/>
                <w:color w:val="000000"/>
                <w:sz w:val="21"/>
                <w:szCs w:val="21"/>
              </w:rPr>
            </w:pPr>
          </w:p>
        </w:tc>
        <w:tc>
          <w:tcPr>
            <w:tcW w:w="700" w:type="dxa"/>
            <w:vMerge w:val="continue"/>
            <w:shd w:val="clear" w:color="auto" w:fill="auto"/>
            <w:vAlign w:val="center"/>
          </w:tcPr>
          <w:p w14:paraId="6F042762">
            <w:pPr>
              <w:spacing w:line="360" w:lineRule="auto"/>
              <w:rPr>
                <w:rFonts w:hint="eastAsia" w:ascii="宋体" w:hAnsi="宋体" w:eastAsia="宋体" w:cs="宋体"/>
                <w:color w:val="000000"/>
                <w:sz w:val="21"/>
                <w:szCs w:val="21"/>
              </w:rPr>
            </w:pPr>
          </w:p>
        </w:tc>
        <w:tc>
          <w:tcPr>
            <w:tcW w:w="1612" w:type="dxa"/>
            <w:gridSpan w:val="2"/>
            <w:shd w:val="clear" w:color="auto" w:fill="auto"/>
            <w:vAlign w:val="center"/>
          </w:tcPr>
          <w:p w14:paraId="5CCD43B9">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温 度</w:t>
            </w:r>
          </w:p>
        </w:tc>
        <w:tc>
          <w:tcPr>
            <w:tcW w:w="1166" w:type="dxa"/>
            <w:vAlign w:val="center"/>
          </w:tcPr>
          <w:p w14:paraId="7D9C9C2B">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w:t>
            </w:r>
          </w:p>
        </w:tc>
        <w:tc>
          <w:tcPr>
            <w:tcW w:w="3891" w:type="dxa"/>
            <w:vAlign w:val="center"/>
          </w:tcPr>
          <w:p w14:paraId="520D2AE5">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r>
      <w:tr w14:paraId="0BA99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restart"/>
            <w:shd w:val="clear" w:color="auto" w:fill="auto"/>
            <w:vAlign w:val="center"/>
          </w:tcPr>
          <w:p w14:paraId="1E776325">
            <w:pPr>
              <w:spacing w:line="360" w:lineRule="auto"/>
              <w:rPr>
                <w:rFonts w:hint="eastAsia" w:ascii="宋体" w:hAnsi="宋体" w:eastAsia="宋体" w:cs="宋体"/>
                <w:sz w:val="21"/>
                <w:szCs w:val="21"/>
              </w:rPr>
            </w:pPr>
            <w:r>
              <w:rPr>
                <w:rFonts w:hint="eastAsia" w:ascii="宋体" w:hAnsi="宋体" w:eastAsia="宋体" w:cs="宋体"/>
                <w:sz w:val="21"/>
                <w:szCs w:val="21"/>
              </w:rPr>
              <w:t>轴瓦振动</w:t>
            </w:r>
          </w:p>
        </w:tc>
        <w:tc>
          <w:tcPr>
            <w:tcW w:w="726" w:type="dxa"/>
            <w:gridSpan w:val="2"/>
            <w:shd w:val="clear" w:color="auto" w:fill="auto"/>
            <w:vAlign w:val="center"/>
          </w:tcPr>
          <w:p w14:paraId="20696096">
            <w:pPr>
              <w:spacing w:line="360" w:lineRule="auto"/>
              <w:rPr>
                <w:rFonts w:hint="eastAsia" w:ascii="宋体" w:hAnsi="宋体" w:eastAsia="宋体" w:cs="宋体"/>
                <w:sz w:val="21"/>
                <w:szCs w:val="21"/>
              </w:rPr>
            </w:pPr>
            <w:r>
              <w:rPr>
                <w:rFonts w:hint="eastAsia" w:ascii="宋体" w:hAnsi="宋体" w:eastAsia="宋体" w:cs="宋体"/>
                <w:sz w:val="21"/>
                <w:szCs w:val="21"/>
              </w:rPr>
              <w:t>报警</w:t>
            </w:r>
          </w:p>
        </w:tc>
        <w:tc>
          <w:tcPr>
            <w:tcW w:w="1586" w:type="dxa"/>
            <w:shd w:val="clear" w:color="auto" w:fill="auto"/>
            <w:vAlign w:val="center"/>
          </w:tcPr>
          <w:p w14:paraId="67B176D7">
            <w:pPr>
              <w:spacing w:line="360" w:lineRule="auto"/>
              <w:rPr>
                <w:rFonts w:hint="eastAsia" w:ascii="宋体" w:hAnsi="宋体" w:eastAsia="宋体" w:cs="宋体"/>
                <w:sz w:val="21"/>
                <w:szCs w:val="21"/>
              </w:rPr>
            </w:pPr>
            <w:r>
              <w:rPr>
                <w:rFonts w:hint="eastAsia" w:ascii="宋体" w:hAnsi="宋体" w:eastAsia="宋体" w:cs="宋体"/>
                <w:sz w:val="21"/>
                <w:szCs w:val="21"/>
              </w:rPr>
              <w:t>轴 瓦 振 动</w:t>
            </w:r>
          </w:p>
        </w:tc>
        <w:tc>
          <w:tcPr>
            <w:tcW w:w="1166" w:type="dxa"/>
            <w:vAlign w:val="center"/>
          </w:tcPr>
          <w:p w14:paraId="098AFE4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μm</w:t>
            </w:r>
          </w:p>
        </w:tc>
        <w:tc>
          <w:tcPr>
            <w:tcW w:w="3891" w:type="dxa"/>
            <w:vAlign w:val="center"/>
          </w:tcPr>
          <w:p w14:paraId="3137AD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50</w:t>
            </w:r>
          </w:p>
        </w:tc>
      </w:tr>
      <w:tr w14:paraId="38B25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7E688757">
            <w:pPr>
              <w:spacing w:line="360" w:lineRule="auto"/>
              <w:rPr>
                <w:rFonts w:hint="eastAsia" w:ascii="宋体" w:hAnsi="宋体" w:eastAsia="宋体" w:cs="宋体"/>
                <w:color w:val="000000"/>
                <w:sz w:val="21"/>
                <w:szCs w:val="21"/>
              </w:rPr>
            </w:pPr>
          </w:p>
        </w:tc>
        <w:tc>
          <w:tcPr>
            <w:tcW w:w="726" w:type="dxa"/>
            <w:gridSpan w:val="2"/>
            <w:shd w:val="clear" w:color="auto" w:fill="auto"/>
            <w:vAlign w:val="center"/>
          </w:tcPr>
          <w:p w14:paraId="2C715A72">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停机</w:t>
            </w:r>
          </w:p>
        </w:tc>
        <w:tc>
          <w:tcPr>
            <w:tcW w:w="1586" w:type="dxa"/>
            <w:shd w:val="clear" w:color="auto" w:fill="auto"/>
            <w:vAlign w:val="center"/>
          </w:tcPr>
          <w:p w14:paraId="733599D6">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瓦 振 动</w:t>
            </w:r>
          </w:p>
        </w:tc>
        <w:tc>
          <w:tcPr>
            <w:tcW w:w="1166" w:type="dxa"/>
            <w:vAlign w:val="center"/>
          </w:tcPr>
          <w:p w14:paraId="73B6495C">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μm</w:t>
            </w:r>
          </w:p>
        </w:tc>
        <w:tc>
          <w:tcPr>
            <w:tcW w:w="3891" w:type="dxa"/>
            <w:vAlign w:val="center"/>
          </w:tcPr>
          <w:p w14:paraId="1195AE6E">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70</w:t>
            </w:r>
          </w:p>
        </w:tc>
      </w:tr>
      <w:tr w14:paraId="0C1F4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restart"/>
            <w:shd w:val="clear" w:color="auto" w:fill="auto"/>
            <w:vAlign w:val="center"/>
          </w:tcPr>
          <w:p w14:paraId="151F09F2">
            <w:pPr>
              <w:spacing w:line="360" w:lineRule="auto"/>
              <w:rPr>
                <w:rFonts w:hint="eastAsia" w:ascii="宋体" w:hAnsi="宋体" w:eastAsia="宋体" w:cs="宋体"/>
                <w:sz w:val="21"/>
                <w:szCs w:val="21"/>
              </w:rPr>
            </w:pPr>
            <w:r>
              <w:rPr>
                <w:rFonts w:hint="eastAsia" w:ascii="宋体" w:hAnsi="宋体" w:eastAsia="宋体" w:cs="宋体"/>
                <w:sz w:val="21"/>
                <w:szCs w:val="21"/>
              </w:rPr>
              <w:t>轴向位移</w:t>
            </w:r>
          </w:p>
        </w:tc>
        <w:tc>
          <w:tcPr>
            <w:tcW w:w="726" w:type="dxa"/>
            <w:gridSpan w:val="2"/>
            <w:shd w:val="clear" w:color="auto" w:fill="auto"/>
            <w:vAlign w:val="center"/>
          </w:tcPr>
          <w:p w14:paraId="73C692FC">
            <w:pPr>
              <w:spacing w:line="360" w:lineRule="auto"/>
              <w:rPr>
                <w:rFonts w:hint="eastAsia" w:ascii="宋体" w:hAnsi="宋体" w:eastAsia="宋体" w:cs="宋体"/>
                <w:sz w:val="21"/>
                <w:szCs w:val="21"/>
              </w:rPr>
            </w:pPr>
            <w:r>
              <w:rPr>
                <w:rFonts w:hint="eastAsia" w:ascii="宋体" w:hAnsi="宋体" w:eastAsia="宋体" w:cs="宋体"/>
                <w:sz w:val="21"/>
                <w:szCs w:val="21"/>
              </w:rPr>
              <w:t>报警</w:t>
            </w:r>
          </w:p>
        </w:tc>
        <w:tc>
          <w:tcPr>
            <w:tcW w:w="1586" w:type="dxa"/>
            <w:shd w:val="clear" w:color="auto" w:fill="auto"/>
            <w:vAlign w:val="center"/>
          </w:tcPr>
          <w:p w14:paraId="59A162C3">
            <w:pPr>
              <w:spacing w:line="360" w:lineRule="auto"/>
              <w:rPr>
                <w:rFonts w:hint="eastAsia" w:ascii="宋体" w:hAnsi="宋体" w:eastAsia="宋体" w:cs="宋体"/>
                <w:sz w:val="21"/>
                <w:szCs w:val="21"/>
              </w:rPr>
            </w:pPr>
            <w:r>
              <w:rPr>
                <w:rFonts w:hint="eastAsia" w:ascii="宋体" w:hAnsi="宋体" w:eastAsia="宋体" w:cs="宋体"/>
                <w:sz w:val="21"/>
                <w:szCs w:val="21"/>
              </w:rPr>
              <w:t>轴 向 位 移</w:t>
            </w:r>
          </w:p>
        </w:tc>
        <w:tc>
          <w:tcPr>
            <w:tcW w:w="1166" w:type="dxa"/>
            <w:vAlign w:val="center"/>
          </w:tcPr>
          <w:p w14:paraId="7198CB1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mm</w:t>
            </w:r>
          </w:p>
        </w:tc>
        <w:tc>
          <w:tcPr>
            <w:tcW w:w="3891" w:type="dxa"/>
            <w:vAlign w:val="center"/>
          </w:tcPr>
          <w:p w14:paraId="74F24B6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w:t>
            </w:r>
          </w:p>
        </w:tc>
      </w:tr>
      <w:tr w14:paraId="03758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trHeight w:val="431" w:hRule="atLeast"/>
        </w:trPr>
        <w:tc>
          <w:tcPr>
            <w:tcW w:w="1585" w:type="dxa"/>
            <w:vMerge w:val="continue"/>
            <w:shd w:val="clear" w:color="auto" w:fill="auto"/>
            <w:vAlign w:val="center"/>
          </w:tcPr>
          <w:p w14:paraId="00F360A5">
            <w:pPr>
              <w:spacing w:line="360" w:lineRule="auto"/>
              <w:rPr>
                <w:rFonts w:hint="eastAsia" w:ascii="宋体" w:hAnsi="宋体" w:eastAsia="宋体" w:cs="宋体"/>
                <w:color w:val="000000"/>
                <w:sz w:val="21"/>
                <w:szCs w:val="21"/>
              </w:rPr>
            </w:pPr>
          </w:p>
        </w:tc>
        <w:tc>
          <w:tcPr>
            <w:tcW w:w="726" w:type="dxa"/>
            <w:gridSpan w:val="2"/>
            <w:shd w:val="clear" w:color="auto" w:fill="auto"/>
            <w:vAlign w:val="center"/>
          </w:tcPr>
          <w:p w14:paraId="178F3932">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停机</w:t>
            </w:r>
          </w:p>
        </w:tc>
        <w:tc>
          <w:tcPr>
            <w:tcW w:w="1586" w:type="dxa"/>
            <w:shd w:val="clear" w:color="auto" w:fill="auto"/>
            <w:vAlign w:val="center"/>
          </w:tcPr>
          <w:p w14:paraId="78A65DF9">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t>轴 向 位 移</w:t>
            </w:r>
          </w:p>
        </w:tc>
        <w:tc>
          <w:tcPr>
            <w:tcW w:w="1166" w:type="dxa"/>
            <w:vAlign w:val="center"/>
          </w:tcPr>
          <w:p w14:paraId="26F33B89">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mm</w:t>
            </w:r>
          </w:p>
        </w:tc>
        <w:tc>
          <w:tcPr>
            <w:tcW w:w="3891" w:type="dxa"/>
            <w:vAlign w:val="center"/>
          </w:tcPr>
          <w:p w14:paraId="371BB1D0">
            <w:pPr>
              <w:spacing w:line="360" w:lineRule="auto"/>
              <w:jc w:val="center"/>
              <w:rPr>
                <w:rFonts w:hint="eastAsia" w:ascii="宋体" w:hAnsi="宋体" w:eastAsia="宋体" w:cs="宋体"/>
                <w:color w:val="000000"/>
                <w:sz w:val="21"/>
                <w:szCs w:val="21"/>
              </w:rPr>
            </w:pPr>
            <w:r>
              <w:rPr>
                <w:rFonts w:hint="eastAsia" w:ascii="宋体" w:hAnsi="宋体" w:eastAsia="宋体" w:cs="宋体"/>
                <w:sz w:val="21"/>
                <w:szCs w:val="21"/>
              </w:rPr>
              <w:t>0.7</w:t>
            </w:r>
          </w:p>
        </w:tc>
      </w:tr>
    </w:tbl>
    <w:p w14:paraId="05E55B6D">
      <w:pPr>
        <w:pStyle w:val="8"/>
        <w:ind w:left="0" w:leftChars="0" w:firstLine="0" w:firstLineChars="0"/>
        <w:rPr>
          <w:rFonts w:hint="default"/>
          <w:lang w:val="en-US" w:eastAsia="zh-CN"/>
        </w:rPr>
      </w:pPr>
    </w:p>
    <w:p w14:paraId="60335F9C">
      <w:pPr>
        <w:pStyle w:val="6"/>
        <w:numPr>
          <w:ilvl w:val="0"/>
          <w:numId w:val="0"/>
        </w:numPr>
        <w:ind w:firstLine="482" w:firstLineChars="200"/>
        <w:rPr>
          <w:rFonts w:hint="eastAsia" w:ascii="宋体"/>
          <w:b/>
          <w:bCs/>
          <w:color w:val="auto"/>
          <w:lang w:val="en-US" w:eastAsia="zh-CN"/>
        </w:rPr>
      </w:pPr>
      <w:bookmarkStart w:id="19" w:name="_Toc27129"/>
      <w:r>
        <w:rPr>
          <w:rFonts w:hint="eastAsia" w:ascii="宋体"/>
          <w:b/>
          <w:bCs/>
          <w:color w:val="auto"/>
          <w:lang w:val="en-US" w:eastAsia="zh-CN"/>
        </w:rPr>
        <w:t>3.5主要辅助设备</w:t>
      </w:r>
      <w:bookmarkEnd w:id="19"/>
    </w:p>
    <w:tbl>
      <w:tblPr>
        <w:tblStyle w:val="15"/>
        <w:tblW w:w="8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1988"/>
        <w:gridCol w:w="1254"/>
        <w:gridCol w:w="1081"/>
        <w:gridCol w:w="1107"/>
        <w:gridCol w:w="3031"/>
      </w:tblGrid>
      <w:tr w14:paraId="5E23D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32CD615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xml:space="preserve"> 交流油泵</w:t>
            </w:r>
          </w:p>
        </w:tc>
        <w:tc>
          <w:tcPr>
            <w:tcW w:w="2335" w:type="dxa"/>
            <w:gridSpan w:val="2"/>
            <w:vAlign w:val="center"/>
          </w:tcPr>
          <w:p w14:paraId="181BDE2C">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6A28DFAA">
            <w:pPr>
              <w:spacing w:line="360" w:lineRule="auto"/>
              <w:jc w:val="center"/>
              <w:rPr>
                <w:rFonts w:hint="eastAsia" w:ascii="宋体" w:hAnsi="宋体" w:eastAsia="宋体" w:cs="宋体"/>
                <w:color w:val="000000"/>
                <w:szCs w:val="21"/>
              </w:rPr>
            </w:pPr>
          </w:p>
        </w:tc>
        <w:tc>
          <w:tcPr>
            <w:tcW w:w="3031" w:type="dxa"/>
            <w:vAlign w:val="center"/>
          </w:tcPr>
          <w:p w14:paraId="5AC4D93F">
            <w:pPr>
              <w:spacing w:line="360" w:lineRule="auto"/>
              <w:jc w:val="center"/>
              <w:rPr>
                <w:rFonts w:hint="eastAsia" w:ascii="宋体" w:hAnsi="宋体" w:eastAsia="宋体" w:cs="宋体"/>
                <w:color w:val="000000"/>
                <w:szCs w:val="21"/>
              </w:rPr>
            </w:pPr>
          </w:p>
        </w:tc>
      </w:tr>
      <w:tr w14:paraId="608FB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D3B01C0">
            <w:pPr>
              <w:spacing w:line="360" w:lineRule="auto"/>
              <w:jc w:val="center"/>
              <w:rPr>
                <w:rFonts w:hint="eastAsia" w:ascii="宋体" w:hAnsi="宋体" w:eastAsia="宋体" w:cs="宋体"/>
                <w:color w:val="000000"/>
                <w:szCs w:val="21"/>
              </w:rPr>
            </w:pPr>
          </w:p>
        </w:tc>
        <w:tc>
          <w:tcPr>
            <w:tcW w:w="2335" w:type="dxa"/>
            <w:gridSpan w:val="2"/>
            <w:vAlign w:val="center"/>
          </w:tcPr>
          <w:p w14:paraId="6F91425D">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3A459DB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2195CA6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72966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8EA21AF">
            <w:pPr>
              <w:spacing w:line="360" w:lineRule="auto"/>
              <w:jc w:val="center"/>
              <w:rPr>
                <w:rFonts w:hint="eastAsia" w:ascii="宋体" w:hAnsi="宋体" w:eastAsia="宋体" w:cs="宋体"/>
                <w:color w:val="000000"/>
                <w:szCs w:val="21"/>
              </w:rPr>
            </w:pPr>
          </w:p>
        </w:tc>
        <w:tc>
          <w:tcPr>
            <w:tcW w:w="2335" w:type="dxa"/>
            <w:gridSpan w:val="2"/>
            <w:vAlign w:val="center"/>
          </w:tcPr>
          <w:p w14:paraId="2168E8ED">
            <w:pPr>
              <w:spacing w:line="360" w:lineRule="auto"/>
              <w:rPr>
                <w:rFonts w:hint="eastAsia" w:ascii="宋体" w:hAnsi="宋体" w:eastAsia="宋体" w:cs="宋体"/>
                <w:color w:val="000000"/>
                <w:szCs w:val="21"/>
              </w:rPr>
            </w:pPr>
            <w:r>
              <w:rPr>
                <w:rFonts w:hint="eastAsia" w:ascii="宋体" w:hAnsi="宋体" w:eastAsia="宋体" w:cs="宋体"/>
                <w:color w:val="000000"/>
                <w:szCs w:val="21"/>
              </w:rPr>
              <w:t>流  量</w:t>
            </w:r>
          </w:p>
        </w:tc>
        <w:tc>
          <w:tcPr>
            <w:tcW w:w="1107" w:type="dxa"/>
            <w:vAlign w:val="center"/>
          </w:tcPr>
          <w:p w14:paraId="56404BA4">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L/h</w:t>
            </w:r>
          </w:p>
        </w:tc>
        <w:tc>
          <w:tcPr>
            <w:tcW w:w="3031" w:type="dxa"/>
            <w:vAlign w:val="center"/>
          </w:tcPr>
          <w:p w14:paraId="54AA8B3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200</w:t>
            </w:r>
          </w:p>
        </w:tc>
      </w:tr>
      <w:tr w14:paraId="58C51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DE70676">
            <w:pPr>
              <w:spacing w:line="360" w:lineRule="auto"/>
              <w:jc w:val="center"/>
              <w:rPr>
                <w:rFonts w:hint="eastAsia" w:ascii="宋体" w:hAnsi="宋体" w:eastAsia="宋体" w:cs="宋体"/>
                <w:color w:val="000000"/>
                <w:szCs w:val="21"/>
              </w:rPr>
            </w:pPr>
          </w:p>
        </w:tc>
        <w:tc>
          <w:tcPr>
            <w:tcW w:w="2335" w:type="dxa"/>
            <w:gridSpan w:val="2"/>
            <w:vAlign w:val="center"/>
          </w:tcPr>
          <w:p w14:paraId="22272E6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压  力</w:t>
            </w:r>
          </w:p>
        </w:tc>
        <w:tc>
          <w:tcPr>
            <w:tcW w:w="1107" w:type="dxa"/>
            <w:vAlign w:val="center"/>
          </w:tcPr>
          <w:p w14:paraId="06AF2A1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031" w:type="dxa"/>
            <w:vAlign w:val="center"/>
          </w:tcPr>
          <w:p w14:paraId="732D2C0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0.6</w:t>
            </w:r>
          </w:p>
        </w:tc>
      </w:tr>
      <w:tr w14:paraId="37C13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8700B89">
            <w:pPr>
              <w:spacing w:line="360" w:lineRule="auto"/>
              <w:jc w:val="center"/>
              <w:rPr>
                <w:rFonts w:hint="eastAsia" w:ascii="宋体" w:hAnsi="宋体" w:eastAsia="宋体" w:cs="宋体"/>
                <w:color w:val="000000"/>
                <w:szCs w:val="21"/>
              </w:rPr>
            </w:pPr>
          </w:p>
        </w:tc>
        <w:tc>
          <w:tcPr>
            <w:tcW w:w="1254" w:type="dxa"/>
            <w:vMerge w:val="restart"/>
            <w:vAlign w:val="center"/>
          </w:tcPr>
          <w:p w14:paraId="15F01EB0">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机</w:t>
            </w:r>
          </w:p>
        </w:tc>
        <w:tc>
          <w:tcPr>
            <w:tcW w:w="1081" w:type="dxa"/>
            <w:vAlign w:val="center"/>
          </w:tcPr>
          <w:p w14:paraId="308333C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功  率</w:t>
            </w:r>
          </w:p>
        </w:tc>
        <w:tc>
          <w:tcPr>
            <w:tcW w:w="1107" w:type="dxa"/>
            <w:vAlign w:val="center"/>
          </w:tcPr>
          <w:p w14:paraId="25D0C66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KW</w:t>
            </w:r>
          </w:p>
        </w:tc>
        <w:tc>
          <w:tcPr>
            <w:tcW w:w="3031" w:type="dxa"/>
            <w:vAlign w:val="center"/>
          </w:tcPr>
          <w:p w14:paraId="51E05E2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5.5</w:t>
            </w:r>
          </w:p>
        </w:tc>
      </w:tr>
      <w:tr w14:paraId="58D1A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F25BF75">
            <w:pPr>
              <w:spacing w:line="360" w:lineRule="auto"/>
              <w:jc w:val="center"/>
              <w:rPr>
                <w:rFonts w:hint="eastAsia" w:ascii="宋体" w:hAnsi="宋体" w:eastAsia="宋体" w:cs="宋体"/>
                <w:color w:val="000000"/>
                <w:szCs w:val="21"/>
              </w:rPr>
            </w:pPr>
          </w:p>
        </w:tc>
        <w:tc>
          <w:tcPr>
            <w:tcW w:w="1254" w:type="dxa"/>
            <w:vMerge w:val="continue"/>
            <w:vAlign w:val="center"/>
          </w:tcPr>
          <w:p w14:paraId="29AC071A">
            <w:pPr>
              <w:spacing w:line="360" w:lineRule="auto"/>
              <w:rPr>
                <w:rFonts w:hint="eastAsia" w:ascii="宋体" w:hAnsi="宋体" w:eastAsia="宋体" w:cs="宋体"/>
                <w:color w:val="000000"/>
                <w:szCs w:val="21"/>
              </w:rPr>
            </w:pPr>
          </w:p>
        </w:tc>
        <w:tc>
          <w:tcPr>
            <w:tcW w:w="1081" w:type="dxa"/>
            <w:vAlign w:val="center"/>
          </w:tcPr>
          <w:p w14:paraId="3BB56F0C">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压</w:t>
            </w:r>
          </w:p>
        </w:tc>
        <w:tc>
          <w:tcPr>
            <w:tcW w:w="1107" w:type="dxa"/>
            <w:vAlign w:val="center"/>
          </w:tcPr>
          <w:p w14:paraId="0665F80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V</w:t>
            </w:r>
          </w:p>
        </w:tc>
        <w:tc>
          <w:tcPr>
            <w:tcW w:w="3031" w:type="dxa"/>
            <w:vAlign w:val="center"/>
          </w:tcPr>
          <w:p w14:paraId="1A1A89D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380（AC）</w:t>
            </w:r>
          </w:p>
        </w:tc>
      </w:tr>
      <w:tr w14:paraId="01ED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4A6D395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冷油器</w:t>
            </w:r>
          </w:p>
        </w:tc>
        <w:tc>
          <w:tcPr>
            <w:tcW w:w="2335" w:type="dxa"/>
            <w:gridSpan w:val="2"/>
            <w:vAlign w:val="center"/>
          </w:tcPr>
          <w:p w14:paraId="69A7FB6E">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1A5761AB">
            <w:pPr>
              <w:spacing w:line="360" w:lineRule="auto"/>
              <w:jc w:val="center"/>
              <w:rPr>
                <w:rFonts w:hint="eastAsia" w:ascii="宋体" w:hAnsi="宋体" w:eastAsia="宋体" w:cs="宋体"/>
                <w:color w:val="000000"/>
                <w:szCs w:val="21"/>
              </w:rPr>
            </w:pPr>
          </w:p>
        </w:tc>
        <w:tc>
          <w:tcPr>
            <w:tcW w:w="3031" w:type="dxa"/>
            <w:vAlign w:val="center"/>
          </w:tcPr>
          <w:p w14:paraId="063A54E5">
            <w:pPr>
              <w:spacing w:line="360" w:lineRule="auto"/>
              <w:jc w:val="center"/>
              <w:rPr>
                <w:rFonts w:hint="eastAsia" w:ascii="宋体" w:hAnsi="宋体" w:eastAsia="宋体" w:cs="宋体"/>
                <w:color w:val="000000"/>
                <w:szCs w:val="21"/>
              </w:rPr>
            </w:pPr>
            <w:r>
              <w:rPr>
                <w:rFonts w:hint="eastAsia" w:ascii="宋体" w:hAnsi="宋体" w:eastAsia="宋体" w:cs="宋体"/>
                <w:szCs w:val="21"/>
              </w:rPr>
              <w:t>1-7602-0012-0000-11</w:t>
            </w:r>
          </w:p>
        </w:tc>
      </w:tr>
      <w:tr w14:paraId="19AA2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9F9AFD5">
            <w:pPr>
              <w:spacing w:line="360" w:lineRule="auto"/>
              <w:jc w:val="center"/>
              <w:rPr>
                <w:rFonts w:hint="eastAsia" w:ascii="宋体" w:hAnsi="宋体" w:eastAsia="宋体" w:cs="宋体"/>
                <w:color w:val="000000"/>
                <w:szCs w:val="21"/>
              </w:rPr>
            </w:pPr>
          </w:p>
        </w:tc>
        <w:tc>
          <w:tcPr>
            <w:tcW w:w="2335" w:type="dxa"/>
            <w:gridSpan w:val="2"/>
            <w:vAlign w:val="center"/>
          </w:tcPr>
          <w:p w14:paraId="7F65255A">
            <w:pPr>
              <w:spacing w:line="360" w:lineRule="auto"/>
              <w:rPr>
                <w:rFonts w:hint="eastAsia" w:ascii="宋体" w:hAnsi="宋体" w:eastAsia="宋体" w:cs="宋体"/>
                <w:color w:val="000000"/>
                <w:szCs w:val="21"/>
              </w:rPr>
            </w:pPr>
            <w:r>
              <w:rPr>
                <w:rFonts w:hint="eastAsia" w:ascii="宋体" w:hAnsi="宋体" w:eastAsia="宋体" w:cs="宋体"/>
                <w:color w:val="000000"/>
                <w:szCs w:val="21"/>
              </w:rPr>
              <w:t>形  式</w:t>
            </w:r>
          </w:p>
        </w:tc>
        <w:tc>
          <w:tcPr>
            <w:tcW w:w="1107" w:type="dxa"/>
            <w:vAlign w:val="center"/>
          </w:tcPr>
          <w:p w14:paraId="4131C202">
            <w:pPr>
              <w:spacing w:line="360" w:lineRule="auto"/>
              <w:jc w:val="center"/>
              <w:rPr>
                <w:rFonts w:hint="eastAsia" w:ascii="宋体" w:hAnsi="宋体" w:eastAsia="宋体" w:cs="宋体"/>
                <w:color w:val="000000"/>
                <w:szCs w:val="21"/>
              </w:rPr>
            </w:pPr>
          </w:p>
        </w:tc>
        <w:tc>
          <w:tcPr>
            <w:tcW w:w="3031" w:type="dxa"/>
            <w:vAlign w:val="center"/>
          </w:tcPr>
          <w:p w14:paraId="188A0468">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管式</w:t>
            </w:r>
          </w:p>
        </w:tc>
      </w:tr>
      <w:tr w14:paraId="1098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53A8A52">
            <w:pPr>
              <w:spacing w:line="360" w:lineRule="auto"/>
              <w:jc w:val="center"/>
              <w:rPr>
                <w:rFonts w:hint="eastAsia" w:ascii="宋体" w:hAnsi="宋体" w:eastAsia="宋体" w:cs="宋体"/>
                <w:color w:val="000000"/>
                <w:szCs w:val="21"/>
              </w:rPr>
            </w:pPr>
          </w:p>
        </w:tc>
        <w:tc>
          <w:tcPr>
            <w:tcW w:w="2335" w:type="dxa"/>
            <w:gridSpan w:val="2"/>
            <w:vAlign w:val="center"/>
          </w:tcPr>
          <w:p w14:paraId="2943E99F">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55A4B7E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327554A3">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25F15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FFBE19F">
            <w:pPr>
              <w:spacing w:line="360" w:lineRule="auto"/>
              <w:jc w:val="center"/>
              <w:rPr>
                <w:rFonts w:hint="eastAsia" w:ascii="宋体" w:hAnsi="宋体" w:eastAsia="宋体" w:cs="宋体"/>
                <w:color w:val="000000"/>
                <w:szCs w:val="21"/>
              </w:rPr>
            </w:pPr>
          </w:p>
        </w:tc>
        <w:tc>
          <w:tcPr>
            <w:tcW w:w="2335" w:type="dxa"/>
            <w:gridSpan w:val="2"/>
            <w:vAlign w:val="center"/>
          </w:tcPr>
          <w:p w14:paraId="52A9E7E0">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冷却面积</w:t>
            </w:r>
          </w:p>
        </w:tc>
        <w:tc>
          <w:tcPr>
            <w:tcW w:w="1107" w:type="dxa"/>
            <w:vAlign w:val="center"/>
          </w:tcPr>
          <w:p w14:paraId="36979F67">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 xml:space="preserve">m </w:t>
            </w:r>
            <w:r>
              <w:rPr>
                <w:rFonts w:hint="eastAsia" w:ascii="宋体" w:hAnsi="宋体" w:eastAsia="宋体" w:cs="宋体"/>
                <w:color w:val="000000"/>
                <w:szCs w:val="21"/>
                <w:vertAlign w:val="superscript"/>
              </w:rPr>
              <w:t>2</w:t>
            </w:r>
          </w:p>
        </w:tc>
        <w:tc>
          <w:tcPr>
            <w:tcW w:w="3031" w:type="dxa"/>
            <w:vAlign w:val="center"/>
          </w:tcPr>
          <w:p w14:paraId="558BB94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12.5</w:t>
            </w:r>
          </w:p>
        </w:tc>
      </w:tr>
      <w:tr w14:paraId="5EE2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B67845D">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6300EB96">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冷却水量</w:t>
            </w:r>
          </w:p>
        </w:tc>
        <w:tc>
          <w:tcPr>
            <w:tcW w:w="1107" w:type="dxa"/>
            <w:tcBorders>
              <w:bottom w:val="single" w:color="auto" w:sz="6" w:space="0"/>
            </w:tcBorders>
            <w:vAlign w:val="center"/>
          </w:tcPr>
          <w:p w14:paraId="3D982EB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t/h</w:t>
            </w:r>
          </w:p>
        </w:tc>
        <w:tc>
          <w:tcPr>
            <w:tcW w:w="3031" w:type="dxa"/>
            <w:tcBorders>
              <w:bottom w:val="single" w:color="auto" w:sz="6" w:space="0"/>
            </w:tcBorders>
            <w:vAlign w:val="center"/>
          </w:tcPr>
          <w:p w14:paraId="5C42C1B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18~27</w:t>
            </w:r>
          </w:p>
        </w:tc>
      </w:tr>
      <w:tr w14:paraId="78738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5CF8B13">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15BB3523">
            <w:pPr>
              <w:spacing w:line="360" w:lineRule="auto"/>
              <w:rPr>
                <w:rFonts w:hint="eastAsia" w:ascii="宋体" w:hAnsi="宋体" w:eastAsia="宋体" w:cs="宋体"/>
                <w:color w:val="000000"/>
                <w:szCs w:val="21"/>
              </w:rPr>
            </w:pPr>
            <w:r>
              <w:rPr>
                <w:rFonts w:hint="eastAsia" w:ascii="宋体" w:hAnsi="宋体" w:eastAsia="宋体" w:cs="宋体"/>
                <w:color w:val="000000"/>
                <w:szCs w:val="21"/>
              </w:rPr>
              <w:t>冷却水温</w:t>
            </w:r>
          </w:p>
        </w:tc>
        <w:tc>
          <w:tcPr>
            <w:tcW w:w="1107" w:type="dxa"/>
            <w:tcBorders>
              <w:bottom w:val="single" w:color="auto" w:sz="6" w:space="0"/>
            </w:tcBorders>
            <w:vAlign w:val="center"/>
          </w:tcPr>
          <w:p w14:paraId="25F93D0E">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3031" w:type="dxa"/>
            <w:tcBorders>
              <w:bottom w:val="single" w:color="auto" w:sz="6" w:space="0"/>
            </w:tcBorders>
            <w:vAlign w:val="center"/>
          </w:tcPr>
          <w:p w14:paraId="19970EE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≤33</w:t>
            </w:r>
          </w:p>
        </w:tc>
      </w:tr>
      <w:tr w14:paraId="58C27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B784EFB">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2D442ABE">
            <w:pPr>
              <w:spacing w:line="360" w:lineRule="auto"/>
              <w:rPr>
                <w:rFonts w:hint="eastAsia" w:ascii="宋体" w:hAnsi="宋体" w:eastAsia="宋体" w:cs="宋体"/>
                <w:color w:val="000000"/>
                <w:szCs w:val="21"/>
              </w:rPr>
            </w:pPr>
            <w:r>
              <w:rPr>
                <w:rFonts w:hint="eastAsia" w:ascii="宋体" w:hAnsi="宋体" w:eastAsia="宋体" w:cs="宋体"/>
                <w:color w:val="000000"/>
                <w:szCs w:val="21"/>
              </w:rPr>
              <w:t>水  阻</w:t>
            </w:r>
          </w:p>
        </w:tc>
        <w:tc>
          <w:tcPr>
            <w:tcW w:w="1107" w:type="dxa"/>
            <w:tcBorders>
              <w:bottom w:val="single" w:color="auto" w:sz="6" w:space="0"/>
            </w:tcBorders>
            <w:vAlign w:val="center"/>
          </w:tcPr>
          <w:p w14:paraId="42CE1B5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031" w:type="dxa"/>
            <w:tcBorders>
              <w:bottom w:val="single" w:color="auto" w:sz="6" w:space="0"/>
            </w:tcBorders>
            <w:vAlign w:val="center"/>
          </w:tcPr>
          <w:p w14:paraId="4AB04ED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r>
      <w:tr w14:paraId="7F2C5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740A6FE">
            <w:pPr>
              <w:spacing w:line="360" w:lineRule="auto"/>
              <w:jc w:val="center"/>
              <w:rPr>
                <w:rFonts w:hint="eastAsia" w:ascii="宋体" w:hAnsi="宋体" w:eastAsia="宋体" w:cs="宋体"/>
                <w:color w:val="000000"/>
                <w:szCs w:val="21"/>
              </w:rPr>
            </w:pPr>
          </w:p>
        </w:tc>
        <w:tc>
          <w:tcPr>
            <w:tcW w:w="2335" w:type="dxa"/>
            <w:gridSpan w:val="2"/>
            <w:tcBorders>
              <w:bottom w:val="single" w:color="auto" w:sz="6" w:space="0"/>
            </w:tcBorders>
            <w:vAlign w:val="center"/>
          </w:tcPr>
          <w:p w14:paraId="2B32C332">
            <w:pPr>
              <w:spacing w:line="360" w:lineRule="auto"/>
              <w:rPr>
                <w:rFonts w:hint="eastAsia" w:ascii="宋体" w:hAnsi="宋体" w:eastAsia="宋体" w:cs="宋体"/>
                <w:color w:val="000000"/>
                <w:szCs w:val="21"/>
              </w:rPr>
            </w:pPr>
            <w:r>
              <w:rPr>
                <w:rFonts w:hint="eastAsia" w:ascii="宋体" w:hAnsi="宋体" w:eastAsia="宋体" w:cs="宋体"/>
                <w:color w:val="000000"/>
                <w:szCs w:val="21"/>
              </w:rPr>
              <w:t>油  阻</w:t>
            </w:r>
          </w:p>
        </w:tc>
        <w:tc>
          <w:tcPr>
            <w:tcW w:w="1107" w:type="dxa"/>
            <w:tcBorders>
              <w:bottom w:val="single" w:color="auto" w:sz="6" w:space="0"/>
            </w:tcBorders>
            <w:vAlign w:val="center"/>
          </w:tcPr>
          <w:p w14:paraId="72E83752">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w:t>
            </w:r>
          </w:p>
        </w:tc>
        <w:tc>
          <w:tcPr>
            <w:tcW w:w="3031" w:type="dxa"/>
            <w:tcBorders>
              <w:bottom w:val="single" w:color="auto" w:sz="6" w:space="0"/>
            </w:tcBorders>
            <w:vAlign w:val="center"/>
          </w:tcPr>
          <w:p w14:paraId="0288BD9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＜5</w:t>
            </w:r>
          </w:p>
        </w:tc>
      </w:tr>
      <w:tr w14:paraId="5F355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1FE6EA66">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直流齿轮</w:t>
            </w:r>
          </w:p>
          <w:p w14:paraId="0DAEB77D">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润滑油泵</w:t>
            </w:r>
          </w:p>
        </w:tc>
        <w:tc>
          <w:tcPr>
            <w:tcW w:w="2335" w:type="dxa"/>
            <w:gridSpan w:val="2"/>
            <w:vAlign w:val="center"/>
          </w:tcPr>
          <w:p w14:paraId="39E216C8">
            <w:pPr>
              <w:spacing w:line="360" w:lineRule="auto"/>
              <w:rPr>
                <w:rFonts w:hint="eastAsia" w:ascii="宋体" w:hAnsi="宋体" w:eastAsia="宋体" w:cs="宋体"/>
                <w:color w:val="000000"/>
                <w:szCs w:val="21"/>
              </w:rPr>
            </w:pPr>
            <w:r>
              <w:rPr>
                <w:rFonts w:hint="eastAsia" w:ascii="宋体" w:hAnsi="宋体" w:eastAsia="宋体" w:cs="宋体"/>
                <w:color w:val="000000"/>
                <w:szCs w:val="21"/>
              </w:rPr>
              <w:t>型  号</w:t>
            </w:r>
          </w:p>
        </w:tc>
        <w:tc>
          <w:tcPr>
            <w:tcW w:w="1107" w:type="dxa"/>
            <w:vAlign w:val="center"/>
          </w:tcPr>
          <w:p w14:paraId="0B398C3E">
            <w:pPr>
              <w:spacing w:line="360" w:lineRule="auto"/>
              <w:jc w:val="center"/>
              <w:rPr>
                <w:rFonts w:hint="eastAsia" w:ascii="宋体" w:hAnsi="宋体" w:eastAsia="宋体" w:cs="宋体"/>
                <w:color w:val="000000"/>
                <w:szCs w:val="21"/>
              </w:rPr>
            </w:pPr>
          </w:p>
        </w:tc>
        <w:tc>
          <w:tcPr>
            <w:tcW w:w="3031" w:type="dxa"/>
            <w:vAlign w:val="center"/>
          </w:tcPr>
          <w:p w14:paraId="1D7694F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KCB-135</w:t>
            </w:r>
          </w:p>
        </w:tc>
      </w:tr>
      <w:tr w14:paraId="3B6FC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26EAEEB">
            <w:pPr>
              <w:spacing w:line="360" w:lineRule="auto"/>
              <w:jc w:val="center"/>
              <w:rPr>
                <w:rFonts w:hint="eastAsia" w:ascii="宋体" w:hAnsi="宋体" w:eastAsia="宋体" w:cs="宋体"/>
                <w:color w:val="000000"/>
                <w:szCs w:val="21"/>
              </w:rPr>
            </w:pPr>
          </w:p>
        </w:tc>
        <w:tc>
          <w:tcPr>
            <w:tcW w:w="2335" w:type="dxa"/>
            <w:gridSpan w:val="2"/>
            <w:vAlign w:val="center"/>
          </w:tcPr>
          <w:p w14:paraId="05AD2B23">
            <w:pPr>
              <w:spacing w:line="360" w:lineRule="auto"/>
              <w:rPr>
                <w:rFonts w:hint="eastAsia" w:ascii="宋体" w:hAnsi="宋体" w:eastAsia="宋体" w:cs="宋体"/>
                <w:color w:val="000000"/>
                <w:szCs w:val="21"/>
              </w:rPr>
            </w:pPr>
            <w:r>
              <w:rPr>
                <w:rFonts w:hint="eastAsia" w:ascii="宋体" w:hAnsi="宋体" w:eastAsia="宋体" w:cs="宋体"/>
                <w:color w:val="000000"/>
                <w:szCs w:val="21"/>
              </w:rPr>
              <w:t>数  量</w:t>
            </w:r>
          </w:p>
        </w:tc>
        <w:tc>
          <w:tcPr>
            <w:tcW w:w="1107" w:type="dxa"/>
            <w:vAlign w:val="center"/>
          </w:tcPr>
          <w:p w14:paraId="6F21B27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031" w:type="dxa"/>
            <w:vAlign w:val="center"/>
          </w:tcPr>
          <w:p w14:paraId="5A2C342A">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w:t>
            </w:r>
          </w:p>
        </w:tc>
      </w:tr>
      <w:tr w14:paraId="67AA5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050A88F">
            <w:pPr>
              <w:spacing w:line="360" w:lineRule="auto"/>
              <w:jc w:val="center"/>
              <w:rPr>
                <w:rFonts w:hint="eastAsia" w:ascii="宋体" w:hAnsi="宋体" w:eastAsia="宋体" w:cs="宋体"/>
                <w:color w:val="000000"/>
                <w:szCs w:val="21"/>
              </w:rPr>
            </w:pPr>
          </w:p>
        </w:tc>
        <w:tc>
          <w:tcPr>
            <w:tcW w:w="2335" w:type="dxa"/>
            <w:gridSpan w:val="2"/>
            <w:vAlign w:val="center"/>
          </w:tcPr>
          <w:p w14:paraId="47AF3D88">
            <w:pPr>
              <w:spacing w:line="360" w:lineRule="auto"/>
              <w:rPr>
                <w:rFonts w:hint="eastAsia" w:ascii="宋体" w:hAnsi="宋体" w:eastAsia="宋体" w:cs="宋体"/>
                <w:color w:val="000000"/>
                <w:szCs w:val="21"/>
              </w:rPr>
            </w:pPr>
            <w:r>
              <w:rPr>
                <w:rFonts w:hint="eastAsia" w:ascii="宋体" w:hAnsi="宋体" w:eastAsia="宋体" w:cs="宋体"/>
                <w:color w:val="000000"/>
                <w:szCs w:val="21"/>
              </w:rPr>
              <w:t>流  量</w:t>
            </w:r>
          </w:p>
        </w:tc>
        <w:tc>
          <w:tcPr>
            <w:tcW w:w="1107" w:type="dxa"/>
            <w:vAlign w:val="center"/>
          </w:tcPr>
          <w:p w14:paraId="43A51869">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L/h</w:t>
            </w:r>
          </w:p>
        </w:tc>
        <w:tc>
          <w:tcPr>
            <w:tcW w:w="3031" w:type="dxa"/>
            <w:vAlign w:val="center"/>
          </w:tcPr>
          <w:p w14:paraId="36A7266B">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135</w:t>
            </w:r>
          </w:p>
        </w:tc>
      </w:tr>
      <w:tr w14:paraId="06758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471E7CA0">
            <w:pPr>
              <w:spacing w:line="360" w:lineRule="auto"/>
              <w:jc w:val="center"/>
              <w:rPr>
                <w:rFonts w:hint="eastAsia" w:ascii="宋体" w:hAnsi="宋体" w:eastAsia="宋体" w:cs="宋体"/>
                <w:color w:val="000000"/>
                <w:szCs w:val="21"/>
              </w:rPr>
            </w:pPr>
          </w:p>
        </w:tc>
        <w:tc>
          <w:tcPr>
            <w:tcW w:w="2335" w:type="dxa"/>
            <w:gridSpan w:val="2"/>
            <w:vAlign w:val="center"/>
          </w:tcPr>
          <w:p w14:paraId="1B123703">
            <w:pPr>
              <w:spacing w:line="360" w:lineRule="auto"/>
              <w:rPr>
                <w:rFonts w:hint="eastAsia" w:ascii="宋体" w:hAnsi="宋体" w:eastAsia="宋体" w:cs="宋体"/>
                <w:color w:val="000000"/>
                <w:szCs w:val="21"/>
              </w:rPr>
            </w:pPr>
            <w:r>
              <w:rPr>
                <w:rFonts w:hint="eastAsia" w:ascii="宋体" w:hAnsi="宋体" w:eastAsia="宋体" w:cs="宋体"/>
                <w:color w:val="000000"/>
                <w:szCs w:val="21"/>
              </w:rPr>
              <w:t>压  力</w:t>
            </w:r>
          </w:p>
        </w:tc>
        <w:tc>
          <w:tcPr>
            <w:tcW w:w="1107" w:type="dxa"/>
            <w:vAlign w:val="center"/>
          </w:tcPr>
          <w:p w14:paraId="1523B58F">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Mpa</w:t>
            </w:r>
          </w:p>
        </w:tc>
        <w:tc>
          <w:tcPr>
            <w:tcW w:w="3031" w:type="dxa"/>
            <w:vAlign w:val="center"/>
          </w:tcPr>
          <w:p w14:paraId="34FBC625">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0.33</w:t>
            </w:r>
          </w:p>
        </w:tc>
      </w:tr>
      <w:tr w14:paraId="4B1AF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4F09570">
            <w:pPr>
              <w:spacing w:line="360" w:lineRule="auto"/>
              <w:jc w:val="center"/>
              <w:rPr>
                <w:rFonts w:hint="eastAsia" w:ascii="宋体" w:hAnsi="宋体" w:eastAsia="宋体" w:cs="宋体"/>
                <w:color w:val="000000"/>
                <w:szCs w:val="21"/>
              </w:rPr>
            </w:pPr>
          </w:p>
        </w:tc>
        <w:tc>
          <w:tcPr>
            <w:tcW w:w="1254" w:type="dxa"/>
            <w:vMerge w:val="restart"/>
            <w:vAlign w:val="center"/>
          </w:tcPr>
          <w:p w14:paraId="21325437">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机</w:t>
            </w:r>
          </w:p>
        </w:tc>
        <w:tc>
          <w:tcPr>
            <w:tcW w:w="1081" w:type="dxa"/>
            <w:vAlign w:val="center"/>
          </w:tcPr>
          <w:p w14:paraId="1696BFD2">
            <w:pPr>
              <w:spacing w:line="360" w:lineRule="auto"/>
              <w:rPr>
                <w:rFonts w:hint="eastAsia" w:ascii="宋体" w:hAnsi="宋体" w:eastAsia="宋体" w:cs="宋体"/>
                <w:color w:val="000000"/>
                <w:szCs w:val="21"/>
              </w:rPr>
            </w:pPr>
            <w:r>
              <w:rPr>
                <w:rFonts w:hint="eastAsia" w:ascii="宋体" w:hAnsi="宋体" w:eastAsia="宋体" w:cs="宋体"/>
                <w:color w:val="000000"/>
                <w:szCs w:val="21"/>
              </w:rPr>
              <w:t>功  率</w:t>
            </w:r>
          </w:p>
        </w:tc>
        <w:tc>
          <w:tcPr>
            <w:tcW w:w="1107" w:type="dxa"/>
            <w:vAlign w:val="center"/>
          </w:tcPr>
          <w:p w14:paraId="5EBC8501">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KW</w:t>
            </w:r>
          </w:p>
        </w:tc>
        <w:tc>
          <w:tcPr>
            <w:tcW w:w="3031" w:type="dxa"/>
            <w:vAlign w:val="center"/>
          </w:tcPr>
          <w:p w14:paraId="1606E83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2.2</w:t>
            </w:r>
          </w:p>
        </w:tc>
      </w:tr>
      <w:tr w14:paraId="01074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EF643B6">
            <w:pPr>
              <w:spacing w:line="360" w:lineRule="auto"/>
              <w:jc w:val="center"/>
              <w:rPr>
                <w:rFonts w:hint="eastAsia" w:ascii="宋体" w:hAnsi="宋体" w:eastAsia="宋体" w:cs="宋体"/>
                <w:color w:val="000000"/>
                <w:szCs w:val="21"/>
              </w:rPr>
            </w:pPr>
          </w:p>
        </w:tc>
        <w:tc>
          <w:tcPr>
            <w:tcW w:w="1254" w:type="dxa"/>
            <w:vMerge w:val="continue"/>
            <w:vAlign w:val="center"/>
          </w:tcPr>
          <w:p w14:paraId="62B02AA3">
            <w:pPr>
              <w:spacing w:line="360" w:lineRule="auto"/>
              <w:rPr>
                <w:rFonts w:hint="eastAsia" w:ascii="宋体" w:hAnsi="宋体" w:eastAsia="宋体" w:cs="宋体"/>
                <w:color w:val="000000"/>
                <w:szCs w:val="21"/>
              </w:rPr>
            </w:pPr>
          </w:p>
        </w:tc>
        <w:tc>
          <w:tcPr>
            <w:tcW w:w="1081" w:type="dxa"/>
            <w:vAlign w:val="center"/>
          </w:tcPr>
          <w:p w14:paraId="4B8713CD">
            <w:pPr>
              <w:spacing w:line="360" w:lineRule="auto"/>
              <w:rPr>
                <w:rFonts w:hint="eastAsia" w:ascii="宋体" w:hAnsi="宋体" w:eastAsia="宋体" w:cs="宋体"/>
                <w:color w:val="000000"/>
                <w:szCs w:val="21"/>
              </w:rPr>
            </w:pPr>
            <w:r>
              <w:rPr>
                <w:rFonts w:hint="eastAsia" w:ascii="宋体" w:hAnsi="宋体" w:eastAsia="宋体" w:cs="宋体"/>
                <w:color w:val="000000"/>
                <w:szCs w:val="21"/>
              </w:rPr>
              <w:t>电  压</w:t>
            </w:r>
          </w:p>
        </w:tc>
        <w:tc>
          <w:tcPr>
            <w:tcW w:w="1107" w:type="dxa"/>
            <w:vAlign w:val="center"/>
          </w:tcPr>
          <w:p w14:paraId="09284AEC">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V</w:t>
            </w:r>
          </w:p>
        </w:tc>
        <w:tc>
          <w:tcPr>
            <w:tcW w:w="3031" w:type="dxa"/>
            <w:vAlign w:val="center"/>
          </w:tcPr>
          <w:p w14:paraId="197C5410">
            <w:pPr>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220（DC）</w:t>
            </w:r>
          </w:p>
        </w:tc>
      </w:tr>
      <w:tr w14:paraId="5BAD3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2AD939C1">
            <w:pPr>
              <w:spacing w:line="360" w:lineRule="auto"/>
              <w:jc w:val="center"/>
              <w:rPr>
                <w:rFonts w:hint="eastAsia" w:ascii="宋体" w:hAnsi="宋体" w:eastAsia="宋体" w:cs="宋体"/>
                <w:szCs w:val="21"/>
              </w:rPr>
            </w:pPr>
            <w:r>
              <w:rPr>
                <w:rFonts w:hint="eastAsia" w:ascii="宋体" w:hAnsi="宋体" w:eastAsia="宋体" w:cs="宋体"/>
                <w:szCs w:val="21"/>
              </w:rPr>
              <w:t>凝 汽 器</w:t>
            </w:r>
          </w:p>
        </w:tc>
        <w:tc>
          <w:tcPr>
            <w:tcW w:w="2335" w:type="dxa"/>
            <w:gridSpan w:val="2"/>
          </w:tcPr>
          <w:p w14:paraId="65F4523D">
            <w:pPr>
              <w:spacing w:line="360" w:lineRule="auto"/>
              <w:rPr>
                <w:rFonts w:hint="eastAsia" w:ascii="宋体" w:hAnsi="宋体" w:eastAsia="宋体" w:cs="宋体"/>
                <w:position w:val="-34"/>
                <w:szCs w:val="21"/>
              </w:rPr>
            </w:pPr>
            <w:r>
              <w:rPr>
                <w:rFonts w:hint="eastAsia" w:ascii="宋体" w:hAnsi="宋体" w:eastAsia="宋体" w:cs="宋体"/>
                <w:position w:val="-34"/>
                <w:szCs w:val="21"/>
              </w:rPr>
              <w:t>型  号</w:t>
            </w:r>
          </w:p>
        </w:tc>
        <w:tc>
          <w:tcPr>
            <w:tcW w:w="1107" w:type="dxa"/>
          </w:tcPr>
          <w:p w14:paraId="6C315D61">
            <w:pPr>
              <w:spacing w:line="360" w:lineRule="auto"/>
              <w:jc w:val="center"/>
              <w:rPr>
                <w:rFonts w:hint="eastAsia" w:ascii="宋体" w:hAnsi="宋体" w:eastAsia="宋体" w:cs="宋体"/>
                <w:position w:val="-34"/>
                <w:szCs w:val="21"/>
              </w:rPr>
            </w:pPr>
          </w:p>
        </w:tc>
        <w:tc>
          <w:tcPr>
            <w:tcW w:w="3031" w:type="dxa"/>
          </w:tcPr>
          <w:p w14:paraId="120ABA4A">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N-420</w:t>
            </w:r>
          </w:p>
        </w:tc>
      </w:tr>
      <w:tr w14:paraId="369AB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2CF6503F">
            <w:pPr>
              <w:spacing w:line="360" w:lineRule="auto"/>
              <w:jc w:val="center"/>
              <w:rPr>
                <w:rFonts w:hint="eastAsia" w:ascii="宋体" w:hAnsi="宋体" w:eastAsia="宋体" w:cs="宋体"/>
                <w:color w:val="000000"/>
                <w:szCs w:val="21"/>
              </w:rPr>
            </w:pPr>
          </w:p>
        </w:tc>
        <w:tc>
          <w:tcPr>
            <w:tcW w:w="2335" w:type="dxa"/>
            <w:gridSpan w:val="2"/>
          </w:tcPr>
          <w:p w14:paraId="2F7F85F1">
            <w:pPr>
              <w:spacing w:line="360" w:lineRule="auto"/>
              <w:rPr>
                <w:rFonts w:hint="eastAsia" w:ascii="宋体" w:hAnsi="宋体" w:eastAsia="宋体" w:cs="宋体"/>
                <w:color w:val="000000"/>
                <w:szCs w:val="21"/>
              </w:rPr>
            </w:pPr>
            <w:r>
              <w:rPr>
                <w:rFonts w:hint="eastAsia" w:ascii="宋体" w:hAnsi="宋体" w:eastAsia="宋体" w:cs="宋体"/>
                <w:position w:val="-34"/>
                <w:szCs w:val="21"/>
              </w:rPr>
              <w:t>型  式</w:t>
            </w:r>
          </w:p>
        </w:tc>
        <w:tc>
          <w:tcPr>
            <w:tcW w:w="1107" w:type="dxa"/>
          </w:tcPr>
          <w:p w14:paraId="6C370C49">
            <w:pPr>
              <w:spacing w:line="360" w:lineRule="auto"/>
              <w:jc w:val="center"/>
              <w:rPr>
                <w:rFonts w:hint="eastAsia" w:ascii="宋体" w:hAnsi="宋体" w:eastAsia="宋体" w:cs="宋体"/>
                <w:color w:val="000000"/>
                <w:position w:val="-34"/>
                <w:szCs w:val="21"/>
              </w:rPr>
            </w:pPr>
          </w:p>
        </w:tc>
        <w:tc>
          <w:tcPr>
            <w:tcW w:w="3031" w:type="dxa"/>
          </w:tcPr>
          <w:p w14:paraId="3C241166">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四流程单道制表面式</w:t>
            </w:r>
          </w:p>
        </w:tc>
      </w:tr>
      <w:tr w14:paraId="67C5B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5040CB50">
            <w:pPr>
              <w:spacing w:line="360" w:lineRule="auto"/>
              <w:jc w:val="center"/>
              <w:rPr>
                <w:rFonts w:hint="eastAsia" w:ascii="宋体" w:hAnsi="宋体" w:eastAsia="宋体" w:cs="宋体"/>
                <w:color w:val="000000"/>
                <w:szCs w:val="21"/>
              </w:rPr>
            </w:pPr>
          </w:p>
        </w:tc>
        <w:tc>
          <w:tcPr>
            <w:tcW w:w="2335" w:type="dxa"/>
            <w:gridSpan w:val="2"/>
          </w:tcPr>
          <w:p w14:paraId="25CC6F59">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冷却面积</w:t>
            </w:r>
          </w:p>
        </w:tc>
        <w:tc>
          <w:tcPr>
            <w:tcW w:w="1107" w:type="dxa"/>
          </w:tcPr>
          <w:p w14:paraId="0BBFD77B">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m</w:t>
            </w:r>
            <w:r>
              <w:rPr>
                <w:rFonts w:hint="eastAsia" w:ascii="宋体" w:hAnsi="宋体" w:eastAsia="宋体" w:cs="宋体"/>
                <w:position w:val="-34"/>
                <w:szCs w:val="21"/>
                <w:vertAlign w:val="superscript"/>
              </w:rPr>
              <w:t>2</w:t>
            </w:r>
          </w:p>
        </w:tc>
        <w:tc>
          <w:tcPr>
            <w:tcW w:w="3031" w:type="dxa"/>
          </w:tcPr>
          <w:p w14:paraId="623B6ED9">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420</w:t>
            </w:r>
          </w:p>
        </w:tc>
      </w:tr>
      <w:tr w14:paraId="1CAE8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639D3833">
            <w:pPr>
              <w:spacing w:line="360" w:lineRule="auto"/>
              <w:jc w:val="center"/>
              <w:rPr>
                <w:rFonts w:hint="eastAsia" w:ascii="宋体" w:hAnsi="宋体" w:eastAsia="宋体" w:cs="宋体"/>
                <w:color w:val="000000"/>
                <w:szCs w:val="21"/>
              </w:rPr>
            </w:pPr>
          </w:p>
        </w:tc>
        <w:tc>
          <w:tcPr>
            <w:tcW w:w="2335" w:type="dxa"/>
            <w:gridSpan w:val="2"/>
          </w:tcPr>
          <w:p w14:paraId="691EFFFE">
            <w:pPr>
              <w:spacing w:line="360" w:lineRule="auto"/>
              <w:rPr>
                <w:rFonts w:hint="eastAsia" w:ascii="宋体" w:hAnsi="宋体" w:eastAsia="宋体" w:cs="宋体"/>
                <w:color w:val="000000"/>
                <w:szCs w:val="21"/>
              </w:rPr>
            </w:pPr>
            <w:r>
              <w:rPr>
                <w:rFonts w:hint="eastAsia" w:ascii="宋体" w:hAnsi="宋体" w:eastAsia="宋体" w:cs="宋体"/>
                <w:position w:val="-34"/>
                <w:szCs w:val="21"/>
              </w:rPr>
              <w:t>蒸汽压力</w:t>
            </w:r>
          </w:p>
        </w:tc>
        <w:tc>
          <w:tcPr>
            <w:tcW w:w="1107" w:type="dxa"/>
          </w:tcPr>
          <w:p w14:paraId="4640F4E3">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Mpa</w:t>
            </w:r>
          </w:p>
        </w:tc>
        <w:tc>
          <w:tcPr>
            <w:tcW w:w="3031" w:type="dxa"/>
          </w:tcPr>
          <w:p w14:paraId="043B64E4">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 xml:space="preserve">           0.01    （绝对）</w:t>
            </w:r>
          </w:p>
        </w:tc>
      </w:tr>
      <w:tr w14:paraId="63A25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7FED2D0E">
            <w:pPr>
              <w:spacing w:line="360" w:lineRule="auto"/>
              <w:jc w:val="center"/>
              <w:rPr>
                <w:rFonts w:hint="eastAsia" w:ascii="宋体" w:hAnsi="宋体" w:eastAsia="宋体" w:cs="宋体"/>
                <w:color w:val="000000"/>
                <w:szCs w:val="21"/>
              </w:rPr>
            </w:pPr>
          </w:p>
        </w:tc>
        <w:tc>
          <w:tcPr>
            <w:tcW w:w="2335" w:type="dxa"/>
            <w:gridSpan w:val="2"/>
          </w:tcPr>
          <w:p w14:paraId="40628E9C">
            <w:pPr>
              <w:spacing w:line="360" w:lineRule="auto"/>
              <w:rPr>
                <w:rFonts w:hint="eastAsia" w:ascii="宋体" w:hAnsi="宋体" w:eastAsia="宋体" w:cs="宋体"/>
                <w:color w:val="000000"/>
                <w:szCs w:val="21"/>
              </w:rPr>
            </w:pPr>
            <w:r>
              <w:rPr>
                <w:rFonts w:hint="eastAsia" w:ascii="宋体" w:hAnsi="宋体" w:eastAsia="宋体" w:cs="宋体"/>
                <w:position w:val="-34"/>
                <w:szCs w:val="21"/>
              </w:rPr>
              <w:t>蒸汽流量</w:t>
            </w:r>
          </w:p>
        </w:tc>
        <w:tc>
          <w:tcPr>
            <w:tcW w:w="1107" w:type="dxa"/>
          </w:tcPr>
          <w:p w14:paraId="0FEB0159">
            <w:pPr>
              <w:spacing w:line="360" w:lineRule="auto"/>
              <w:jc w:val="center"/>
              <w:rPr>
                <w:rFonts w:hint="eastAsia" w:ascii="宋体" w:hAnsi="宋体" w:eastAsia="宋体" w:cs="宋体"/>
                <w:color w:val="000000"/>
                <w:position w:val="-34"/>
                <w:szCs w:val="21"/>
              </w:rPr>
            </w:pPr>
            <w:r>
              <w:rPr>
                <w:rFonts w:hint="eastAsia" w:ascii="宋体" w:hAnsi="宋体" w:eastAsia="宋体" w:cs="宋体"/>
                <w:position w:val="-34"/>
                <w:szCs w:val="21"/>
              </w:rPr>
              <w:t>t/h</w:t>
            </w:r>
          </w:p>
        </w:tc>
        <w:tc>
          <w:tcPr>
            <w:tcW w:w="3031" w:type="dxa"/>
          </w:tcPr>
          <w:p w14:paraId="53D944CB">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6"/>
                <w:szCs w:val="21"/>
              </w:rPr>
              <w:t>14</w:t>
            </w:r>
          </w:p>
        </w:tc>
      </w:tr>
      <w:tr w14:paraId="78F4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14:paraId="6056EAC7">
            <w:pPr>
              <w:spacing w:line="360" w:lineRule="auto"/>
              <w:jc w:val="center"/>
              <w:rPr>
                <w:rFonts w:hint="eastAsia" w:ascii="宋体" w:hAnsi="宋体" w:eastAsia="宋体" w:cs="宋体"/>
                <w:color w:val="000000"/>
                <w:szCs w:val="21"/>
              </w:rPr>
            </w:pPr>
          </w:p>
        </w:tc>
        <w:tc>
          <w:tcPr>
            <w:tcW w:w="2335" w:type="dxa"/>
            <w:gridSpan w:val="2"/>
            <w:shd w:val="clear" w:color="auto" w:fill="auto"/>
          </w:tcPr>
          <w:p w14:paraId="31DCD8E0">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冷却水量</w:t>
            </w:r>
          </w:p>
        </w:tc>
        <w:tc>
          <w:tcPr>
            <w:tcW w:w="1107" w:type="dxa"/>
          </w:tcPr>
          <w:p w14:paraId="2E2027A0">
            <w:pPr>
              <w:spacing w:line="360" w:lineRule="auto"/>
              <w:jc w:val="center"/>
              <w:rPr>
                <w:rFonts w:hint="eastAsia" w:ascii="宋体" w:hAnsi="宋体" w:eastAsia="宋体" w:cs="宋体"/>
                <w:color w:val="000000"/>
                <w:szCs w:val="21"/>
              </w:rPr>
            </w:pPr>
            <w:r>
              <w:rPr>
                <w:rFonts w:hint="eastAsia" w:ascii="宋体" w:hAnsi="宋体" w:eastAsia="宋体" w:cs="宋体"/>
                <w:position w:val="-34"/>
                <w:szCs w:val="21"/>
              </w:rPr>
              <w:t>t/h</w:t>
            </w:r>
          </w:p>
        </w:tc>
        <w:tc>
          <w:tcPr>
            <w:tcW w:w="3031" w:type="dxa"/>
          </w:tcPr>
          <w:p w14:paraId="5B5D94E8">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～900</w:t>
            </w:r>
          </w:p>
        </w:tc>
      </w:tr>
      <w:tr w14:paraId="5934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shd w:val="clear" w:color="auto" w:fill="auto"/>
          </w:tcPr>
          <w:p w14:paraId="03DBE418">
            <w:pPr>
              <w:spacing w:line="360" w:lineRule="auto"/>
              <w:jc w:val="center"/>
              <w:rPr>
                <w:rFonts w:hint="eastAsia" w:ascii="宋体" w:hAnsi="宋体" w:eastAsia="宋体" w:cs="宋体"/>
                <w:color w:val="000000"/>
                <w:szCs w:val="21"/>
              </w:rPr>
            </w:pPr>
          </w:p>
        </w:tc>
        <w:tc>
          <w:tcPr>
            <w:tcW w:w="2335" w:type="dxa"/>
            <w:gridSpan w:val="2"/>
            <w:shd w:val="clear" w:color="auto" w:fill="auto"/>
          </w:tcPr>
          <w:p w14:paraId="76780C5B">
            <w:pPr>
              <w:spacing w:line="360" w:lineRule="auto"/>
              <w:rPr>
                <w:rFonts w:hint="eastAsia" w:ascii="宋体" w:hAnsi="宋体" w:eastAsia="宋体" w:cs="宋体"/>
                <w:color w:val="000000"/>
                <w:szCs w:val="21"/>
              </w:rPr>
            </w:pPr>
            <w:r>
              <w:rPr>
                <w:rFonts w:hint="eastAsia" w:ascii="宋体" w:hAnsi="宋体" w:eastAsia="宋体" w:cs="宋体"/>
                <w:position w:val="-34"/>
                <w:szCs w:val="21"/>
              </w:rPr>
              <w:t>冷却水温</w:t>
            </w:r>
          </w:p>
        </w:tc>
        <w:tc>
          <w:tcPr>
            <w:tcW w:w="1107" w:type="dxa"/>
          </w:tcPr>
          <w:p w14:paraId="227D6ADD">
            <w:pPr>
              <w:spacing w:line="360" w:lineRule="auto"/>
              <w:jc w:val="center"/>
              <w:rPr>
                <w:rFonts w:hint="eastAsia" w:ascii="宋体" w:hAnsi="宋体" w:eastAsia="宋体" w:cs="宋体"/>
                <w:color w:val="000000"/>
                <w:szCs w:val="21"/>
              </w:rPr>
            </w:pPr>
            <w:r>
              <w:rPr>
                <w:rFonts w:hint="eastAsia" w:ascii="宋体" w:hAnsi="宋体" w:eastAsia="宋体" w:cs="宋体"/>
                <w:color w:val="000000"/>
                <w:position w:val="-34"/>
                <w:szCs w:val="21"/>
              </w:rPr>
              <w:t>℃</w:t>
            </w:r>
          </w:p>
        </w:tc>
        <w:tc>
          <w:tcPr>
            <w:tcW w:w="3031" w:type="dxa"/>
          </w:tcPr>
          <w:p w14:paraId="309E9521">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28～33</w:t>
            </w:r>
          </w:p>
        </w:tc>
      </w:tr>
      <w:tr w14:paraId="0C5B7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6F8C617A">
            <w:pPr>
              <w:spacing w:line="360" w:lineRule="auto"/>
              <w:rPr>
                <w:rFonts w:hint="eastAsia" w:ascii="宋体" w:hAnsi="宋体" w:eastAsia="宋体" w:cs="宋体"/>
                <w:position w:val="-34"/>
                <w:szCs w:val="21"/>
              </w:rPr>
            </w:pPr>
          </w:p>
        </w:tc>
        <w:tc>
          <w:tcPr>
            <w:tcW w:w="2335" w:type="dxa"/>
            <w:gridSpan w:val="2"/>
          </w:tcPr>
          <w:p w14:paraId="7FBE4726">
            <w:pPr>
              <w:spacing w:line="360" w:lineRule="auto"/>
              <w:rPr>
                <w:rFonts w:hint="eastAsia" w:ascii="宋体" w:hAnsi="宋体" w:eastAsia="宋体" w:cs="宋体"/>
                <w:color w:val="000000"/>
                <w:position w:val="-34"/>
                <w:szCs w:val="21"/>
              </w:rPr>
            </w:pPr>
            <w:r>
              <w:rPr>
                <w:rFonts w:hint="eastAsia" w:ascii="宋体" w:hAnsi="宋体" w:eastAsia="宋体" w:cs="宋体"/>
                <w:position w:val="-34"/>
                <w:szCs w:val="21"/>
              </w:rPr>
              <w:t>水  阻</w:t>
            </w:r>
          </w:p>
        </w:tc>
        <w:tc>
          <w:tcPr>
            <w:tcW w:w="1107" w:type="dxa"/>
          </w:tcPr>
          <w:p w14:paraId="4D1DC5D0">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m</w:t>
            </w:r>
          </w:p>
        </w:tc>
        <w:tc>
          <w:tcPr>
            <w:tcW w:w="3031" w:type="dxa"/>
          </w:tcPr>
          <w:p w14:paraId="441909B2">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～7.5</w:t>
            </w:r>
          </w:p>
        </w:tc>
      </w:tr>
      <w:tr w14:paraId="0C14A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1728F47D">
            <w:pPr>
              <w:spacing w:line="360" w:lineRule="auto"/>
              <w:rPr>
                <w:rFonts w:hint="eastAsia" w:ascii="宋体" w:hAnsi="宋体" w:eastAsia="宋体" w:cs="宋体"/>
                <w:position w:val="-34"/>
                <w:szCs w:val="21"/>
              </w:rPr>
            </w:pPr>
          </w:p>
        </w:tc>
        <w:tc>
          <w:tcPr>
            <w:tcW w:w="2335" w:type="dxa"/>
            <w:gridSpan w:val="2"/>
          </w:tcPr>
          <w:p w14:paraId="56DCB7F8">
            <w:pPr>
              <w:spacing w:line="360" w:lineRule="auto"/>
              <w:rPr>
                <w:rFonts w:hint="eastAsia" w:ascii="宋体" w:hAnsi="宋体" w:eastAsia="宋体" w:cs="宋体"/>
                <w:position w:val="-34"/>
                <w:szCs w:val="21"/>
              </w:rPr>
            </w:pPr>
            <w:r>
              <w:rPr>
                <w:rFonts w:hint="eastAsia" w:ascii="宋体" w:hAnsi="宋体" w:eastAsia="宋体" w:cs="宋体"/>
                <w:position w:val="-34"/>
                <w:szCs w:val="21"/>
              </w:rPr>
              <w:t>水侧设计压力</w:t>
            </w:r>
          </w:p>
        </w:tc>
        <w:tc>
          <w:tcPr>
            <w:tcW w:w="1107" w:type="dxa"/>
          </w:tcPr>
          <w:p w14:paraId="48C5E396">
            <w:pPr>
              <w:spacing w:line="360" w:lineRule="auto"/>
              <w:jc w:val="center"/>
              <w:rPr>
                <w:rFonts w:hint="eastAsia" w:ascii="宋体" w:hAnsi="宋体" w:eastAsia="宋体" w:cs="宋体"/>
                <w:color w:val="000000"/>
                <w:position w:val="-36"/>
                <w:szCs w:val="21"/>
              </w:rPr>
            </w:pPr>
            <w:r>
              <w:rPr>
                <w:rFonts w:hint="eastAsia" w:ascii="宋体" w:hAnsi="宋体" w:eastAsia="宋体" w:cs="宋体"/>
                <w:position w:val="-34"/>
                <w:szCs w:val="21"/>
              </w:rPr>
              <w:t>Mpa</w:t>
            </w:r>
          </w:p>
        </w:tc>
        <w:tc>
          <w:tcPr>
            <w:tcW w:w="3031" w:type="dxa"/>
          </w:tcPr>
          <w:p w14:paraId="6A8A8310">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0.3</w:t>
            </w:r>
          </w:p>
        </w:tc>
      </w:tr>
      <w:tr w14:paraId="720C8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799F0D0F">
            <w:pPr>
              <w:spacing w:line="360" w:lineRule="auto"/>
              <w:rPr>
                <w:rFonts w:hint="eastAsia" w:ascii="宋体" w:hAnsi="宋体" w:eastAsia="宋体" w:cs="宋体"/>
                <w:position w:val="-34"/>
                <w:szCs w:val="21"/>
              </w:rPr>
            </w:pPr>
          </w:p>
        </w:tc>
        <w:tc>
          <w:tcPr>
            <w:tcW w:w="2335" w:type="dxa"/>
            <w:gridSpan w:val="2"/>
          </w:tcPr>
          <w:p w14:paraId="016DC4FD">
            <w:pPr>
              <w:spacing w:line="360" w:lineRule="auto"/>
              <w:rPr>
                <w:rFonts w:hint="eastAsia" w:ascii="宋体" w:hAnsi="宋体" w:eastAsia="宋体" w:cs="宋体"/>
                <w:position w:val="-34"/>
                <w:szCs w:val="21"/>
              </w:rPr>
            </w:pPr>
            <w:r>
              <w:rPr>
                <w:rFonts w:hint="eastAsia" w:ascii="宋体" w:hAnsi="宋体" w:eastAsia="宋体" w:cs="宋体"/>
                <w:position w:val="-34"/>
                <w:szCs w:val="21"/>
              </w:rPr>
              <w:t>管子材料</w:t>
            </w:r>
          </w:p>
        </w:tc>
        <w:tc>
          <w:tcPr>
            <w:tcW w:w="1107" w:type="dxa"/>
          </w:tcPr>
          <w:p w14:paraId="51A34FEB">
            <w:pPr>
              <w:spacing w:line="360" w:lineRule="auto"/>
              <w:jc w:val="center"/>
              <w:rPr>
                <w:rFonts w:hint="eastAsia" w:ascii="宋体" w:hAnsi="宋体" w:eastAsia="宋体" w:cs="宋体"/>
                <w:color w:val="000000"/>
                <w:position w:val="-36"/>
                <w:szCs w:val="21"/>
              </w:rPr>
            </w:pPr>
          </w:p>
        </w:tc>
        <w:tc>
          <w:tcPr>
            <w:tcW w:w="3031" w:type="dxa"/>
          </w:tcPr>
          <w:p w14:paraId="33014A2C">
            <w:pPr>
              <w:spacing w:line="360" w:lineRule="auto"/>
              <w:jc w:val="center"/>
              <w:rPr>
                <w:rFonts w:hint="eastAsia" w:ascii="宋体" w:hAnsi="宋体" w:eastAsia="宋体" w:cs="宋体"/>
                <w:color w:val="000000"/>
                <w:position w:val="-34"/>
                <w:szCs w:val="21"/>
              </w:rPr>
            </w:pPr>
            <w:r>
              <w:rPr>
                <w:rFonts w:hint="eastAsia" w:ascii="宋体" w:hAnsi="宋体" w:eastAsia="宋体" w:cs="宋体"/>
                <w:color w:val="000000"/>
                <w:position w:val="-34"/>
                <w:szCs w:val="21"/>
              </w:rPr>
              <w:t>0Cr18Ni9</w:t>
            </w:r>
          </w:p>
        </w:tc>
      </w:tr>
      <w:tr w14:paraId="674E3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tcPr>
          <w:p w14:paraId="4C25BB31">
            <w:pPr>
              <w:spacing w:line="360" w:lineRule="auto"/>
              <w:jc w:val="center"/>
              <w:rPr>
                <w:rFonts w:hint="eastAsia" w:ascii="宋体" w:hAnsi="宋体" w:eastAsia="宋体" w:cs="宋体"/>
                <w:position w:val="-34"/>
                <w:szCs w:val="21"/>
              </w:rPr>
            </w:pPr>
          </w:p>
        </w:tc>
        <w:tc>
          <w:tcPr>
            <w:tcW w:w="2335" w:type="dxa"/>
            <w:gridSpan w:val="2"/>
          </w:tcPr>
          <w:p w14:paraId="0A8DCD31">
            <w:pPr>
              <w:spacing w:line="360" w:lineRule="auto"/>
              <w:rPr>
                <w:rFonts w:hint="eastAsia" w:ascii="宋体" w:hAnsi="宋体" w:eastAsia="宋体" w:cs="宋体"/>
                <w:position w:val="-34"/>
                <w:szCs w:val="21"/>
              </w:rPr>
            </w:pPr>
            <w:r>
              <w:rPr>
                <w:rFonts w:hint="eastAsia" w:ascii="宋体" w:hAnsi="宋体" w:eastAsia="宋体" w:cs="宋体"/>
                <w:position w:val="-34"/>
                <w:szCs w:val="21"/>
              </w:rPr>
              <w:t>无水时净重</w:t>
            </w:r>
          </w:p>
        </w:tc>
        <w:tc>
          <w:tcPr>
            <w:tcW w:w="1107" w:type="dxa"/>
          </w:tcPr>
          <w:p w14:paraId="46B2A6D9">
            <w:pPr>
              <w:spacing w:line="360" w:lineRule="auto"/>
              <w:jc w:val="center"/>
              <w:rPr>
                <w:rFonts w:hint="eastAsia" w:ascii="宋体" w:hAnsi="宋体" w:eastAsia="宋体" w:cs="宋体"/>
                <w:position w:val="-34"/>
                <w:szCs w:val="21"/>
              </w:rPr>
            </w:pPr>
            <w:r>
              <w:rPr>
                <w:rFonts w:hint="eastAsia" w:ascii="宋体" w:hAnsi="宋体" w:eastAsia="宋体" w:cs="宋体"/>
                <w:position w:val="-34"/>
                <w:szCs w:val="21"/>
              </w:rPr>
              <w:t>t</w:t>
            </w:r>
          </w:p>
        </w:tc>
        <w:tc>
          <w:tcPr>
            <w:tcW w:w="3031" w:type="dxa"/>
          </w:tcPr>
          <w:p w14:paraId="55B7C47F">
            <w:pPr>
              <w:spacing w:line="360" w:lineRule="auto"/>
              <w:jc w:val="center"/>
              <w:rPr>
                <w:rFonts w:hint="eastAsia" w:ascii="宋体" w:hAnsi="宋体" w:eastAsia="宋体" w:cs="宋体"/>
                <w:color w:val="000000"/>
                <w:position w:val="-36"/>
                <w:szCs w:val="21"/>
              </w:rPr>
            </w:pPr>
            <w:r>
              <w:rPr>
                <w:rFonts w:hint="eastAsia" w:ascii="宋体" w:hAnsi="宋体" w:eastAsia="宋体" w:cs="宋体"/>
                <w:color w:val="000000"/>
                <w:position w:val="-34"/>
                <w:szCs w:val="21"/>
              </w:rPr>
              <w:t>～10.47</w:t>
            </w:r>
          </w:p>
        </w:tc>
      </w:tr>
      <w:tr w14:paraId="3DE64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19DEA8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油箱电加热器</w:t>
            </w:r>
          </w:p>
        </w:tc>
        <w:tc>
          <w:tcPr>
            <w:tcW w:w="2335" w:type="dxa"/>
            <w:gridSpan w:val="2"/>
            <w:vAlign w:val="center"/>
          </w:tcPr>
          <w:p w14:paraId="745C58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  号</w:t>
            </w:r>
          </w:p>
        </w:tc>
        <w:tc>
          <w:tcPr>
            <w:tcW w:w="1107" w:type="dxa"/>
            <w:vAlign w:val="center"/>
          </w:tcPr>
          <w:p w14:paraId="36688A26">
            <w:pPr>
              <w:spacing w:line="360" w:lineRule="auto"/>
              <w:jc w:val="center"/>
              <w:rPr>
                <w:rFonts w:hint="eastAsia" w:ascii="宋体" w:hAnsi="宋体" w:eastAsia="宋体" w:cs="宋体"/>
                <w:color w:val="auto"/>
                <w:szCs w:val="21"/>
                <w:highlight w:val="none"/>
              </w:rPr>
            </w:pPr>
          </w:p>
        </w:tc>
        <w:tc>
          <w:tcPr>
            <w:tcW w:w="3031" w:type="dxa"/>
            <w:vAlign w:val="center"/>
          </w:tcPr>
          <w:p w14:paraId="48E713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GYY4-220/8</w:t>
            </w:r>
          </w:p>
        </w:tc>
      </w:tr>
      <w:tr w14:paraId="71E28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42830839">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0DBD62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107" w:type="dxa"/>
            <w:vAlign w:val="center"/>
          </w:tcPr>
          <w:p w14:paraId="40A690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3031" w:type="dxa"/>
            <w:vAlign w:val="center"/>
          </w:tcPr>
          <w:p w14:paraId="7D76BA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614A7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390905B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751209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  率</w:t>
            </w:r>
          </w:p>
        </w:tc>
        <w:tc>
          <w:tcPr>
            <w:tcW w:w="1107" w:type="dxa"/>
            <w:vAlign w:val="center"/>
          </w:tcPr>
          <w:p w14:paraId="41E017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KW</w:t>
            </w:r>
          </w:p>
        </w:tc>
        <w:tc>
          <w:tcPr>
            <w:tcW w:w="3031" w:type="dxa"/>
            <w:vAlign w:val="center"/>
          </w:tcPr>
          <w:p w14:paraId="618AFA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r>
      <w:tr w14:paraId="25F0B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212FA71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3E66C2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压</w:t>
            </w:r>
          </w:p>
        </w:tc>
        <w:tc>
          <w:tcPr>
            <w:tcW w:w="1107" w:type="dxa"/>
            <w:vAlign w:val="center"/>
          </w:tcPr>
          <w:p w14:paraId="01F08D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V</w:t>
            </w:r>
          </w:p>
        </w:tc>
        <w:tc>
          <w:tcPr>
            <w:tcW w:w="3031" w:type="dxa"/>
            <w:vAlign w:val="center"/>
          </w:tcPr>
          <w:p w14:paraId="28155A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220（AC）</w:t>
            </w:r>
          </w:p>
        </w:tc>
      </w:tr>
      <w:tr w14:paraId="73CEC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6CC4AB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蓄能器</w:t>
            </w:r>
          </w:p>
        </w:tc>
        <w:tc>
          <w:tcPr>
            <w:tcW w:w="2335" w:type="dxa"/>
            <w:gridSpan w:val="2"/>
            <w:vAlign w:val="center"/>
          </w:tcPr>
          <w:p w14:paraId="49162D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  号</w:t>
            </w:r>
          </w:p>
        </w:tc>
        <w:tc>
          <w:tcPr>
            <w:tcW w:w="1107" w:type="dxa"/>
            <w:vAlign w:val="center"/>
          </w:tcPr>
          <w:p w14:paraId="585CB309">
            <w:pPr>
              <w:spacing w:line="360" w:lineRule="auto"/>
              <w:jc w:val="center"/>
              <w:rPr>
                <w:rFonts w:hint="eastAsia" w:ascii="宋体" w:hAnsi="宋体" w:eastAsia="宋体" w:cs="宋体"/>
                <w:color w:val="auto"/>
                <w:szCs w:val="21"/>
                <w:highlight w:val="none"/>
              </w:rPr>
            </w:pPr>
          </w:p>
        </w:tc>
        <w:tc>
          <w:tcPr>
            <w:tcW w:w="3031" w:type="dxa"/>
            <w:vAlign w:val="center"/>
          </w:tcPr>
          <w:p w14:paraId="367349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NXQA-25/10-L</w:t>
            </w:r>
          </w:p>
        </w:tc>
      </w:tr>
      <w:tr w14:paraId="0BDBC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1BA1925F">
            <w:pPr>
              <w:spacing w:line="360" w:lineRule="auto"/>
              <w:jc w:val="center"/>
              <w:rPr>
                <w:rFonts w:hint="eastAsia" w:ascii="宋体" w:hAnsi="宋体" w:eastAsia="宋体" w:cs="宋体"/>
                <w:color w:val="auto"/>
                <w:szCs w:val="21"/>
                <w:highlight w:val="none"/>
              </w:rPr>
            </w:pPr>
          </w:p>
        </w:tc>
        <w:tc>
          <w:tcPr>
            <w:tcW w:w="2335" w:type="dxa"/>
            <w:gridSpan w:val="2"/>
            <w:vAlign w:val="center"/>
          </w:tcPr>
          <w:p w14:paraId="03BFA9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107" w:type="dxa"/>
            <w:vAlign w:val="center"/>
          </w:tcPr>
          <w:p w14:paraId="176636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w:t>
            </w:r>
          </w:p>
        </w:tc>
        <w:tc>
          <w:tcPr>
            <w:tcW w:w="3031" w:type="dxa"/>
            <w:vAlign w:val="center"/>
          </w:tcPr>
          <w:p w14:paraId="0B760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2757B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D22D749">
            <w:pPr>
              <w:spacing w:line="360" w:lineRule="auto"/>
              <w:jc w:val="center"/>
              <w:rPr>
                <w:rFonts w:hint="eastAsia" w:ascii="宋体" w:hAnsi="宋体" w:eastAsia="宋体" w:cs="宋体"/>
                <w:color w:val="auto"/>
                <w:szCs w:val="21"/>
                <w:highlight w:val="none"/>
              </w:rPr>
            </w:pPr>
          </w:p>
        </w:tc>
        <w:tc>
          <w:tcPr>
            <w:tcW w:w="2335" w:type="dxa"/>
            <w:gridSpan w:val="2"/>
          </w:tcPr>
          <w:p w14:paraId="1AE13962">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公称容积</w:t>
            </w:r>
          </w:p>
        </w:tc>
        <w:tc>
          <w:tcPr>
            <w:tcW w:w="1107" w:type="dxa"/>
          </w:tcPr>
          <w:p w14:paraId="4B2B3805">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L</w:t>
            </w:r>
          </w:p>
        </w:tc>
        <w:tc>
          <w:tcPr>
            <w:tcW w:w="3031" w:type="dxa"/>
          </w:tcPr>
          <w:p w14:paraId="27DDE89D">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40/个</w:t>
            </w:r>
          </w:p>
        </w:tc>
      </w:tr>
      <w:tr w14:paraId="1ADCC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D2D316F">
            <w:pPr>
              <w:spacing w:line="360" w:lineRule="auto"/>
              <w:jc w:val="center"/>
              <w:rPr>
                <w:rFonts w:hint="eastAsia" w:ascii="宋体" w:hAnsi="宋体" w:eastAsia="宋体" w:cs="宋体"/>
                <w:color w:val="auto"/>
                <w:szCs w:val="21"/>
                <w:highlight w:val="none"/>
              </w:rPr>
            </w:pPr>
          </w:p>
        </w:tc>
        <w:tc>
          <w:tcPr>
            <w:tcW w:w="2335" w:type="dxa"/>
            <w:gridSpan w:val="2"/>
          </w:tcPr>
          <w:p w14:paraId="1AEAB1D0">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充气介质</w:t>
            </w:r>
          </w:p>
        </w:tc>
        <w:tc>
          <w:tcPr>
            <w:tcW w:w="1107" w:type="dxa"/>
          </w:tcPr>
          <w:p w14:paraId="3EDF6ED9">
            <w:pPr>
              <w:spacing w:line="360" w:lineRule="auto"/>
              <w:jc w:val="center"/>
              <w:rPr>
                <w:rFonts w:hint="eastAsia" w:ascii="宋体" w:hAnsi="宋体" w:eastAsia="宋体" w:cs="宋体"/>
                <w:color w:val="auto"/>
                <w:position w:val="-34"/>
                <w:szCs w:val="21"/>
                <w:highlight w:val="none"/>
              </w:rPr>
            </w:pPr>
          </w:p>
        </w:tc>
        <w:tc>
          <w:tcPr>
            <w:tcW w:w="3031" w:type="dxa"/>
          </w:tcPr>
          <w:p w14:paraId="2D39E441">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氮气</w:t>
            </w:r>
          </w:p>
        </w:tc>
      </w:tr>
      <w:tr w14:paraId="268E7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0626F573">
            <w:pPr>
              <w:spacing w:line="360" w:lineRule="auto"/>
              <w:jc w:val="center"/>
              <w:rPr>
                <w:rFonts w:hint="eastAsia" w:ascii="宋体" w:hAnsi="宋体" w:eastAsia="宋体" w:cs="宋体"/>
                <w:color w:val="auto"/>
                <w:szCs w:val="21"/>
                <w:highlight w:val="none"/>
              </w:rPr>
            </w:pPr>
          </w:p>
        </w:tc>
        <w:tc>
          <w:tcPr>
            <w:tcW w:w="2335" w:type="dxa"/>
            <w:gridSpan w:val="2"/>
          </w:tcPr>
          <w:p w14:paraId="7BADF7ED">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充气压力</w:t>
            </w:r>
          </w:p>
        </w:tc>
        <w:tc>
          <w:tcPr>
            <w:tcW w:w="1107" w:type="dxa"/>
          </w:tcPr>
          <w:p w14:paraId="728B6CCB">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Mpa</w:t>
            </w:r>
          </w:p>
        </w:tc>
        <w:tc>
          <w:tcPr>
            <w:tcW w:w="3031" w:type="dxa"/>
          </w:tcPr>
          <w:p w14:paraId="4EE4A659">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0.4</w:t>
            </w:r>
          </w:p>
        </w:tc>
      </w:tr>
      <w:tr w14:paraId="4466D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restart"/>
            <w:vAlign w:val="center"/>
          </w:tcPr>
          <w:p w14:paraId="77D5E7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轴头主油泵</w:t>
            </w:r>
          </w:p>
          <w:p w14:paraId="4C0109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（带齿轮箱上）</w:t>
            </w:r>
          </w:p>
        </w:tc>
        <w:tc>
          <w:tcPr>
            <w:tcW w:w="2335" w:type="dxa"/>
            <w:gridSpan w:val="2"/>
          </w:tcPr>
          <w:p w14:paraId="703717BA">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数量</w:t>
            </w:r>
          </w:p>
        </w:tc>
        <w:tc>
          <w:tcPr>
            <w:tcW w:w="1107" w:type="dxa"/>
          </w:tcPr>
          <w:p w14:paraId="66B04733">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台</w:t>
            </w:r>
          </w:p>
        </w:tc>
        <w:tc>
          <w:tcPr>
            <w:tcW w:w="3031" w:type="dxa"/>
          </w:tcPr>
          <w:p w14:paraId="65FB2B57">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1</w:t>
            </w:r>
          </w:p>
        </w:tc>
      </w:tr>
      <w:tr w14:paraId="10765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34" w:hRule="atLeast"/>
          <w:jc w:val="center"/>
        </w:trPr>
        <w:tc>
          <w:tcPr>
            <w:tcW w:w="1988" w:type="dxa"/>
            <w:vMerge w:val="continue"/>
            <w:vAlign w:val="center"/>
          </w:tcPr>
          <w:p w14:paraId="6616B920">
            <w:pPr>
              <w:spacing w:line="360" w:lineRule="auto"/>
              <w:rPr>
                <w:rFonts w:hint="eastAsia" w:ascii="宋体" w:hAnsi="宋体" w:eastAsia="宋体" w:cs="宋体"/>
                <w:color w:val="auto"/>
                <w:szCs w:val="21"/>
                <w:highlight w:val="none"/>
              </w:rPr>
            </w:pPr>
          </w:p>
        </w:tc>
        <w:tc>
          <w:tcPr>
            <w:tcW w:w="2335" w:type="dxa"/>
            <w:gridSpan w:val="2"/>
          </w:tcPr>
          <w:p w14:paraId="4AAAD17A">
            <w:pPr>
              <w:spacing w:line="360" w:lineRule="auto"/>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流量</w:t>
            </w:r>
          </w:p>
        </w:tc>
        <w:tc>
          <w:tcPr>
            <w:tcW w:w="1107" w:type="dxa"/>
          </w:tcPr>
          <w:p w14:paraId="02E6D542">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L/min</w:t>
            </w:r>
          </w:p>
        </w:tc>
        <w:tc>
          <w:tcPr>
            <w:tcW w:w="3031" w:type="dxa"/>
          </w:tcPr>
          <w:p w14:paraId="51E33E13">
            <w:pPr>
              <w:spacing w:line="360" w:lineRule="auto"/>
              <w:jc w:val="center"/>
              <w:rPr>
                <w:rFonts w:hint="eastAsia" w:ascii="宋体" w:hAnsi="宋体" w:eastAsia="宋体" w:cs="宋体"/>
                <w:color w:val="auto"/>
                <w:position w:val="-34"/>
                <w:szCs w:val="21"/>
                <w:highlight w:val="none"/>
              </w:rPr>
            </w:pPr>
            <w:r>
              <w:rPr>
                <w:rFonts w:hint="eastAsia" w:ascii="宋体" w:hAnsi="宋体" w:eastAsia="宋体" w:cs="宋体"/>
                <w:color w:val="auto"/>
                <w:position w:val="-34"/>
                <w:szCs w:val="21"/>
                <w:highlight w:val="none"/>
              </w:rPr>
              <w:t>210</w:t>
            </w:r>
          </w:p>
        </w:tc>
      </w:tr>
    </w:tbl>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CBF3655">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三、维保</w:t>
      </w:r>
      <w:r>
        <w:rPr>
          <w:rFonts w:hint="eastAsia" w:ascii="宋体"/>
          <w:b/>
          <w:bCs/>
          <w:color w:val="auto"/>
          <w:highlight w:val="none"/>
          <w:lang w:val="en-US" w:eastAsia="zh-CN"/>
        </w:rPr>
        <w:t>内容：</w:t>
      </w:r>
    </w:p>
    <w:tbl>
      <w:tblPr>
        <w:tblStyle w:val="16"/>
        <w:tblW w:w="0" w:type="auto"/>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387"/>
        <w:gridCol w:w="1417"/>
        <w:gridCol w:w="3803"/>
      </w:tblGrid>
      <w:tr w14:paraId="42AA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A6A96C8">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序号</w:t>
            </w:r>
          </w:p>
        </w:tc>
        <w:tc>
          <w:tcPr>
            <w:tcW w:w="2387" w:type="dxa"/>
          </w:tcPr>
          <w:p w14:paraId="32E3953E">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类别</w:t>
            </w:r>
          </w:p>
        </w:tc>
        <w:tc>
          <w:tcPr>
            <w:tcW w:w="1417" w:type="dxa"/>
          </w:tcPr>
          <w:p w14:paraId="3CA818E8">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次数</w:t>
            </w:r>
          </w:p>
        </w:tc>
        <w:tc>
          <w:tcPr>
            <w:tcW w:w="3803" w:type="dxa"/>
          </w:tcPr>
          <w:p w14:paraId="42F70DA6">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主要工作内容</w:t>
            </w:r>
          </w:p>
        </w:tc>
      </w:tr>
      <w:tr w14:paraId="3369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58114AA2">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w:t>
            </w:r>
          </w:p>
        </w:tc>
        <w:tc>
          <w:tcPr>
            <w:tcW w:w="2387" w:type="dxa"/>
            <w:vAlign w:val="center"/>
          </w:tcPr>
          <w:p w14:paraId="62D850E9">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周检查</w:t>
            </w:r>
          </w:p>
        </w:tc>
        <w:tc>
          <w:tcPr>
            <w:tcW w:w="1417" w:type="dxa"/>
            <w:vAlign w:val="center"/>
          </w:tcPr>
          <w:p w14:paraId="5D57FE3D">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35次</w:t>
            </w:r>
          </w:p>
        </w:tc>
        <w:tc>
          <w:tcPr>
            <w:tcW w:w="3803" w:type="dxa"/>
            <w:vAlign w:val="center"/>
          </w:tcPr>
          <w:p w14:paraId="773237E5">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每周一次定期检查，具体内容附后</w:t>
            </w:r>
          </w:p>
        </w:tc>
      </w:tr>
      <w:tr w14:paraId="422D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B28D4D8">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2</w:t>
            </w:r>
          </w:p>
        </w:tc>
        <w:tc>
          <w:tcPr>
            <w:tcW w:w="2387" w:type="dxa"/>
            <w:vAlign w:val="center"/>
          </w:tcPr>
          <w:p w14:paraId="32037A23">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月检查</w:t>
            </w:r>
          </w:p>
        </w:tc>
        <w:tc>
          <w:tcPr>
            <w:tcW w:w="1417" w:type="dxa"/>
            <w:vAlign w:val="center"/>
          </w:tcPr>
          <w:p w14:paraId="0C4F6F95">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11次</w:t>
            </w:r>
          </w:p>
        </w:tc>
        <w:tc>
          <w:tcPr>
            <w:tcW w:w="3803" w:type="dxa"/>
            <w:vAlign w:val="center"/>
          </w:tcPr>
          <w:p w14:paraId="66BFC614">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每月一次定期检查，具体内容附后</w:t>
            </w:r>
          </w:p>
        </w:tc>
      </w:tr>
      <w:tr w14:paraId="38B7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772D6B8">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3</w:t>
            </w:r>
          </w:p>
        </w:tc>
        <w:tc>
          <w:tcPr>
            <w:tcW w:w="2387" w:type="dxa"/>
            <w:vAlign w:val="center"/>
          </w:tcPr>
          <w:p w14:paraId="277C63E6">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季度检查维护</w:t>
            </w:r>
          </w:p>
        </w:tc>
        <w:tc>
          <w:tcPr>
            <w:tcW w:w="1417" w:type="dxa"/>
            <w:vAlign w:val="center"/>
          </w:tcPr>
          <w:p w14:paraId="31D754DC">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4次</w:t>
            </w:r>
          </w:p>
        </w:tc>
        <w:tc>
          <w:tcPr>
            <w:tcW w:w="3803" w:type="dxa"/>
            <w:vAlign w:val="center"/>
          </w:tcPr>
          <w:p w14:paraId="0DCD7F6E">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每季度一次定期检查，具体内容附后</w:t>
            </w:r>
          </w:p>
        </w:tc>
      </w:tr>
      <w:tr w14:paraId="5BB2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EB70D3F">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4</w:t>
            </w:r>
          </w:p>
        </w:tc>
        <w:tc>
          <w:tcPr>
            <w:tcW w:w="2387" w:type="dxa"/>
            <w:vAlign w:val="center"/>
          </w:tcPr>
          <w:p w14:paraId="7DD181D3">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年度大修</w:t>
            </w:r>
          </w:p>
        </w:tc>
        <w:tc>
          <w:tcPr>
            <w:tcW w:w="1417" w:type="dxa"/>
            <w:vAlign w:val="center"/>
          </w:tcPr>
          <w:p w14:paraId="7AD7B142">
            <w:pPr>
              <w:pStyle w:val="31"/>
              <w:pageBreakBefore w:val="0"/>
              <w:kinsoku/>
              <w:wordWrap/>
              <w:topLinePunct w:val="0"/>
              <w:bidi w:val="0"/>
              <w:snapToGrid w:val="0"/>
              <w:spacing w:line="360" w:lineRule="auto"/>
              <w:ind w:left="0" w:leftChars="0" w:firstLine="0" w:firstLineChars="0"/>
              <w:jc w:val="center"/>
              <w:rPr>
                <w:rFonts w:hint="default"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1次</w:t>
            </w:r>
          </w:p>
        </w:tc>
        <w:tc>
          <w:tcPr>
            <w:tcW w:w="3803" w:type="dxa"/>
            <w:vAlign w:val="center"/>
          </w:tcPr>
          <w:p w14:paraId="45B7F9CA">
            <w:pPr>
              <w:pStyle w:val="31"/>
              <w:pageBreakBefore w:val="0"/>
              <w:kinsoku/>
              <w:wordWrap/>
              <w:topLinePunct w:val="0"/>
              <w:bidi w:val="0"/>
              <w:snapToGrid w:val="0"/>
              <w:spacing w:line="360" w:lineRule="auto"/>
              <w:ind w:left="0" w:leftChars="0" w:firstLine="0" w:firstLineChars="0"/>
              <w:jc w:val="center"/>
              <w:rPr>
                <w:rFonts w:hint="eastAsia" w:ascii="仿宋" w:hAnsi="仿宋" w:eastAsia="仿宋" w:cs="仿宋"/>
                <w:color w:val="auto"/>
                <w:kern w:val="2"/>
                <w:position w:val="-34"/>
                <w:sz w:val="21"/>
                <w:szCs w:val="21"/>
                <w:lang w:val="en-US" w:eastAsia="zh-CN" w:bidi="ar-SA"/>
              </w:rPr>
            </w:pPr>
            <w:r>
              <w:rPr>
                <w:rFonts w:hint="eastAsia" w:ascii="仿宋" w:hAnsi="仿宋" w:eastAsia="仿宋" w:cs="仿宋"/>
                <w:color w:val="auto"/>
                <w:kern w:val="2"/>
                <w:position w:val="-34"/>
                <w:sz w:val="21"/>
                <w:szCs w:val="21"/>
                <w:lang w:val="en-US" w:eastAsia="zh-CN" w:bidi="ar-SA"/>
              </w:rPr>
              <w:t>每年一次大修，具体内容附后</w:t>
            </w:r>
          </w:p>
        </w:tc>
      </w:tr>
    </w:tbl>
    <w:p w14:paraId="074DA6E3">
      <w:pPr>
        <w:pStyle w:val="6"/>
        <w:numPr>
          <w:ilvl w:val="0"/>
          <w:numId w:val="0"/>
        </w:numPr>
        <w:ind w:firstLine="480" w:firstLineChars="200"/>
        <w:rPr>
          <w:rFonts w:hint="eastAsia" w:hAnsi="宋体" w:eastAsia="宋体" w:cs="宋体"/>
          <w:snapToGrid w:val="0"/>
          <w:color w:val="auto"/>
          <w:kern w:val="2"/>
          <w:sz w:val="24"/>
          <w:szCs w:val="21"/>
          <w:lang w:val="en-US" w:eastAsia="zh-CN" w:bidi="ar-SA"/>
        </w:rPr>
      </w:pPr>
    </w:p>
    <w:p w14:paraId="69326C5C">
      <w:pPr>
        <w:pStyle w:val="6"/>
        <w:numPr>
          <w:ilvl w:val="0"/>
          <w:numId w:val="0"/>
        </w:numPr>
        <w:ind w:firstLine="482" w:firstLineChars="200"/>
        <w:rPr>
          <w:rFonts w:hint="default" w:ascii="宋体" w:hAnsi="宋体" w:eastAsia="宋体" w:cs="宋体"/>
          <w:b/>
          <w:bCs/>
          <w:sz w:val="24"/>
          <w:highlight w:val="none"/>
          <w:lang w:val="en-US" w:eastAsia="zh-CN"/>
        </w:rPr>
      </w:pPr>
      <w:r>
        <w:rPr>
          <w:rFonts w:hint="eastAsia" w:hAnsi="宋体" w:eastAsia="宋体" w:cs="宋体"/>
          <w:b/>
          <w:bCs/>
          <w:sz w:val="24"/>
          <w:highlight w:val="none"/>
          <w:lang w:val="en-US" w:eastAsia="zh-CN"/>
        </w:rPr>
        <w:t>1.</w:t>
      </w:r>
      <w:r>
        <w:rPr>
          <w:rFonts w:hint="eastAsia" w:ascii="宋体" w:hAnsi="宋体" w:eastAsia="宋体" w:cs="宋体"/>
          <w:b/>
          <w:bCs/>
          <w:sz w:val="24"/>
          <w:highlight w:val="none"/>
          <w:lang w:val="en-US" w:eastAsia="zh-CN"/>
        </w:rPr>
        <w:t>周检查</w:t>
      </w:r>
      <w:r>
        <w:rPr>
          <w:rFonts w:hint="eastAsia" w:hAnsi="宋体" w:eastAsia="宋体" w:cs="宋体"/>
          <w:b/>
          <w:bCs/>
          <w:sz w:val="24"/>
          <w:highlight w:val="none"/>
          <w:lang w:val="en-US" w:eastAsia="zh-CN"/>
        </w:rPr>
        <w:t>内容</w:t>
      </w:r>
    </w:p>
    <w:p w14:paraId="2182B90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（1）记录汽轮机实时振动情况，以及进汽温度和压力，轴承振动值；</w:t>
      </w:r>
    </w:p>
    <w:p w14:paraId="534B990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（2）记录轴承进出口油温；</w:t>
      </w:r>
    </w:p>
    <w:p w14:paraId="25CA03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（3）记录润滑油压、测温（范围0.08~0.12MPa，35~45℃）；</w:t>
      </w:r>
    </w:p>
    <w:p w14:paraId="3C2BCEA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（4）检查抽汽逆止阀是否在正常工作状态；</w:t>
      </w:r>
    </w:p>
    <w:p w14:paraId="327BF48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（5）检查轴承油封环和油管路中的油泄漏或油雾；</w:t>
      </w:r>
    </w:p>
    <w:p w14:paraId="4E0658E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（6）检查汽轮机任何接口及阀杆处是否有蒸汽泄漏；</w:t>
      </w:r>
    </w:p>
    <w:p w14:paraId="0D2BB96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（7）检查调节系统是否稳定；</w:t>
      </w:r>
    </w:p>
    <w:p w14:paraId="75101C3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（8）测听汽缸内部噪音水平是否有变化；</w:t>
      </w:r>
    </w:p>
    <w:p w14:paraId="698D0DB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（9）测量并记录各轴承座轴承挡处表面金属温度；</w:t>
      </w:r>
    </w:p>
    <w:p w14:paraId="19DE46B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（10）检查汽轮机监测仪表是否正常；</w:t>
      </w:r>
    </w:p>
    <w:p w14:paraId="05DC122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（11）检查发电机外壳、接线盒、电缆有无破损、油污、腐蚀；  </w:t>
      </w:r>
    </w:p>
    <w:p w14:paraId="2C6F71B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（12）检查确认发电机铭牌标识清晰，接地线牢固无锈蚀；</w:t>
      </w:r>
    </w:p>
    <w:p w14:paraId="2903CA1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（13）检查发电机冷却系统（如风冷/水冷）是否正常，散热片无堵塞；</w:t>
      </w:r>
    </w:p>
    <w:p w14:paraId="610CB12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（14）记录发电机电压、电流、频率、功率因数等参数是否在额定范围内；</w:t>
      </w:r>
    </w:p>
    <w:p w14:paraId="10A1D97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（15）检查发电机轴承温度、绕组温度并记录，温度异常升高需及时报知甲方专工； </w:t>
      </w:r>
    </w:p>
    <w:p w14:paraId="736AF3C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（16）检查并测量发电机轴承和机座振动值并记录，振动异常需需及时报知甲方专工； </w:t>
      </w:r>
    </w:p>
    <w:p w14:paraId="5CC15C4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（17）检查发电机是否有噪音，是否有内部摩擦或松动异响。</w:t>
      </w:r>
    </w:p>
    <w:p w14:paraId="58B82F49">
      <w:pPr>
        <w:pStyle w:val="6"/>
        <w:numPr>
          <w:ilvl w:val="0"/>
          <w:numId w:val="0"/>
        </w:numPr>
        <w:ind w:firstLine="482" w:firstLineChars="200"/>
        <w:rPr>
          <w:rFonts w:hint="eastAsia" w:ascii="宋体" w:hAnsi="宋体" w:eastAsia="宋体" w:cs="宋体"/>
          <w:b/>
          <w:bCs/>
          <w:sz w:val="24"/>
          <w:highlight w:val="none"/>
          <w:lang w:val="en-US" w:eastAsia="zh-CN"/>
        </w:rPr>
      </w:pPr>
      <w:bookmarkStart w:id="20" w:name="_Toc18468"/>
      <w:r>
        <w:rPr>
          <w:rFonts w:hint="eastAsia" w:hAnsi="宋体" w:eastAsia="宋体" w:cs="宋体"/>
          <w:b/>
          <w:bCs/>
          <w:sz w:val="24"/>
          <w:highlight w:val="none"/>
          <w:lang w:val="en-US" w:eastAsia="zh-CN"/>
        </w:rPr>
        <w:t>2</w:t>
      </w:r>
      <w:r>
        <w:rPr>
          <w:rFonts w:hint="eastAsia" w:ascii="宋体" w:hAnsi="宋体" w:eastAsia="宋体" w:cs="宋体"/>
          <w:b/>
          <w:bCs/>
          <w:sz w:val="24"/>
          <w:highlight w:val="none"/>
          <w:lang w:val="en-US" w:eastAsia="zh-CN"/>
        </w:rPr>
        <w:t>.月检查</w:t>
      </w:r>
      <w:bookmarkEnd w:id="20"/>
      <w:r>
        <w:rPr>
          <w:rFonts w:hint="eastAsia" w:hAnsi="宋体" w:eastAsia="宋体" w:cs="宋体"/>
          <w:b/>
          <w:bCs/>
          <w:sz w:val="24"/>
          <w:highlight w:val="none"/>
          <w:lang w:val="en-US" w:eastAsia="zh-CN"/>
        </w:rPr>
        <w:t>内容</w:t>
      </w:r>
    </w:p>
    <w:p w14:paraId="00F9FC8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（1）检查汽轮机监测仪表，包括振动和金属温度记录仪，检查期间应使这些仪表保持清洁，对仪表进行电气检查；</w:t>
      </w:r>
    </w:p>
    <w:p w14:paraId="2C4EBD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（2）检查抽汽管道阀门，检查这些阀门的所有控制器，包括操纵座、开关、电磁阀；</w:t>
      </w:r>
    </w:p>
    <w:p w14:paraId="6DA1A46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（3）检查汽轮机阀门，包括主蒸汽、抽汽、蒸汽管道；</w:t>
      </w:r>
    </w:p>
    <w:p w14:paraId="633CFF4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（4）测量疏水器或孔板上、下游管道的温度，检查所有的孔板和疏水器；</w:t>
      </w:r>
    </w:p>
    <w:p w14:paraId="00C4CBC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（5）检查润滑油及EH油油位并记录，如油位偏低需添加；</w:t>
      </w:r>
    </w:p>
    <w:p w14:paraId="3D7120E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（6）发电机轴承润滑脂添加，润滑脂需</w:t>
      </w: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自行准备，每次加约40g；</w:t>
      </w:r>
    </w:p>
    <w:p w14:paraId="51FE9F0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（7）月检查项目包含周检查项目。</w:t>
      </w:r>
    </w:p>
    <w:p w14:paraId="5627BB39">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w:t>
      </w:r>
      <w:r>
        <w:rPr>
          <w:rFonts w:hint="eastAsia" w:ascii="宋体" w:hAnsi="宋体" w:eastAsia="宋体" w:cs="宋体"/>
          <w:b/>
          <w:bCs/>
          <w:sz w:val="24"/>
          <w:highlight w:val="none"/>
          <w:lang w:val="en-US" w:eastAsia="zh-CN"/>
        </w:rPr>
        <w:t>季度检查</w:t>
      </w:r>
      <w:r>
        <w:rPr>
          <w:rFonts w:hint="eastAsia" w:hAnsi="宋体" w:eastAsia="宋体" w:cs="宋体"/>
          <w:b/>
          <w:bCs/>
          <w:sz w:val="24"/>
          <w:highlight w:val="none"/>
          <w:lang w:val="en-US" w:eastAsia="zh-CN"/>
        </w:rPr>
        <w:t>内容</w:t>
      </w:r>
    </w:p>
    <w:p w14:paraId="2C4FAF3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（1）每季度对EH油及汽轮机润滑油滤油过滤，过滤周期不低于两天；</w:t>
      </w:r>
    </w:p>
    <w:p w14:paraId="308A54BA">
      <w:pPr>
        <w:pStyle w:val="6"/>
        <w:numPr>
          <w:ilvl w:val="0"/>
          <w:numId w:val="0"/>
        </w:numPr>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w:t>
      </w:r>
      <w:r>
        <w:rPr>
          <w:rFonts w:hint="eastAsia" w:ascii="宋体" w:hAnsi="宋体" w:eastAsia="宋体" w:cs="宋体"/>
          <w:sz w:val="24"/>
          <w:highlight w:val="none"/>
          <w:lang w:val="en-US" w:eastAsia="zh-CN"/>
        </w:rPr>
        <w:t>季度检查维护项目包含周检查及月检查项目。</w:t>
      </w:r>
    </w:p>
    <w:p w14:paraId="73672081">
      <w:pPr>
        <w:pStyle w:val="6"/>
        <w:numPr>
          <w:ilvl w:val="0"/>
          <w:numId w:val="0"/>
        </w:numPr>
        <w:ind w:firstLine="482" w:firstLineChars="200"/>
        <w:rPr>
          <w:rFonts w:hint="eastAsia" w:ascii="宋体" w:hAnsi="宋体" w:eastAsia="宋体" w:cs="宋体"/>
          <w:b/>
          <w:bCs/>
          <w:sz w:val="24"/>
          <w:highlight w:val="none"/>
          <w:lang w:val="en-US" w:eastAsia="zh-CN"/>
        </w:rPr>
      </w:pPr>
      <w:bookmarkStart w:id="21" w:name="_Toc14243"/>
      <w:r>
        <w:rPr>
          <w:rFonts w:hint="eastAsia" w:hAnsi="宋体" w:eastAsia="宋体" w:cs="宋体"/>
          <w:b/>
          <w:bCs/>
          <w:sz w:val="24"/>
          <w:highlight w:val="none"/>
          <w:lang w:val="en-US" w:eastAsia="zh-CN"/>
        </w:rPr>
        <w:t>4</w:t>
      </w:r>
      <w:r>
        <w:rPr>
          <w:rFonts w:hint="eastAsia" w:ascii="宋体" w:hAnsi="宋体" w:eastAsia="宋体" w:cs="宋体"/>
          <w:b/>
          <w:bCs/>
          <w:sz w:val="24"/>
          <w:highlight w:val="none"/>
          <w:lang w:val="en-US" w:eastAsia="zh-CN"/>
        </w:rPr>
        <w:t>.年度大修</w:t>
      </w:r>
      <w:bookmarkEnd w:id="21"/>
      <w:r>
        <w:rPr>
          <w:rFonts w:hint="eastAsia" w:hAnsi="宋体" w:eastAsia="宋体" w:cs="宋体"/>
          <w:b/>
          <w:bCs/>
          <w:sz w:val="24"/>
          <w:highlight w:val="none"/>
          <w:lang w:val="en-US" w:eastAsia="zh-CN"/>
        </w:rPr>
        <w:t>内容</w:t>
      </w:r>
    </w:p>
    <w:p w14:paraId="0C81CAA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（1）对主汽门、调节汽阀要测定阀杆、阻汽套、衬套等零件的氧化积垢情况，要恢复其设计间隙，并要核查各密封面（包括自密封面）的接触情况并予以修复；</w:t>
      </w:r>
    </w:p>
    <w:p w14:paraId="0D17F02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（2）对汽缸要检查所有配合与装配表面，注意汽缸壁上是否有磨蚀，检查水平中分面有否漏汽迹象，如有需一并处理，检查法兰螺栓、螺母、垫圈，固定螺钉有否松脱；</w:t>
      </w:r>
    </w:p>
    <w:p w14:paraId="0ED85E2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全面检查各径向轴承，测定并记录轴承和轴颈的直径，检查轴颈上是否有划痕，擦伤或麻点。轴承衬瓦是否有蚀点，磨痕或脱落情况。推力轴承要检查正、反推力。检查各瓦块表面、各轴承热电偶接线情况；</w:t>
      </w:r>
    </w:p>
    <w:p w14:paraId="30A913E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（4）全面检查润滑系统（包括冷油器清洗，油箱清理，辅助油泵及轴承内部清洁）；</w:t>
      </w:r>
    </w:p>
    <w:p w14:paraId="47E2558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（5）全面检查转子及汽封系统，检查动叶片（包括叶根）和围带情况，末级叶片水蚀情况，测量记录检修前后通流部分的轴向和径向间隙。检查叶片磨蚀情况，检查汽封档凸肩情况，检查汽封环有否磨损；</w:t>
      </w:r>
    </w:p>
    <w:p w14:paraId="776BE58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（6）检查联轴器对中情况，检查其连接螺栓、螺母；</w:t>
      </w:r>
    </w:p>
    <w:p w14:paraId="0F220F5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（7）检查各隔板有否磨痕，各静叶尤其是出汽边是否有麻点、裂纹、金属磨蚀；</w:t>
      </w:r>
    </w:p>
    <w:p w14:paraId="7CE7155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（8）复核通流部分的定位基准，复核轴系的找中曲线，包括复核冷态各轴承标高与原始安装值有否变化，各联轴器处开口和外圆的变化情况，如有变化并予以修复；</w:t>
      </w:r>
    </w:p>
    <w:p w14:paraId="417F56E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（9）凝汽器检查，包括凝汽器内部汽侧检查及水侧管束、腔室检查并清洗。</w:t>
      </w:r>
    </w:p>
    <w:p w14:paraId="48AD31A6">
      <w:pPr>
        <w:pStyle w:val="6"/>
        <w:numPr>
          <w:ilvl w:val="0"/>
          <w:numId w:val="0"/>
        </w:numPr>
        <w:ind w:firstLine="482" w:firstLineChars="200"/>
        <w:rPr>
          <w:rFonts w:hint="default"/>
          <w:b/>
          <w:bCs/>
          <w:color w:val="auto"/>
          <w:lang w:val="en-US" w:eastAsia="zh-CN"/>
        </w:rPr>
      </w:pPr>
      <w:r>
        <w:rPr>
          <w:rFonts w:hint="eastAsia"/>
          <w:b/>
          <w:bCs/>
          <w:color w:val="auto"/>
          <w:lang w:val="en-US" w:eastAsia="zh-CN"/>
        </w:rPr>
        <w:t>四、维保技术要求</w:t>
      </w:r>
    </w:p>
    <w:p w14:paraId="27DDBBED">
      <w:pPr>
        <w:pStyle w:val="6"/>
        <w:numPr>
          <w:ilvl w:val="0"/>
          <w:numId w:val="0"/>
        </w:numPr>
        <w:ind w:firstLine="482" w:firstLineChars="200"/>
        <w:rPr>
          <w:rFonts w:hint="eastAsia" w:hAnsi="宋体" w:eastAsia="宋体" w:cs="宋体"/>
          <w:b/>
          <w:bCs/>
          <w:sz w:val="24"/>
          <w:highlight w:val="none"/>
          <w:lang w:val="en-US" w:eastAsia="zh-CN"/>
        </w:rPr>
      </w:pPr>
      <w:bookmarkStart w:id="22" w:name="_Toc92293423"/>
      <w:r>
        <w:rPr>
          <w:rFonts w:hint="eastAsia" w:hAnsi="宋体" w:eastAsia="宋体" w:cs="宋体"/>
          <w:b/>
          <w:bCs/>
          <w:sz w:val="24"/>
          <w:highlight w:val="none"/>
          <w:lang w:val="en-US" w:eastAsia="zh-CN"/>
        </w:rPr>
        <w:t>1.汽轮机运行中的检查项目</w:t>
      </w:r>
      <w:bookmarkEnd w:id="22"/>
    </w:p>
    <w:p w14:paraId="21B72B45">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运行人员应充分了解设备的运行限额，预防措施和运行程序，应始终严密监测汽轮机的状况。任何偏离正常值的状况都可能表明已出了故障或存在出事故的苗子，应立即查明。任何漏水、漏油、漏汽或保温层松脱等都是</w:t>
      </w:r>
      <w:r>
        <w:rPr>
          <w:rFonts w:hint="eastAsia" w:hAnsi="宋体" w:eastAsia="宋体" w:cs="宋体"/>
          <w:sz w:val="24"/>
          <w:highlight w:val="none"/>
          <w:lang w:val="en-US" w:eastAsia="zh-CN"/>
        </w:rPr>
        <w:t>不稳定因素</w:t>
      </w:r>
      <w:r>
        <w:rPr>
          <w:rFonts w:hint="eastAsia" w:ascii="宋体" w:hAnsi="宋体" w:eastAsia="宋体" w:cs="宋体"/>
          <w:sz w:val="24"/>
          <w:highlight w:val="none"/>
          <w:lang w:val="en-US" w:eastAsia="zh-CN"/>
        </w:rPr>
        <w:t>，可能酿成严重事故，任何这类情况都应立即查明。</w:t>
      </w:r>
    </w:p>
    <w:p w14:paraId="32322E0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在运行期间除完整记录综合运行日志“历史情况记录”外，在汽轮机停机检修前尚应检查下列项目，以确定需特别注意和检查的项目。</w:t>
      </w:r>
    </w:p>
    <w:p w14:paraId="5FE1925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（1）记录额定负荷，3/4和1/2额定负荷时的振动情况，相位角变化和幅值增减，以及进汽温度和压力。</w:t>
      </w:r>
    </w:p>
    <w:p w14:paraId="475EA6E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（2）记录额定负荷和卸负荷停机时轴承进出口油温和巴氏合金的温度。</w:t>
      </w:r>
    </w:p>
    <w:p w14:paraId="523D7F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（3）测定油滤网上是否有巴氏合金或其它金属碎片。</w:t>
      </w:r>
    </w:p>
    <w:p w14:paraId="38FAA91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（4）测定润滑油系统压力是否有任何变化。</w:t>
      </w:r>
    </w:p>
    <w:p w14:paraId="65456F8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（5）脱扣时主汽阀和调阀是否能迅速及时地关闭。</w:t>
      </w:r>
    </w:p>
    <w:p w14:paraId="2E58122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（6）脱扣后测定汽机惰走曲线</w:t>
      </w:r>
    </w:p>
    <w:p w14:paraId="7A0DFC4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（7）抽汽逆止阀是否在正常工作状态</w:t>
      </w:r>
    </w:p>
    <w:p w14:paraId="06EE33E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（8）转子位置是否与原基准值相比有了变化，应特别注意额定负荷下的比较。</w:t>
      </w:r>
    </w:p>
    <w:p w14:paraId="648C1CF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（9）注意轴承油封环和油管路中的油泄漏或油雾。</w:t>
      </w:r>
    </w:p>
    <w:p w14:paraId="081AA09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（10）注意在汽轮机的任何接口或阀杆处的任何蒸汽泄漏。</w:t>
      </w:r>
    </w:p>
    <w:p w14:paraId="783E9F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（11）观察各汽封是否正常。</w:t>
      </w:r>
    </w:p>
    <w:p w14:paraId="5F75C12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（12）调节系统是否稳定。</w:t>
      </w:r>
    </w:p>
    <w:p w14:paraId="19425B1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（13）调节油压是否有过什么变化。</w:t>
      </w:r>
    </w:p>
    <w:p w14:paraId="433226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（14）蒸汽排放系统是否正常。</w:t>
      </w:r>
    </w:p>
    <w:p w14:paraId="3A23C08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（15）交流油泵及直流油泵开关是否起作用。</w:t>
      </w:r>
    </w:p>
    <w:p w14:paraId="512FEBF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（16）测定汽缸内噪音水平是否有变化。</w:t>
      </w:r>
    </w:p>
    <w:p w14:paraId="6BEF802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（17）用表面式温度计测定各轴承座轴承挡处表面金属温度有任何变化。</w:t>
      </w:r>
    </w:p>
    <w:p w14:paraId="7CB7D65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（18）确定是否所有汽轮机监测仪表都正常工作。</w:t>
      </w:r>
    </w:p>
    <w:p w14:paraId="04AF3515">
      <w:pPr>
        <w:pStyle w:val="6"/>
        <w:numPr>
          <w:ilvl w:val="0"/>
          <w:numId w:val="0"/>
        </w:numPr>
        <w:ind w:firstLine="482" w:firstLineChars="200"/>
        <w:rPr>
          <w:rFonts w:hint="eastAsia" w:hAnsi="宋体" w:eastAsia="宋体" w:cs="宋体"/>
          <w:b/>
          <w:bCs/>
          <w:sz w:val="24"/>
          <w:highlight w:val="none"/>
          <w:lang w:val="en-US" w:eastAsia="zh-CN"/>
        </w:rPr>
      </w:pPr>
      <w:bookmarkStart w:id="23" w:name="_Toc92293424"/>
      <w:r>
        <w:rPr>
          <w:rFonts w:hint="eastAsia" w:hAnsi="宋体" w:eastAsia="宋体" w:cs="宋体"/>
          <w:b/>
          <w:bCs/>
          <w:sz w:val="24"/>
          <w:highlight w:val="none"/>
          <w:lang w:val="en-US" w:eastAsia="zh-CN"/>
        </w:rPr>
        <w:t>2.短期停机的检查项目</w:t>
      </w:r>
      <w:bookmarkEnd w:id="23"/>
    </w:p>
    <w:p w14:paraId="57E8A79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14:paraId="7AF1342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（2）检查所有有异常迹象的部件。</w:t>
      </w:r>
    </w:p>
    <w:p w14:paraId="358E9F4C">
      <w:pPr>
        <w:pStyle w:val="6"/>
        <w:numPr>
          <w:ilvl w:val="0"/>
          <w:numId w:val="0"/>
        </w:numPr>
        <w:ind w:firstLine="482" w:firstLineChars="200"/>
        <w:rPr>
          <w:rFonts w:hint="eastAsia" w:hAnsi="宋体" w:eastAsia="宋体" w:cs="宋体"/>
          <w:b/>
          <w:bCs/>
          <w:sz w:val="24"/>
          <w:highlight w:val="none"/>
          <w:lang w:val="en-US" w:eastAsia="zh-CN"/>
        </w:rPr>
      </w:pPr>
      <w:bookmarkStart w:id="24" w:name="_Toc92293426"/>
      <w:r>
        <w:rPr>
          <w:rFonts w:hint="eastAsia" w:hAnsi="宋体" w:eastAsia="宋体" w:cs="宋体"/>
          <w:b/>
          <w:bCs/>
          <w:sz w:val="24"/>
          <w:highlight w:val="none"/>
          <w:lang w:val="en-US" w:eastAsia="zh-CN"/>
        </w:rPr>
        <w:t>3.停机后的维护</w:t>
      </w:r>
      <w:bookmarkEnd w:id="24"/>
    </w:p>
    <w:p w14:paraId="04D7A266">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3.1</w:t>
      </w:r>
      <w:r>
        <w:rPr>
          <w:rFonts w:hint="eastAsia" w:ascii="宋体" w:hAnsi="宋体" w:eastAsia="宋体" w:cs="宋体"/>
          <w:sz w:val="24"/>
          <w:highlight w:val="none"/>
          <w:lang w:val="en-US" w:eastAsia="zh-CN"/>
        </w:rPr>
        <w:t>汽轮机停用期不超过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（无检修工作）时的保养措施：</w:t>
      </w:r>
    </w:p>
    <w:p w14:paraId="54847E8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（1）关闭机组与公共母管连接的汽水系统隔绝阀门，若阀门不严密应扩大隔绝范围或加装堵板。</w:t>
      </w:r>
    </w:p>
    <w:p w14:paraId="17AF89F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（2）开启有关通向大气的疏水、放水、放气等阀门。设法放尽管道、容器、箱内等内部的积水或存水。</w:t>
      </w:r>
    </w:p>
    <w:p w14:paraId="647E979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（3）每星期进行一次油箱低部放水，若有条件可启动各油泵进行油循环，如无条件则每天将转子转动半圈。</w:t>
      </w:r>
    </w:p>
    <w:p w14:paraId="3C1F1F1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（4）如汽轮机停用期适值冬季，则应做好防冻工作。</w:t>
      </w:r>
    </w:p>
    <w:p w14:paraId="5328A7C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（5）暴露于外部的加工面涂以防锈油。</w:t>
      </w:r>
    </w:p>
    <w:p w14:paraId="06877361">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3.2</w:t>
      </w:r>
      <w:r>
        <w:rPr>
          <w:rFonts w:hint="eastAsia" w:ascii="宋体" w:hAnsi="宋体" w:eastAsia="宋体" w:cs="宋体"/>
          <w:sz w:val="24"/>
          <w:highlight w:val="none"/>
          <w:lang w:val="en-US" w:eastAsia="zh-CN"/>
        </w:rPr>
        <w:t>汽轮机停用超过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，但不超过六个月（无检修工作）时的保养措施，除了应做好</w:t>
      </w:r>
      <w:r>
        <w:rPr>
          <w:rFonts w:hint="eastAsia" w:ascii="宋体" w:hAnsi="宋体" w:eastAsia="宋体" w:cs="宋体"/>
          <w:color w:val="auto"/>
          <w:sz w:val="24"/>
          <w:highlight w:val="none"/>
          <w:lang w:val="en-US" w:eastAsia="zh-CN"/>
        </w:rPr>
        <w:t>上述（</w:t>
      </w:r>
      <w:r>
        <w:rPr>
          <w:rFonts w:hint="eastAsia"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.1）保</w:t>
      </w:r>
      <w:r>
        <w:rPr>
          <w:rFonts w:hint="eastAsia" w:ascii="宋体" w:hAnsi="宋体" w:eastAsia="宋体" w:cs="宋体"/>
          <w:sz w:val="24"/>
          <w:highlight w:val="none"/>
          <w:lang w:val="en-US" w:eastAsia="zh-CN"/>
        </w:rPr>
        <w:t>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14:paraId="79E1C752">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w:t>
      </w:r>
      <w:r>
        <w:rPr>
          <w:rFonts w:hint="eastAsia" w:ascii="宋体" w:hAnsi="宋体" w:eastAsia="宋体" w:cs="宋体"/>
          <w:sz w:val="24"/>
          <w:highlight w:val="none"/>
          <w:lang w:val="en-US" w:eastAsia="zh-CN"/>
        </w:rPr>
        <w:t>汽轮机停用期超过六个月时的保养措施：除了应做好上述保养工作外，还应采用拆开保养法进行保养，即在金属表面涂上合适的防锈油脂，或喷上银粉等，妥善保管，并定期检查保养效果。</w:t>
      </w:r>
    </w:p>
    <w:p w14:paraId="4B941905">
      <w:pPr>
        <w:pStyle w:val="6"/>
        <w:numPr>
          <w:ilvl w:val="0"/>
          <w:numId w:val="0"/>
        </w:numPr>
        <w:ind w:firstLine="482" w:firstLineChars="200"/>
        <w:rPr>
          <w:rFonts w:hint="default" w:hAnsi="宋体" w:eastAsia="宋体" w:cs="宋体"/>
          <w:b/>
          <w:bCs/>
          <w:sz w:val="24"/>
          <w:highlight w:val="none"/>
          <w:lang w:val="en-US" w:eastAsia="zh-CN"/>
        </w:rPr>
      </w:pPr>
      <w:bookmarkStart w:id="25" w:name="_Toc92293427"/>
      <w:r>
        <w:rPr>
          <w:rFonts w:hint="eastAsia" w:hAnsi="宋体" w:eastAsia="宋体" w:cs="宋体"/>
          <w:b/>
          <w:bCs/>
          <w:sz w:val="24"/>
          <w:highlight w:val="none"/>
          <w:lang w:val="en-US" w:eastAsia="zh-CN"/>
        </w:rPr>
        <w:t>4.蒸汽管道的清洗</w:t>
      </w:r>
      <w:bookmarkEnd w:id="25"/>
      <w:r>
        <w:rPr>
          <w:rFonts w:hint="eastAsia" w:hAnsi="宋体" w:eastAsia="宋体" w:cs="宋体"/>
          <w:b/>
          <w:bCs/>
          <w:sz w:val="24"/>
          <w:highlight w:val="none"/>
          <w:lang w:val="en-US" w:eastAsia="zh-CN"/>
        </w:rPr>
        <w:t>要求</w:t>
      </w:r>
    </w:p>
    <w:p w14:paraId="288B101C">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4.1</w:t>
      </w:r>
      <w:r>
        <w:rPr>
          <w:rFonts w:hint="eastAsia" w:ascii="宋体" w:hAnsi="宋体" w:eastAsia="宋体" w:cs="宋体"/>
          <w:sz w:val="24"/>
          <w:highlight w:val="none"/>
          <w:lang w:val="en-US" w:eastAsia="zh-CN"/>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14:paraId="33EE53FE">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4.2清洗后，必须达到能清除掉外部杂物，如附在管子内表面的扎制鳞皮、焊珠、焊渣、氧化皮等。</w:t>
      </w:r>
    </w:p>
    <w:p w14:paraId="38354F1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4.3清洗的方法：蒸汽管道的清洗目前普遍采用蒸汽吹扫与化学清洗方法，应按照DL5011-92“电力建设施工及验收技术规范”（汽轮机机组篇）中的规定，依管道的类别分别选取蒸汽吹扫或是化学清洗。对蒸汽吹扫的管道需要按DL5031-94“电力建设施工及验收技术规范”（管道篇）的规定，用蒸汽吹扫合格。而对需进行化学清洗的管道，则应按DLJ58-83“电力建设施工及验收技术规范”（火力发电厂化学篇）的要求进行。</w:t>
      </w:r>
    </w:p>
    <w:p w14:paraId="4FE7056A">
      <w:pPr>
        <w:pStyle w:val="6"/>
        <w:numPr>
          <w:ilvl w:val="0"/>
          <w:numId w:val="0"/>
        </w:numPr>
        <w:ind w:firstLine="482" w:firstLineChars="200"/>
        <w:rPr>
          <w:rFonts w:hint="eastAsia" w:hAnsi="宋体" w:eastAsia="宋体" w:cs="宋体"/>
          <w:b/>
          <w:bCs/>
          <w:sz w:val="24"/>
          <w:highlight w:val="none"/>
          <w:lang w:val="en-US" w:eastAsia="zh-CN"/>
        </w:rPr>
      </w:pPr>
      <w:bookmarkStart w:id="26" w:name="_Toc92293428"/>
      <w:r>
        <w:rPr>
          <w:rFonts w:hint="eastAsia" w:hAnsi="宋体" w:eastAsia="宋体" w:cs="宋体"/>
          <w:b/>
          <w:bCs/>
          <w:sz w:val="24"/>
          <w:highlight w:val="none"/>
          <w:lang w:val="en-US" w:eastAsia="zh-CN"/>
        </w:rPr>
        <w:t>5.润滑要求</w:t>
      </w:r>
      <w:bookmarkEnd w:id="26"/>
    </w:p>
    <w:p w14:paraId="5CFF877F">
      <w:pPr>
        <w:pStyle w:val="31"/>
        <w:pageBreakBefore w:val="0"/>
        <w:kinsoku/>
        <w:wordWrap/>
        <w:topLinePunct w:val="0"/>
        <w:bidi w:val="0"/>
        <w:snapToGrid w:val="0"/>
        <w:spacing w:line="360" w:lineRule="auto"/>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5.1常规的润滑保养项目，对于汽轮机各部套配套的电动机、滚动轴承等需润滑保养的零部件，都按相应制造厂的要求，按常规注油维护。</w:t>
      </w:r>
    </w:p>
    <w:p w14:paraId="0587AF21">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5.2对油质的要求</w:t>
      </w:r>
    </w:p>
    <w:p w14:paraId="0B44B427">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（1）本汽轮机组所用的润滑油规定为32号汽轮机油，并加入防锈用复合添加剂。</w:t>
      </w:r>
    </w:p>
    <w:p w14:paraId="18FEA4AA">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汽轮机油质应符合GB11120-1989 L-TSA汽轮机油的规定，所用润滑油应是均匀的精炼矿物油，它不许含有砂砾，无机酸碱、皂液、沥青、柏油脂和树状杂质，或其他会影响油质或对所接触金属有害的任何杂质。</w:t>
      </w:r>
    </w:p>
    <w:p w14:paraId="6D7A5411">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对汽轮机用油的正确保养将保证轴承、轴颈和油泵等不产生过度的磨损，所以必须作定期的油抽样分析以确定油的特性有否改变，如已改变应查明原因予以处理。</w:t>
      </w:r>
    </w:p>
    <w:p w14:paraId="6600DBB6">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（2）在汽轮机运行期间，检验油质时，允许的杂质水平按下表的规定。</w:t>
      </w:r>
    </w:p>
    <w:tbl>
      <w:tblPr>
        <w:tblStyle w:val="1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3382"/>
      </w:tblGrid>
      <w:tr w14:paraId="5379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77" w:type="dxa"/>
            <w:vAlign w:val="center"/>
          </w:tcPr>
          <w:p w14:paraId="501F29B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杂质粒度尺寸（μ）</w:t>
            </w:r>
          </w:p>
        </w:tc>
        <w:tc>
          <w:tcPr>
            <w:tcW w:w="3382" w:type="dxa"/>
            <w:vAlign w:val="center"/>
          </w:tcPr>
          <w:p w14:paraId="168B5332">
            <w:pPr>
              <w:pStyle w:val="31"/>
              <w:pageBreakBefore w:val="0"/>
              <w:kinsoku/>
              <w:wordWrap/>
              <w:topLinePunct w:val="0"/>
              <w:bidi w:val="0"/>
              <w:snapToGrid w:val="0"/>
              <w:spacing w:line="360" w:lineRule="auto"/>
              <w:ind w:left="0" w:leftChars="0" w:firstLine="0" w:firstLineChars="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每100mL油样中允许的颗粒数</w:t>
            </w:r>
          </w:p>
        </w:tc>
      </w:tr>
      <w:tr w14:paraId="4494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7F2E00A8">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5～10</w:t>
            </w:r>
          </w:p>
        </w:tc>
        <w:tc>
          <w:tcPr>
            <w:tcW w:w="3382" w:type="dxa"/>
            <w:vAlign w:val="center"/>
          </w:tcPr>
          <w:p w14:paraId="05006657">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32000</w:t>
            </w:r>
          </w:p>
        </w:tc>
      </w:tr>
      <w:tr w14:paraId="298E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2708C5F5">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10～25</w:t>
            </w:r>
          </w:p>
        </w:tc>
        <w:tc>
          <w:tcPr>
            <w:tcW w:w="3382" w:type="dxa"/>
            <w:vAlign w:val="center"/>
          </w:tcPr>
          <w:p w14:paraId="10D0B75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10700</w:t>
            </w:r>
          </w:p>
        </w:tc>
      </w:tr>
      <w:tr w14:paraId="1B1E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4F5078E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25～100</w:t>
            </w:r>
          </w:p>
        </w:tc>
        <w:tc>
          <w:tcPr>
            <w:tcW w:w="3382" w:type="dxa"/>
            <w:vAlign w:val="center"/>
          </w:tcPr>
          <w:p w14:paraId="4DD767C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1510</w:t>
            </w:r>
          </w:p>
        </w:tc>
      </w:tr>
      <w:tr w14:paraId="5A97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53E61134">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50～250</w:t>
            </w:r>
          </w:p>
        </w:tc>
        <w:tc>
          <w:tcPr>
            <w:tcW w:w="3382" w:type="dxa"/>
            <w:vAlign w:val="center"/>
          </w:tcPr>
          <w:p w14:paraId="48C97D99">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225</w:t>
            </w:r>
          </w:p>
        </w:tc>
      </w:tr>
      <w:tr w14:paraId="5B4A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352D5275">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100～250</w:t>
            </w:r>
          </w:p>
        </w:tc>
        <w:tc>
          <w:tcPr>
            <w:tcW w:w="3382" w:type="dxa"/>
            <w:vAlign w:val="center"/>
          </w:tcPr>
          <w:p w14:paraId="095E921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21</w:t>
            </w:r>
          </w:p>
        </w:tc>
      </w:tr>
      <w:tr w14:paraId="6417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877" w:type="dxa"/>
            <w:vAlign w:val="center"/>
          </w:tcPr>
          <w:p w14:paraId="20D3C3F8">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&gt;250</w:t>
            </w:r>
          </w:p>
        </w:tc>
        <w:tc>
          <w:tcPr>
            <w:tcW w:w="3382" w:type="dxa"/>
            <w:vAlign w:val="center"/>
          </w:tcPr>
          <w:p w14:paraId="65EC3C8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无</w:t>
            </w:r>
          </w:p>
        </w:tc>
      </w:tr>
    </w:tbl>
    <w:p w14:paraId="28778F2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5.3对油系统清洁度的要求</w:t>
      </w:r>
    </w:p>
    <w:p w14:paraId="14145FF8">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在新机组安装后，油系统试运和油循环时油样（用150目油过滤器在最大流量下，置30min取样，然后清洗油过滤器，用200目滤网收集异物）应符合下列要求，油系统清洁度才是合格的。</w:t>
      </w:r>
    </w:p>
    <w:p w14:paraId="3C884740">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（1）没有大于0.25mm的硬颗粒，尺寸在0.125～0.25mm之间的硬颗粒总数不得大于5。</w:t>
      </w:r>
    </w:p>
    <w:p w14:paraId="3A4CB8E7">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（2）在冲洗期间通常要清除以下有害颗粒。</w:t>
      </w:r>
      <w:r>
        <w:rPr>
          <w:rFonts w:hint="eastAsia" w:ascii="宋体" w:hAnsi="宋体" w:eastAsia="宋体" w:cs="宋体"/>
          <w:snapToGrid w:val="0"/>
          <w:color w:val="auto"/>
          <w:kern w:val="2"/>
          <w:sz w:val="24"/>
          <w:szCs w:val="21"/>
          <w:highlight w:val="none"/>
          <w:lang w:val="en-US" w:eastAsia="zh-CN" w:bidi="ar-SA"/>
        </w:rPr>
        <w:tab/>
      </w:r>
    </w:p>
    <w:p w14:paraId="2D56EF3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大粒积垢或铁锈焊珠或焊渣、砂、石、水泥或玻璃，包括焊条在内的任何种类金属碎屑、片布料、塑料或其它不会檫伤轴颈，但却会阻挡油在管内流动或堵住管孔的物质。</w:t>
      </w:r>
    </w:p>
    <w:p w14:paraId="102C9DA3">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（3）虽稍大于0.25mm，但却可认为是无害的颗粒是棉花、碎纸、锯屑、烟丝、石棉和能很快用手指捻碎的其它软性物质，这些颗粒也要去除。</w:t>
      </w:r>
    </w:p>
    <w:p w14:paraId="36ACE67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如检查与分析的结果是洁净度不合格，则要继续让热油循环二小时后再收集油样，直至检查与分析合格。</w:t>
      </w:r>
    </w:p>
    <w:p w14:paraId="4681A636">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6.维修备件</w:t>
      </w:r>
    </w:p>
    <w:p w14:paraId="2C2040D6">
      <w:pPr>
        <w:pStyle w:val="6"/>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6.1</w:t>
      </w:r>
      <w:r>
        <w:rPr>
          <w:rFonts w:hint="eastAsia" w:ascii="宋体" w:hAnsi="宋体" w:eastAsia="宋体" w:cs="宋体"/>
          <w:snapToGrid w:val="0"/>
          <w:color w:val="auto"/>
          <w:kern w:val="2"/>
          <w:sz w:val="24"/>
          <w:szCs w:val="21"/>
          <w:highlight w:val="none"/>
          <w:u w:color="000000"/>
          <w:lang w:val="en-US" w:eastAsia="zh-CN" w:bidi="ar-SA"/>
        </w:rPr>
        <w:t>汽轮机</w:t>
      </w:r>
      <w:r>
        <w:rPr>
          <w:rFonts w:hint="eastAsia" w:hAnsi="宋体" w:eastAsia="宋体" w:cs="宋体"/>
          <w:snapToGrid w:val="0"/>
          <w:color w:val="auto"/>
          <w:kern w:val="2"/>
          <w:sz w:val="24"/>
          <w:szCs w:val="21"/>
          <w:highlight w:val="none"/>
          <w:u w:color="000000"/>
          <w:lang w:val="en-US" w:eastAsia="zh-CN" w:bidi="ar-SA"/>
        </w:rPr>
        <w:t>维修配件由采购人提供，低值易耗品由供应商提供，如螺栓、螺母、垫片、抹布等</w:t>
      </w:r>
      <w:r>
        <w:rPr>
          <w:rFonts w:hint="eastAsia" w:ascii="宋体" w:hAnsi="宋体" w:eastAsia="宋体" w:cs="宋体"/>
          <w:snapToGrid w:val="0"/>
          <w:color w:val="auto"/>
          <w:kern w:val="2"/>
          <w:sz w:val="24"/>
          <w:szCs w:val="21"/>
          <w:highlight w:val="none"/>
          <w:u w:color="000000"/>
          <w:lang w:val="en-US" w:eastAsia="zh-CN" w:bidi="ar-SA"/>
        </w:rPr>
        <w:t>。</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6.2维护保养期内，机组零部件发生故障或损坏，需更换新的备品备件时，维保方应向采购人报送需更换的备品清单（备品备件由于采购人提供），经采购人同意批准后方可更换。备件的安装、维修均由维保方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1.维保方在每次进行保养或维修服务时需要有采购人陪同，采购人对照维保方案现场检查项目是否符合采购人要求，双方在维保确认单上签字确认后验收合格。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▲六、服务要求</w:t>
      </w:r>
    </w:p>
    <w:p w14:paraId="1C3D719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1.机组运行期间，供应商指派相对固定的专业人员，对余热发电机组进行巡检（并记录各项数据）、维护保养，供应商每季度需提交一份有关维护保养的情况报</w:t>
      </w:r>
      <w:r>
        <w:rPr>
          <w:rFonts w:hint="eastAsia" w:ascii="宋体" w:hAnsi="宋体" w:eastAsia="宋体" w:cs="宋体"/>
          <w:color w:val="auto"/>
          <w:sz w:val="24"/>
          <w:szCs w:val="24"/>
          <w:highlight w:val="none"/>
          <w:lang w:val="en-US" w:eastAsia="zh-CN"/>
        </w:rPr>
        <w:t>告；若供应商的服务人员专业技能不满足要求时，供应商要及时更换人员至满足要求为止。</w:t>
      </w:r>
    </w:p>
    <w:p w14:paraId="2354F8C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2.运维包含的常规巡检保养内容包括检查机组的性能、运转状况及更换配件等；</w:t>
      </w:r>
    </w:p>
    <w:p w14:paraId="512C06B2">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应急维修：运维期间，机组运行出现故障时，运维方在接到采购人报修通知后，立即到达现场对设备进行检修，如果现场人员无法满足检维修条件，需尽快从别的项目派人过来维修，除了因为我方原因系统停机外，汽轮机年度运行时间不少于8000小时，停机检修期间，公司根据维修情况适时增派专业维修人员做好维修工作；</w:t>
      </w:r>
    </w:p>
    <w:p w14:paraId="7847724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4.合同期内发电机出现故障需大修时，运维单位需配合进行发电机维修单位拆装及调试工作。</w:t>
      </w:r>
    </w:p>
    <w:p w14:paraId="687105D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5.特别约定：</w:t>
      </w:r>
    </w:p>
    <w:p w14:paraId="3D870BE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5.1采购人在报修通知供应商时应一并提供相关报警信息，以便于供应商工程师做准备。</w:t>
      </w:r>
    </w:p>
    <w:p w14:paraId="6EE0300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5.2供应商严格遵守采购人各项外来人员的规章制度和安全规程。供应商自行承担工作人员在维护工作中的安全责任。如果出现安全事故，一切后果由供应商自行承担。</w:t>
      </w:r>
    </w:p>
    <w:p w14:paraId="2CB8724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5.3供应商不承担外部坏境或因人为误操作、破坏等引起的直接与间接的损失后果。</w:t>
      </w:r>
    </w:p>
    <w:p w14:paraId="5C02A7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5.4供应商不承担因地震、火灾、雷击、战争等自然力量不可抗拒的灾害所造成的机器损坏。</w:t>
      </w:r>
    </w:p>
    <w:p w14:paraId="48D63F1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5.5供应商有义务协助采购人维修上述5.3、5.4条发生时所造成的损坏，双方另行协商修理费用。</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七、安全要求</w:t>
      </w:r>
    </w:p>
    <w:p w14:paraId="15518E80">
      <w:pPr>
        <w:pStyle w:val="7"/>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负责技术服务过程中的机械及人员的安全，加强对技术服务人员的安全教育及防范措施，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4CC03E2">
      <w:pPr>
        <w:pStyle w:val="6"/>
        <w:numPr>
          <w:ilvl w:val="0"/>
          <w:numId w:val="0"/>
        </w:numPr>
        <w:ind w:firstLine="480" w:firstLineChars="200"/>
        <w:rPr>
          <w:rFonts w:hint="eastAsia"/>
          <w:b/>
          <w:bCs/>
          <w:color w:val="auto"/>
          <w:lang w:val="en-US" w:eastAsia="zh-CN"/>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E76B485">
      <w:pPr>
        <w:pStyle w:val="6"/>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八</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保密要求</w:t>
      </w:r>
    </w:p>
    <w:p w14:paraId="0E3133F9">
      <w:pPr>
        <w:tabs>
          <w:tab w:val="left" w:pos="360"/>
          <w:tab w:val="left" w:pos="540"/>
          <w:tab w:val="left" w:pos="1080"/>
        </w:tabs>
        <w:adjustRightInd w:val="0"/>
        <w:snapToGrid w:val="0"/>
        <w:spacing w:line="360" w:lineRule="auto"/>
        <w:ind w:firstLine="480" w:firstLineChars="200"/>
        <w:rPr>
          <w:rFonts w:hint="eastAsia" w:cs="仿宋" w:asciiTheme="minorEastAsia" w:hAnsiTheme="minorEastAsia"/>
          <w:color w:val="auto"/>
          <w:kern w:val="0"/>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人提供的所有业务技术资料、文档，有责任对第三方保密；</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在供货过程中涉及第三方产品（</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提供的），若出现技术、经济或法律上的纠纷，应由</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全面承担并解决，确保不影响项目的进度。</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应严格遵守</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人关于保密方面的规定，自觉保守</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的商业秘密。</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人为方便项目实施所提供给</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的工作流程、管理模式、规程、程序等相关文档资料、文档、数据均属于</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所有。未经</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人授权同意，</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不得另作他用。因</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原因导致上述资料、文档、数据或</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人商业秘密泄露的，</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人有权要求</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采取措施消除影响并赔偿</w:t>
      </w:r>
      <w:r>
        <w:rPr>
          <w:rFonts w:hint="eastAsia" w:ascii="宋体" w:hAnsi="宋体" w:eastAsia="宋体" w:cs="宋体"/>
          <w:color w:val="auto"/>
          <w:sz w:val="24"/>
          <w:lang w:eastAsia="zh-CN"/>
        </w:rPr>
        <w:t>采购人</w:t>
      </w:r>
      <w:r>
        <w:rPr>
          <w:rFonts w:hint="eastAsia" w:ascii="宋体" w:hAnsi="宋体" w:eastAsia="宋体" w:cs="宋体"/>
          <w:color w:val="auto"/>
          <w:sz w:val="24"/>
        </w:rPr>
        <w:t>损失</w:t>
      </w:r>
      <w:r>
        <w:rPr>
          <w:rFonts w:hint="eastAsia" w:ascii="宋体" w:hAnsi="宋体" w:eastAsia="宋体" w:cs="宋体"/>
          <w:color w:val="auto"/>
          <w:sz w:val="24"/>
          <w:lang w:val="en-US" w:eastAsia="zh-CN"/>
        </w:rPr>
        <w:t>。</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九、结算方式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十</w:t>
      </w:r>
      <w:r>
        <w:rPr>
          <w:rFonts w:hint="eastAsia"/>
          <w:b/>
          <w:bCs/>
          <w:color w:val="auto"/>
          <w:lang w:val="en-US" w:eastAsia="zh-CN"/>
        </w:rPr>
        <w:t>、售后要求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7" w:name="_Toc184310333"/>
      <w:bookmarkEnd w:id="27"/>
      <w:bookmarkStart w:id="28" w:name="_Toc184313307"/>
      <w:bookmarkEnd w:id="28"/>
      <w:bookmarkStart w:id="29" w:name="_Toc184312101"/>
      <w:bookmarkEnd w:id="29"/>
      <w:bookmarkStart w:id="30" w:name="_Toc184314425"/>
      <w:bookmarkEnd w:id="30"/>
      <w:bookmarkStart w:id="31" w:name="_Toc184308099"/>
      <w:bookmarkEnd w:id="31"/>
      <w:bookmarkStart w:id="32" w:name="_Toc184308037"/>
      <w:bookmarkEnd w:id="32"/>
      <w:bookmarkStart w:id="33" w:name="_Toc184312078"/>
      <w:bookmarkEnd w:id="33"/>
      <w:bookmarkStart w:id="34" w:name="_Toc184313246"/>
      <w:bookmarkEnd w:id="34"/>
      <w:bookmarkStart w:id="35" w:name="_Toc184314427"/>
      <w:bookmarkEnd w:id="35"/>
      <w:bookmarkStart w:id="36" w:name="_Toc184313295"/>
      <w:bookmarkEnd w:id="36"/>
      <w:bookmarkStart w:id="37" w:name="_Toc184314467"/>
      <w:bookmarkEnd w:id="37"/>
      <w:bookmarkStart w:id="38" w:name="_Toc184308101"/>
      <w:bookmarkEnd w:id="38"/>
      <w:bookmarkStart w:id="39" w:name="_Toc184313281"/>
      <w:bookmarkEnd w:id="39"/>
      <w:bookmarkStart w:id="40" w:name="_Toc184313250"/>
      <w:bookmarkEnd w:id="40"/>
      <w:bookmarkStart w:id="41" w:name="_Toc184308085"/>
      <w:bookmarkEnd w:id="41"/>
      <w:bookmarkStart w:id="42" w:name="_Toc184314456"/>
      <w:bookmarkEnd w:id="42"/>
      <w:bookmarkStart w:id="43" w:name="_Toc184312114"/>
      <w:bookmarkEnd w:id="43"/>
      <w:bookmarkStart w:id="44" w:name="_Toc184308094"/>
      <w:bookmarkEnd w:id="44"/>
      <w:bookmarkStart w:id="45" w:name="_Toc184314433"/>
      <w:bookmarkEnd w:id="45"/>
      <w:bookmarkStart w:id="46" w:name="_Toc184313274"/>
      <w:bookmarkEnd w:id="46"/>
      <w:bookmarkStart w:id="47" w:name="_Toc184310317"/>
      <w:bookmarkEnd w:id="47"/>
      <w:bookmarkStart w:id="48" w:name="_Toc184314470"/>
      <w:bookmarkEnd w:id="48"/>
      <w:bookmarkStart w:id="49" w:name="_Toc184310286"/>
      <w:bookmarkEnd w:id="49"/>
      <w:bookmarkStart w:id="50" w:name="_Toc184308064"/>
      <w:bookmarkEnd w:id="50"/>
      <w:bookmarkStart w:id="51" w:name="_Toc184308048"/>
      <w:bookmarkEnd w:id="51"/>
      <w:bookmarkStart w:id="52" w:name="_Toc184312080"/>
      <w:bookmarkEnd w:id="52"/>
      <w:bookmarkStart w:id="53" w:name="_Toc184314438"/>
      <w:bookmarkEnd w:id="53"/>
      <w:bookmarkStart w:id="54" w:name="_Toc184314417"/>
      <w:bookmarkEnd w:id="54"/>
      <w:bookmarkStart w:id="55" w:name="_Toc184313261"/>
      <w:bookmarkEnd w:id="55"/>
      <w:bookmarkStart w:id="56" w:name="_Toc184308058"/>
      <w:bookmarkEnd w:id="56"/>
      <w:bookmarkStart w:id="57" w:name="_Toc184314463"/>
      <w:bookmarkEnd w:id="57"/>
      <w:bookmarkStart w:id="58" w:name="_Toc184310278"/>
      <w:bookmarkEnd w:id="58"/>
      <w:bookmarkStart w:id="59" w:name="_Toc184313245"/>
      <w:bookmarkEnd w:id="59"/>
      <w:bookmarkStart w:id="60" w:name="_Toc184312099"/>
      <w:bookmarkEnd w:id="60"/>
      <w:bookmarkStart w:id="61" w:name="_Toc184310302"/>
      <w:bookmarkEnd w:id="61"/>
      <w:bookmarkStart w:id="62" w:name="_Toc184310314"/>
      <w:bookmarkEnd w:id="62"/>
      <w:bookmarkStart w:id="63" w:name="_Toc184310303"/>
      <w:bookmarkEnd w:id="63"/>
      <w:bookmarkStart w:id="64" w:name="_Toc184314454"/>
      <w:bookmarkEnd w:id="64"/>
      <w:bookmarkStart w:id="65" w:name="_Toc184313285"/>
      <w:bookmarkEnd w:id="65"/>
      <w:bookmarkStart w:id="66" w:name="_Toc184310288"/>
      <w:bookmarkEnd w:id="66"/>
      <w:bookmarkStart w:id="67" w:name="_Toc184312097"/>
      <w:bookmarkEnd w:id="67"/>
      <w:bookmarkStart w:id="68" w:name="_Toc184313280"/>
      <w:bookmarkEnd w:id="68"/>
      <w:bookmarkStart w:id="69" w:name="_Toc184313256"/>
      <w:bookmarkEnd w:id="69"/>
      <w:bookmarkStart w:id="70" w:name="_Toc184310289"/>
      <w:bookmarkEnd w:id="70"/>
      <w:bookmarkStart w:id="71" w:name="_Toc184314482"/>
      <w:bookmarkEnd w:id="71"/>
      <w:bookmarkStart w:id="72" w:name="_Toc184310308"/>
      <w:bookmarkEnd w:id="72"/>
      <w:bookmarkStart w:id="73" w:name="_Toc184313259"/>
      <w:bookmarkEnd w:id="73"/>
      <w:bookmarkStart w:id="74" w:name="_Toc184313276"/>
      <w:bookmarkEnd w:id="74"/>
      <w:bookmarkStart w:id="75" w:name="_Toc184310293"/>
      <w:bookmarkEnd w:id="75"/>
      <w:bookmarkStart w:id="76" w:name="_Toc184314480"/>
      <w:bookmarkEnd w:id="76"/>
      <w:bookmarkStart w:id="77" w:name="_Toc184308074"/>
      <w:bookmarkEnd w:id="77"/>
      <w:bookmarkStart w:id="78" w:name="_Toc184312110"/>
      <w:bookmarkEnd w:id="78"/>
      <w:bookmarkStart w:id="79" w:name="_Toc184313290"/>
      <w:bookmarkEnd w:id="79"/>
      <w:bookmarkStart w:id="80" w:name="_Toc184308051"/>
      <w:bookmarkEnd w:id="80"/>
      <w:bookmarkStart w:id="81" w:name="_Toc184310285"/>
      <w:bookmarkEnd w:id="81"/>
      <w:bookmarkStart w:id="82" w:name="_Toc184313302"/>
      <w:bookmarkEnd w:id="82"/>
      <w:bookmarkStart w:id="83" w:name="_Toc184314477"/>
      <w:bookmarkEnd w:id="83"/>
      <w:bookmarkStart w:id="84" w:name="_Toc184308090"/>
      <w:bookmarkEnd w:id="84"/>
      <w:bookmarkStart w:id="85" w:name="_Toc184310326"/>
      <w:bookmarkEnd w:id="85"/>
      <w:bookmarkStart w:id="86" w:name="_Toc184313241"/>
      <w:bookmarkEnd w:id="86"/>
      <w:bookmarkStart w:id="87" w:name="_Toc184314430"/>
      <w:bookmarkEnd w:id="87"/>
      <w:bookmarkStart w:id="88" w:name="_Toc184312104"/>
      <w:bookmarkEnd w:id="88"/>
      <w:bookmarkStart w:id="89" w:name="_Toc184310340"/>
      <w:bookmarkEnd w:id="89"/>
      <w:bookmarkStart w:id="90" w:name="_Toc184312131"/>
      <w:bookmarkEnd w:id="90"/>
      <w:bookmarkStart w:id="91" w:name="_Toc184310343"/>
      <w:bookmarkEnd w:id="91"/>
      <w:bookmarkStart w:id="92" w:name="_Toc184314449"/>
      <w:bookmarkEnd w:id="92"/>
      <w:bookmarkStart w:id="93" w:name="_Toc184308061"/>
      <w:bookmarkEnd w:id="93"/>
      <w:bookmarkStart w:id="94" w:name="_Toc184310336"/>
      <w:bookmarkEnd w:id="94"/>
      <w:bookmarkStart w:id="95" w:name="_Toc184313247"/>
      <w:bookmarkEnd w:id="95"/>
      <w:bookmarkStart w:id="96" w:name="_Toc184313277"/>
      <w:bookmarkEnd w:id="96"/>
      <w:bookmarkStart w:id="97" w:name="_Toc184313263"/>
      <w:bookmarkEnd w:id="97"/>
      <w:bookmarkStart w:id="98" w:name="_Toc184308071"/>
      <w:bookmarkEnd w:id="98"/>
      <w:bookmarkStart w:id="99" w:name="_Toc184310321"/>
      <w:bookmarkEnd w:id="99"/>
      <w:bookmarkStart w:id="100" w:name="_Toc184314436"/>
      <w:bookmarkEnd w:id="100"/>
      <w:bookmarkStart w:id="101" w:name="_Toc184312093"/>
      <w:bookmarkEnd w:id="101"/>
      <w:bookmarkStart w:id="102" w:name="_Toc184313287"/>
      <w:bookmarkEnd w:id="102"/>
      <w:bookmarkStart w:id="103" w:name="_Toc184314431"/>
      <w:bookmarkEnd w:id="103"/>
      <w:bookmarkStart w:id="104" w:name="_Toc184310335"/>
      <w:bookmarkEnd w:id="104"/>
      <w:bookmarkStart w:id="105" w:name="_Toc184312138"/>
      <w:bookmarkEnd w:id="105"/>
      <w:bookmarkStart w:id="106" w:name="_Toc184310301"/>
      <w:bookmarkEnd w:id="106"/>
      <w:bookmarkStart w:id="107" w:name="_Toc184313278"/>
      <w:bookmarkEnd w:id="107"/>
      <w:bookmarkStart w:id="108" w:name="_Toc184312132"/>
      <w:bookmarkEnd w:id="108"/>
      <w:bookmarkStart w:id="109" w:name="_Toc184312081"/>
      <w:bookmarkEnd w:id="109"/>
      <w:bookmarkStart w:id="110" w:name="_Toc184312128"/>
      <w:bookmarkEnd w:id="110"/>
      <w:bookmarkStart w:id="111" w:name="_Toc184314465"/>
      <w:bookmarkEnd w:id="111"/>
      <w:bookmarkStart w:id="112" w:name="_Toc184310334"/>
      <w:bookmarkEnd w:id="112"/>
      <w:bookmarkStart w:id="113" w:name="_Toc184314420"/>
      <w:bookmarkEnd w:id="113"/>
      <w:bookmarkStart w:id="114" w:name="_Toc184313288"/>
      <w:bookmarkEnd w:id="114"/>
      <w:bookmarkStart w:id="115" w:name="_Toc184314455"/>
      <w:bookmarkEnd w:id="115"/>
      <w:bookmarkStart w:id="116" w:name="_Toc184314440"/>
      <w:bookmarkEnd w:id="116"/>
      <w:bookmarkStart w:id="117" w:name="_Toc184314444"/>
      <w:bookmarkEnd w:id="117"/>
      <w:bookmarkStart w:id="118" w:name="_Toc184312107"/>
      <w:bookmarkEnd w:id="118"/>
      <w:bookmarkStart w:id="119" w:name="_Toc184312127"/>
      <w:bookmarkEnd w:id="119"/>
      <w:bookmarkStart w:id="120" w:name="_Toc184313301"/>
      <w:bookmarkEnd w:id="120"/>
      <w:bookmarkStart w:id="121" w:name="_Toc184308082"/>
      <w:bookmarkEnd w:id="121"/>
      <w:bookmarkStart w:id="122" w:name="_Toc184312083"/>
      <w:bookmarkEnd w:id="122"/>
      <w:bookmarkStart w:id="123" w:name="_Toc184312068"/>
      <w:bookmarkEnd w:id="123"/>
      <w:bookmarkStart w:id="124" w:name="_Toc184312095"/>
      <w:bookmarkEnd w:id="124"/>
      <w:bookmarkStart w:id="125" w:name="_Toc184313265"/>
      <w:bookmarkEnd w:id="125"/>
      <w:bookmarkStart w:id="126" w:name="_Toc184313299"/>
      <w:bookmarkEnd w:id="126"/>
      <w:bookmarkStart w:id="127" w:name="_Toc184310307"/>
      <w:bookmarkEnd w:id="127"/>
      <w:bookmarkStart w:id="128" w:name="_Toc184314469"/>
      <w:bookmarkEnd w:id="128"/>
      <w:bookmarkStart w:id="129" w:name="_Toc184308070"/>
      <w:bookmarkEnd w:id="129"/>
      <w:bookmarkStart w:id="130" w:name="_Toc184308065"/>
      <w:bookmarkEnd w:id="130"/>
      <w:bookmarkStart w:id="131" w:name="_Toc184312079"/>
      <w:bookmarkEnd w:id="131"/>
      <w:bookmarkStart w:id="132" w:name="_Toc184312087"/>
      <w:bookmarkEnd w:id="132"/>
      <w:bookmarkStart w:id="133" w:name="_Toc184312115"/>
      <w:bookmarkEnd w:id="133"/>
      <w:bookmarkStart w:id="134" w:name="_Toc184308078"/>
      <w:bookmarkEnd w:id="134"/>
      <w:bookmarkStart w:id="135" w:name="_Toc184314457"/>
      <w:bookmarkEnd w:id="135"/>
      <w:bookmarkStart w:id="136" w:name="_Toc184312122"/>
      <w:bookmarkEnd w:id="136"/>
      <w:bookmarkStart w:id="137" w:name="_Toc184310322"/>
      <w:bookmarkEnd w:id="137"/>
      <w:bookmarkStart w:id="138" w:name="_Toc184313264"/>
      <w:bookmarkEnd w:id="138"/>
      <w:bookmarkStart w:id="139" w:name="_Toc184308087"/>
      <w:bookmarkEnd w:id="139"/>
      <w:bookmarkStart w:id="140" w:name="_Toc184312098"/>
      <w:bookmarkEnd w:id="140"/>
      <w:bookmarkStart w:id="141" w:name="_Toc184312102"/>
      <w:bookmarkEnd w:id="141"/>
      <w:bookmarkStart w:id="142" w:name="_Toc184313286"/>
      <w:bookmarkEnd w:id="142"/>
      <w:bookmarkStart w:id="143" w:name="_Toc184310310"/>
      <w:bookmarkEnd w:id="143"/>
      <w:bookmarkStart w:id="144" w:name="_Toc184314475"/>
      <w:bookmarkEnd w:id="144"/>
      <w:bookmarkStart w:id="145" w:name="_Toc184313254"/>
      <w:bookmarkEnd w:id="145"/>
      <w:bookmarkStart w:id="146" w:name="_Toc184308067"/>
      <w:bookmarkEnd w:id="146"/>
      <w:bookmarkStart w:id="147" w:name="_Toc184313279"/>
      <w:bookmarkEnd w:id="147"/>
      <w:bookmarkStart w:id="148" w:name="_Toc184314448"/>
      <w:bookmarkEnd w:id="148"/>
      <w:bookmarkStart w:id="149" w:name="_Toc184312106"/>
      <w:bookmarkEnd w:id="149"/>
      <w:bookmarkStart w:id="150" w:name="_Toc184312069"/>
      <w:bookmarkEnd w:id="150"/>
      <w:bookmarkStart w:id="151" w:name="_Toc184313273"/>
      <w:bookmarkEnd w:id="151"/>
      <w:bookmarkStart w:id="152" w:name="_Toc184313269"/>
      <w:bookmarkEnd w:id="152"/>
      <w:bookmarkStart w:id="153" w:name="_Toc184308039"/>
      <w:bookmarkEnd w:id="153"/>
      <w:bookmarkStart w:id="154" w:name="_Toc184310292"/>
      <w:bookmarkEnd w:id="154"/>
      <w:bookmarkStart w:id="155" w:name="_Toc184312129"/>
      <w:bookmarkEnd w:id="155"/>
      <w:bookmarkStart w:id="156" w:name="_Toc184314446"/>
      <w:bookmarkEnd w:id="156"/>
      <w:bookmarkStart w:id="157" w:name="_Toc184314415"/>
      <w:bookmarkEnd w:id="157"/>
      <w:bookmarkStart w:id="158" w:name="_Toc184314434"/>
      <w:bookmarkEnd w:id="158"/>
      <w:bookmarkStart w:id="159" w:name="_Toc184314411"/>
      <w:bookmarkEnd w:id="159"/>
      <w:bookmarkStart w:id="160" w:name="_Toc184314461"/>
      <w:bookmarkEnd w:id="160"/>
      <w:bookmarkStart w:id="161" w:name="_Toc184314458"/>
      <w:bookmarkEnd w:id="161"/>
      <w:bookmarkStart w:id="162" w:name="_Toc184314479"/>
      <w:bookmarkEnd w:id="162"/>
      <w:bookmarkStart w:id="163" w:name="_Toc184310290"/>
      <w:bookmarkEnd w:id="163"/>
      <w:bookmarkStart w:id="164" w:name="_Toc184314443"/>
      <w:bookmarkEnd w:id="164"/>
      <w:bookmarkStart w:id="165" w:name="_Toc184308040"/>
      <w:bookmarkEnd w:id="165"/>
      <w:bookmarkStart w:id="166" w:name="_Toc184313291"/>
      <w:bookmarkEnd w:id="166"/>
      <w:bookmarkStart w:id="167" w:name="_Toc184308089"/>
      <w:bookmarkEnd w:id="167"/>
      <w:bookmarkStart w:id="168" w:name="_Toc184308038"/>
      <w:bookmarkEnd w:id="168"/>
      <w:bookmarkStart w:id="169" w:name="_Toc184312124"/>
      <w:bookmarkEnd w:id="169"/>
      <w:bookmarkStart w:id="170" w:name="_Toc184313282"/>
      <w:bookmarkEnd w:id="170"/>
      <w:bookmarkStart w:id="171" w:name="_Toc184314441"/>
      <w:bookmarkEnd w:id="171"/>
      <w:bookmarkStart w:id="172" w:name="_Toc184312109"/>
      <w:bookmarkEnd w:id="172"/>
      <w:bookmarkStart w:id="173" w:name="_Toc184313248"/>
      <w:bookmarkEnd w:id="173"/>
      <w:bookmarkStart w:id="174" w:name="_Toc184312096"/>
      <w:bookmarkEnd w:id="174"/>
      <w:bookmarkStart w:id="175" w:name="_Toc184308108"/>
      <w:bookmarkEnd w:id="175"/>
      <w:bookmarkStart w:id="176" w:name="_Toc184314481"/>
      <w:bookmarkEnd w:id="176"/>
      <w:bookmarkStart w:id="177" w:name="_Toc184314435"/>
      <w:bookmarkEnd w:id="177"/>
      <w:bookmarkStart w:id="178" w:name="_Toc184312071"/>
      <w:bookmarkEnd w:id="178"/>
      <w:bookmarkStart w:id="179" w:name="_Toc184310339"/>
      <w:bookmarkEnd w:id="179"/>
      <w:bookmarkStart w:id="180" w:name="_Toc184310332"/>
      <w:bookmarkEnd w:id="180"/>
      <w:bookmarkStart w:id="181" w:name="_Toc184312135"/>
      <w:bookmarkEnd w:id="181"/>
      <w:bookmarkStart w:id="182" w:name="_Toc184308083"/>
      <w:bookmarkEnd w:id="182"/>
      <w:bookmarkStart w:id="183" w:name="_Toc184308063"/>
      <w:bookmarkEnd w:id="183"/>
      <w:bookmarkStart w:id="184" w:name="_Toc184310300"/>
      <w:bookmarkEnd w:id="184"/>
      <w:bookmarkStart w:id="185" w:name="_Toc184314462"/>
      <w:bookmarkEnd w:id="185"/>
      <w:bookmarkStart w:id="186" w:name="_Toc184314471"/>
      <w:bookmarkEnd w:id="186"/>
      <w:bookmarkStart w:id="187" w:name="_Toc184313296"/>
      <w:bookmarkEnd w:id="187"/>
      <w:bookmarkStart w:id="188" w:name="_Toc184314442"/>
      <w:bookmarkEnd w:id="188"/>
      <w:bookmarkStart w:id="189" w:name="_Toc184310298"/>
      <w:bookmarkEnd w:id="189"/>
      <w:bookmarkStart w:id="190" w:name="_Toc184310337"/>
      <w:bookmarkEnd w:id="190"/>
      <w:bookmarkStart w:id="191" w:name="_Toc184313244"/>
      <w:bookmarkEnd w:id="191"/>
      <w:bookmarkStart w:id="192" w:name="_Toc184314452"/>
      <w:bookmarkEnd w:id="192"/>
      <w:bookmarkStart w:id="193" w:name="_Toc184313297"/>
      <w:bookmarkEnd w:id="193"/>
      <w:bookmarkStart w:id="194" w:name="_Toc184312085"/>
      <w:bookmarkEnd w:id="194"/>
      <w:bookmarkStart w:id="195" w:name="_Toc184313268"/>
      <w:bookmarkEnd w:id="195"/>
      <w:bookmarkStart w:id="196" w:name="_Toc184310338"/>
      <w:bookmarkEnd w:id="196"/>
      <w:bookmarkStart w:id="197" w:name="_Toc184313293"/>
      <w:bookmarkEnd w:id="197"/>
      <w:bookmarkStart w:id="198" w:name="_Toc184313308"/>
      <w:bookmarkEnd w:id="198"/>
      <w:bookmarkStart w:id="199" w:name="_Toc184310344"/>
      <w:bookmarkEnd w:id="199"/>
      <w:bookmarkStart w:id="200" w:name="_Toc184310275"/>
      <w:bookmarkEnd w:id="200"/>
      <w:bookmarkStart w:id="201" w:name="_Toc184313271"/>
      <w:bookmarkEnd w:id="201"/>
      <w:bookmarkStart w:id="202" w:name="_Toc184312118"/>
      <w:bookmarkEnd w:id="202"/>
      <w:bookmarkStart w:id="203" w:name="_Toc184314424"/>
      <w:bookmarkEnd w:id="203"/>
      <w:bookmarkStart w:id="204" w:name="_Toc184313242"/>
      <w:bookmarkEnd w:id="204"/>
      <w:bookmarkStart w:id="205" w:name="_Toc184310296"/>
      <w:bookmarkEnd w:id="205"/>
      <w:bookmarkStart w:id="206" w:name="_Toc184308059"/>
      <w:bookmarkEnd w:id="206"/>
      <w:bookmarkStart w:id="207" w:name="_Toc184314423"/>
      <w:bookmarkEnd w:id="207"/>
      <w:bookmarkStart w:id="208" w:name="_Toc184308102"/>
      <w:bookmarkEnd w:id="208"/>
      <w:bookmarkStart w:id="209" w:name="_Toc184312139"/>
      <w:bookmarkEnd w:id="209"/>
      <w:bookmarkStart w:id="210" w:name="_Toc184314468"/>
      <w:bookmarkEnd w:id="210"/>
      <w:bookmarkStart w:id="211" w:name="_Toc184312125"/>
      <w:bookmarkEnd w:id="211"/>
      <w:bookmarkStart w:id="212" w:name="_Toc184312075"/>
      <w:bookmarkEnd w:id="212"/>
      <w:bookmarkStart w:id="213" w:name="_Toc184312108"/>
      <w:bookmarkEnd w:id="213"/>
      <w:bookmarkStart w:id="214" w:name="_Toc184310304"/>
      <w:bookmarkEnd w:id="214"/>
      <w:bookmarkStart w:id="215" w:name="_Toc184313260"/>
      <w:bookmarkEnd w:id="215"/>
      <w:bookmarkStart w:id="216" w:name="_Toc184313240"/>
      <w:bookmarkEnd w:id="216"/>
      <w:bookmarkStart w:id="217" w:name="_Toc184310320"/>
      <w:bookmarkEnd w:id="217"/>
      <w:bookmarkStart w:id="218" w:name="_Toc184308042"/>
      <w:bookmarkEnd w:id="218"/>
      <w:bookmarkStart w:id="219" w:name="_Toc184308066"/>
      <w:bookmarkEnd w:id="219"/>
      <w:bookmarkStart w:id="220" w:name="_Toc184314426"/>
      <w:bookmarkEnd w:id="220"/>
      <w:bookmarkStart w:id="221" w:name="_Toc184312082"/>
      <w:bookmarkEnd w:id="221"/>
      <w:bookmarkStart w:id="222" w:name="_Toc184312117"/>
      <w:bookmarkEnd w:id="222"/>
      <w:bookmarkStart w:id="223" w:name="_Toc184310342"/>
      <w:bookmarkEnd w:id="223"/>
      <w:bookmarkStart w:id="224" w:name="_Toc184308044"/>
      <w:bookmarkEnd w:id="224"/>
      <w:bookmarkStart w:id="225" w:name="_Toc184312092"/>
      <w:bookmarkEnd w:id="225"/>
      <w:bookmarkStart w:id="226" w:name="_Toc184308068"/>
      <w:bookmarkEnd w:id="226"/>
      <w:bookmarkStart w:id="227" w:name="_Toc184310273"/>
      <w:bookmarkEnd w:id="227"/>
      <w:bookmarkStart w:id="228" w:name="_Toc184312076"/>
      <w:bookmarkEnd w:id="228"/>
      <w:bookmarkStart w:id="229" w:name="_Toc184312094"/>
      <w:bookmarkEnd w:id="229"/>
      <w:bookmarkStart w:id="230" w:name="_Toc184313304"/>
      <w:bookmarkEnd w:id="230"/>
      <w:bookmarkStart w:id="231" w:name="_Toc184310309"/>
      <w:bookmarkEnd w:id="231"/>
      <w:bookmarkStart w:id="232" w:name="_Toc184308069"/>
      <w:bookmarkEnd w:id="232"/>
      <w:bookmarkStart w:id="233" w:name="_Toc184310324"/>
      <w:bookmarkEnd w:id="233"/>
      <w:bookmarkStart w:id="234" w:name="_Toc184308072"/>
      <w:bookmarkEnd w:id="234"/>
      <w:bookmarkStart w:id="235" w:name="_Toc184312088"/>
      <w:bookmarkEnd w:id="235"/>
      <w:bookmarkStart w:id="236" w:name="_Toc184308107"/>
      <w:bookmarkEnd w:id="236"/>
      <w:bookmarkStart w:id="237" w:name="_Toc184314429"/>
      <w:bookmarkEnd w:id="237"/>
      <w:bookmarkStart w:id="238" w:name="_Toc184310280"/>
      <w:bookmarkEnd w:id="238"/>
      <w:bookmarkStart w:id="239" w:name="_Toc184314412"/>
      <w:bookmarkEnd w:id="239"/>
      <w:bookmarkStart w:id="240" w:name="_Toc184312112"/>
      <w:bookmarkEnd w:id="240"/>
      <w:bookmarkStart w:id="241" w:name="_Toc184314472"/>
      <w:bookmarkEnd w:id="241"/>
      <w:bookmarkStart w:id="242" w:name="_Toc184312136"/>
      <w:bookmarkEnd w:id="242"/>
      <w:bookmarkStart w:id="243" w:name="_Toc184310330"/>
      <w:bookmarkEnd w:id="243"/>
      <w:bookmarkStart w:id="244" w:name="_Toc184313294"/>
      <w:bookmarkEnd w:id="244"/>
      <w:bookmarkStart w:id="245" w:name="_Toc184313258"/>
      <w:bookmarkEnd w:id="245"/>
      <w:bookmarkStart w:id="246" w:name="_Toc184314410"/>
      <w:bookmarkEnd w:id="246"/>
      <w:bookmarkStart w:id="247" w:name="_Toc184314453"/>
      <w:bookmarkEnd w:id="247"/>
      <w:bookmarkStart w:id="248" w:name="_Toc184310282"/>
      <w:bookmarkEnd w:id="248"/>
      <w:bookmarkStart w:id="249" w:name="_Toc184313238"/>
      <w:bookmarkEnd w:id="249"/>
      <w:bookmarkStart w:id="250" w:name="_Toc184308046"/>
      <w:bookmarkEnd w:id="250"/>
      <w:bookmarkStart w:id="251" w:name="_Toc184310316"/>
      <w:bookmarkEnd w:id="251"/>
      <w:bookmarkStart w:id="252" w:name="_Toc184314428"/>
      <w:bookmarkEnd w:id="252"/>
      <w:bookmarkStart w:id="253" w:name="_Toc184313266"/>
      <w:bookmarkEnd w:id="253"/>
      <w:bookmarkStart w:id="254" w:name="_Toc184312100"/>
      <w:bookmarkEnd w:id="254"/>
      <w:bookmarkStart w:id="255" w:name="_Toc184313267"/>
      <w:bookmarkEnd w:id="255"/>
      <w:bookmarkStart w:id="256" w:name="_Toc184312091"/>
      <w:bookmarkEnd w:id="256"/>
      <w:bookmarkStart w:id="257" w:name="_Toc184310299"/>
      <w:bookmarkEnd w:id="257"/>
      <w:bookmarkStart w:id="258" w:name="_Toc184308106"/>
      <w:bookmarkEnd w:id="258"/>
      <w:bookmarkStart w:id="259" w:name="_Toc184314421"/>
      <w:bookmarkEnd w:id="259"/>
      <w:bookmarkStart w:id="260" w:name="_Toc184312090"/>
      <w:bookmarkEnd w:id="260"/>
      <w:bookmarkStart w:id="261" w:name="_Toc184308045"/>
      <w:bookmarkEnd w:id="261"/>
      <w:bookmarkStart w:id="262" w:name="_Toc184308055"/>
      <w:bookmarkEnd w:id="262"/>
      <w:bookmarkStart w:id="263" w:name="_Toc184312119"/>
      <w:bookmarkEnd w:id="263"/>
      <w:bookmarkStart w:id="264" w:name="_Toc184308093"/>
      <w:bookmarkEnd w:id="264"/>
      <w:bookmarkStart w:id="265" w:name="_Toc184308043"/>
      <w:bookmarkEnd w:id="265"/>
      <w:bookmarkStart w:id="266" w:name="_Toc184308077"/>
      <w:bookmarkEnd w:id="266"/>
      <w:bookmarkStart w:id="267" w:name="_Toc184308097"/>
      <w:bookmarkEnd w:id="267"/>
      <w:bookmarkStart w:id="268" w:name="_Toc184312113"/>
      <w:bookmarkEnd w:id="268"/>
      <w:bookmarkStart w:id="269" w:name="_Toc184308080"/>
      <w:bookmarkEnd w:id="269"/>
      <w:bookmarkStart w:id="270" w:name="_Toc184313289"/>
      <w:bookmarkEnd w:id="270"/>
      <w:bookmarkStart w:id="271" w:name="_Toc184310291"/>
      <w:bookmarkEnd w:id="271"/>
      <w:bookmarkStart w:id="272" w:name="_Toc184310327"/>
      <w:bookmarkEnd w:id="272"/>
      <w:bookmarkStart w:id="273" w:name="_Toc184313305"/>
      <w:bookmarkEnd w:id="273"/>
      <w:bookmarkStart w:id="274" w:name="_Toc184310328"/>
      <w:bookmarkEnd w:id="274"/>
      <w:bookmarkStart w:id="275" w:name="_Toc184314413"/>
      <w:bookmarkEnd w:id="275"/>
      <w:bookmarkStart w:id="276" w:name="_Toc184312130"/>
      <w:bookmarkEnd w:id="276"/>
      <w:bookmarkStart w:id="277" w:name="_Toc184314451"/>
      <w:bookmarkEnd w:id="277"/>
      <w:bookmarkStart w:id="278" w:name="_Toc184313292"/>
      <w:bookmarkEnd w:id="278"/>
      <w:bookmarkStart w:id="279" w:name="_Toc184308081"/>
      <w:bookmarkEnd w:id="279"/>
      <w:bookmarkStart w:id="280" w:name="_Toc184312070"/>
      <w:bookmarkEnd w:id="280"/>
      <w:bookmarkStart w:id="281" w:name="_Toc184310297"/>
      <w:bookmarkEnd w:id="281"/>
      <w:bookmarkStart w:id="282" w:name="_Toc184313298"/>
      <w:bookmarkEnd w:id="282"/>
      <w:bookmarkStart w:id="283" w:name="_Toc184308056"/>
      <w:bookmarkEnd w:id="283"/>
      <w:bookmarkStart w:id="284" w:name="_Toc184313309"/>
      <w:bookmarkEnd w:id="284"/>
      <w:bookmarkStart w:id="285" w:name="_Toc184308104"/>
      <w:bookmarkEnd w:id="285"/>
      <w:bookmarkStart w:id="286" w:name="_Toc184314459"/>
      <w:bookmarkEnd w:id="286"/>
      <w:bookmarkStart w:id="287" w:name="_Toc184313303"/>
      <w:bookmarkEnd w:id="287"/>
      <w:bookmarkStart w:id="288" w:name="_Toc184310329"/>
      <w:bookmarkEnd w:id="288"/>
      <w:bookmarkStart w:id="289" w:name="_Toc184308100"/>
      <w:bookmarkEnd w:id="289"/>
      <w:bookmarkStart w:id="290" w:name="_Toc184314466"/>
      <w:bookmarkEnd w:id="290"/>
      <w:bookmarkStart w:id="291" w:name="_Toc184308052"/>
      <w:bookmarkEnd w:id="291"/>
      <w:bookmarkStart w:id="292" w:name="_Toc184313300"/>
      <w:bookmarkEnd w:id="292"/>
      <w:bookmarkStart w:id="293" w:name="_Toc184312073"/>
      <w:bookmarkEnd w:id="293"/>
      <w:bookmarkStart w:id="294" w:name="_Toc184310311"/>
      <w:bookmarkEnd w:id="294"/>
      <w:bookmarkStart w:id="295" w:name="_Toc184308086"/>
      <w:bookmarkEnd w:id="295"/>
      <w:bookmarkStart w:id="296" w:name="_Toc184314474"/>
      <w:bookmarkEnd w:id="296"/>
      <w:bookmarkStart w:id="297" w:name="_Toc184312067"/>
      <w:bookmarkEnd w:id="297"/>
      <w:bookmarkStart w:id="298" w:name="_Toc184310279"/>
      <w:bookmarkEnd w:id="298"/>
      <w:bookmarkStart w:id="299" w:name="_Toc184312137"/>
      <w:bookmarkEnd w:id="299"/>
      <w:bookmarkStart w:id="300" w:name="_Toc184314450"/>
      <w:bookmarkEnd w:id="300"/>
      <w:bookmarkStart w:id="301" w:name="_Toc184308057"/>
      <w:bookmarkEnd w:id="301"/>
      <w:bookmarkStart w:id="302" w:name="_Toc184313284"/>
      <w:bookmarkEnd w:id="302"/>
      <w:bookmarkStart w:id="303" w:name="_Toc184312133"/>
      <w:bookmarkEnd w:id="303"/>
      <w:bookmarkStart w:id="304" w:name="_Toc184310325"/>
      <w:bookmarkEnd w:id="304"/>
      <w:bookmarkStart w:id="305" w:name="_Toc184312116"/>
      <w:bookmarkEnd w:id="305"/>
      <w:bookmarkStart w:id="306" w:name="_Toc184314445"/>
      <w:bookmarkEnd w:id="306"/>
      <w:bookmarkStart w:id="307" w:name="_Toc184314464"/>
      <w:bookmarkEnd w:id="307"/>
      <w:bookmarkStart w:id="308" w:name="_Toc184310319"/>
      <w:bookmarkEnd w:id="308"/>
      <w:bookmarkStart w:id="309" w:name="_Toc184313275"/>
      <w:bookmarkEnd w:id="309"/>
      <w:bookmarkStart w:id="310" w:name="_Toc184308041"/>
      <w:bookmarkEnd w:id="310"/>
      <w:bookmarkStart w:id="311" w:name="_Toc184308103"/>
      <w:bookmarkEnd w:id="311"/>
      <w:bookmarkStart w:id="312" w:name="_Toc184310287"/>
      <w:bookmarkEnd w:id="312"/>
      <w:bookmarkStart w:id="313" w:name="_Toc184308054"/>
      <w:bookmarkEnd w:id="313"/>
      <w:bookmarkStart w:id="314" w:name="_Toc184313251"/>
      <w:bookmarkEnd w:id="314"/>
      <w:bookmarkStart w:id="315" w:name="_Toc184312077"/>
      <w:bookmarkEnd w:id="315"/>
      <w:bookmarkStart w:id="316" w:name="_Toc184314432"/>
      <w:bookmarkEnd w:id="316"/>
      <w:bookmarkStart w:id="317" w:name="_Toc184313239"/>
      <w:bookmarkEnd w:id="317"/>
      <w:bookmarkStart w:id="318" w:name="_Toc184312089"/>
      <w:bookmarkEnd w:id="318"/>
      <w:bookmarkStart w:id="319" w:name="_Toc184308075"/>
      <w:bookmarkEnd w:id="319"/>
      <w:bookmarkStart w:id="320" w:name="_Toc184312111"/>
      <w:bookmarkEnd w:id="320"/>
      <w:bookmarkStart w:id="321" w:name="_Toc184314439"/>
      <w:bookmarkEnd w:id="321"/>
      <w:bookmarkStart w:id="322" w:name="_Toc184312074"/>
      <w:bookmarkEnd w:id="322"/>
      <w:bookmarkStart w:id="323" w:name="_Toc184312126"/>
      <w:bookmarkEnd w:id="323"/>
      <w:bookmarkStart w:id="324" w:name="_Toc184310331"/>
      <w:bookmarkEnd w:id="324"/>
      <w:bookmarkStart w:id="325" w:name="_Toc184310294"/>
      <w:bookmarkEnd w:id="325"/>
      <w:bookmarkStart w:id="326" w:name="_Toc184310281"/>
      <w:bookmarkEnd w:id="326"/>
      <w:bookmarkStart w:id="327" w:name="_Toc184308062"/>
      <w:bookmarkEnd w:id="327"/>
      <w:bookmarkStart w:id="328" w:name="_Toc184312086"/>
      <w:bookmarkEnd w:id="328"/>
      <w:bookmarkStart w:id="329" w:name="_Toc184313257"/>
      <w:bookmarkEnd w:id="329"/>
      <w:bookmarkStart w:id="330" w:name="_Toc184313255"/>
      <w:bookmarkEnd w:id="330"/>
      <w:bookmarkStart w:id="331" w:name="_Toc184312072"/>
      <w:bookmarkEnd w:id="331"/>
      <w:bookmarkStart w:id="332" w:name="_Toc184314437"/>
      <w:bookmarkEnd w:id="332"/>
      <w:bookmarkStart w:id="333" w:name="_Toc184308049"/>
      <w:bookmarkEnd w:id="333"/>
      <w:bookmarkStart w:id="334" w:name="_Toc184310341"/>
      <w:bookmarkEnd w:id="334"/>
      <w:bookmarkStart w:id="335" w:name="_Toc184308091"/>
      <w:bookmarkEnd w:id="335"/>
      <w:bookmarkStart w:id="336" w:name="_Toc184313272"/>
      <w:bookmarkEnd w:id="336"/>
      <w:bookmarkStart w:id="337" w:name="_Toc184313253"/>
      <w:bookmarkEnd w:id="337"/>
      <w:bookmarkStart w:id="338" w:name="_Toc184314422"/>
      <w:bookmarkEnd w:id="338"/>
      <w:bookmarkStart w:id="339" w:name="_Toc184310318"/>
      <w:bookmarkEnd w:id="339"/>
      <w:bookmarkStart w:id="340" w:name="_Toc184310306"/>
      <w:bookmarkEnd w:id="340"/>
      <w:bookmarkStart w:id="341" w:name="_Toc184308060"/>
      <w:bookmarkEnd w:id="341"/>
      <w:bookmarkStart w:id="342" w:name="_Toc184313310"/>
      <w:bookmarkEnd w:id="342"/>
      <w:bookmarkStart w:id="343" w:name="_Toc184312103"/>
      <w:bookmarkEnd w:id="343"/>
      <w:bookmarkStart w:id="344" w:name="_Toc184308076"/>
      <w:bookmarkEnd w:id="344"/>
      <w:bookmarkStart w:id="345" w:name="_Toc184310277"/>
      <w:bookmarkEnd w:id="345"/>
      <w:bookmarkStart w:id="346" w:name="_Toc184310272"/>
      <w:bookmarkEnd w:id="346"/>
      <w:bookmarkStart w:id="347" w:name="_Toc184314476"/>
      <w:bookmarkEnd w:id="347"/>
      <w:bookmarkStart w:id="348" w:name="_Toc184312084"/>
      <w:bookmarkEnd w:id="348"/>
      <w:bookmarkStart w:id="349" w:name="_Toc184314418"/>
      <w:bookmarkEnd w:id="349"/>
      <w:bookmarkStart w:id="350" w:name="_Toc184313262"/>
      <w:bookmarkEnd w:id="350"/>
      <w:bookmarkStart w:id="351" w:name="_Toc184310283"/>
      <w:bookmarkEnd w:id="351"/>
      <w:bookmarkStart w:id="352" w:name="_Toc184308092"/>
      <w:bookmarkEnd w:id="352"/>
      <w:bookmarkStart w:id="353" w:name="_Toc184313270"/>
      <w:bookmarkEnd w:id="353"/>
      <w:bookmarkStart w:id="354" w:name="_Toc184308053"/>
      <w:bookmarkEnd w:id="354"/>
      <w:bookmarkStart w:id="355" w:name="_Toc184308036"/>
      <w:bookmarkEnd w:id="355"/>
      <w:bookmarkStart w:id="356" w:name="_Toc184313283"/>
      <w:bookmarkEnd w:id="356"/>
      <w:bookmarkStart w:id="357" w:name="_Toc184310274"/>
      <w:bookmarkEnd w:id="357"/>
      <w:bookmarkStart w:id="358" w:name="_Toc184308105"/>
      <w:bookmarkEnd w:id="358"/>
      <w:bookmarkStart w:id="359" w:name="_Toc184310305"/>
      <w:bookmarkEnd w:id="359"/>
      <w:bookmarkStart w:id="360" w:name="_Toc184314460"/>
      <w:bookmarkEnd w:id="360"/>
      <w:bookmarkStart w:id="361" w:name="_Toc184310315"/>
      <w:bookmarkEnd w:id="361"/>
      <w:bookmarkStart w:id="362" w:name="_Toc184314414"/>
      <w:bookmarkEnd w:id="362"/>
      <w:bookmarkStart w:id="363" w:name="_Toc184312105"/>
      <w:bookmarkEnd w:id="363"/>
      <w:bookmarkStart w:id="364" w:name="_Toc184313243"/>
      <w:bookmarkEnd w:id="364"/>
      <w:bookmarkStart w:id="365" w:name="_Toc184310313"/>
      <w:bookmarkEnd w:id="365"/>
      <w:bookmarkStart w:id="366" w:name="_Toc184314447"/>
      <w:bookmarkEnd w:id="366"/>
      <w:bookmarkStart w:id="367" w:name="_Toc184310276"/>
      <w:bookmarkEnd w:id="367"/>
      <w:bookmarkStart w:id="368" w:name="_Toc184312134"/>
      <w:bookmarkEnd w:id="368"/>
      <w:bookmarkStart w:id="369" w:name="_Toc184308084"/>
      <w:bookmarkEnd w:id="369"/>
      <w:bookmarkStart w:id="370" w:name="_Toc184314419"/>
      <w:bookmarkEnd w:id="370"/>
      <w:bookmarkStart w:id="371" w:name="_Toc184308088"/>
      <w:bookmarkEnd w:id="371"/>
      <w:bookmarkStart w:id="372" w:name="_Toc184312121"/>
      <w:bookmarkEnd w:id="372"/>
      <w:bookmarkStart w:id="373" w:name="_Toc184310295"/>
      <w:bookmarkEnd w:id="373"/>
      <w:bookmarkStart w:id="374" w:name="_Toc184312120"/>
      <w:bookmarkEnd w:id="374"/>
      <w:bookmarkStart w:id="375" w:name="_Toc184308096"/>
      <w:bookmarkEnd w:id="375"/>
      <w:bookmarkStart w:id="376" w:name="_Toc184310312"/>
      <w:bookmarkEnd w:id="376"/>
      <w:bookmarkStart w:id="377" w:name="_Toc184308095"/>
      <w:bookmarkEnd w:id="377"/>
      <w:bookmarkStart w:id="378" w:name="_Toc184314416"/>
      <w:bookmarkEnd w:id="378"/>
      <w:bookmarkStart w:id="379" w:name="_Toc184314473"/>
      <w:bookmarkEnd w:id="379"/>
      <w:bookmarkStart w:id="380" w:name="_Toc184308050"/>
      <w:bookmarkEnd w:id="380"/>
      <w:bookmarkStart w:id="381" w:name="_Toc184313252"/>
      <w:bookmarkEnd w:id="381"/>
      <w:bookmarkStart w:id="382" w:name="_Toc184308073"/>
      <w:bookmarkEnd w:id="382"/>
      <w:bookmarkStart w:id="383" w:name="_Toc184308047"/>
      <w:bookmarkEnd w:id="383"/>
      <w:bookmarkStart w:id="384" w:name="_Toc184313306"/>
      <w:bookmarkEnd w:id="384"/>
      <w:bookmarkStart w:id="385" w:name="_Toc184312123"/>
      <w:bookmarkEnd w:id="385"/>
      <w:bookmarkStart w:id="386" w:name="_Toc184314478"/>
      <w:bookmarkEnd w:id="386"/>
      <w:bookmarkStart w:id="387" w:name="_Toc184308079"/>
      <w:bookmarkEnd w:id="387"/>
      <w:bookmarkStart w:id="388" w:name="_Toc184308098"/>
      <w:bookmarkEnd w:id="388"/>
      <w:bookmarkStart w:id="389" w:name="_Toc184310284"/>
      <w:bookmarkEnd w:id="389"/>
      <w:bookmarkStart w:id="390" w:name="_Toc184313249"/>
      <w:bookmarkEnd w:id="390"/>
      <w:bookmarkStart w:id="391" w:name="_Toc184310323"/>
      <w:bookmarkEnd w:id="391"/>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2025年-2026年三固运行中心1.5MW汽轮机维保服务采购项目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480" w:firstLineChars="200"/>
      </w:pPr>
      <w:r>
        <w:rPr>
          <w:rFonts w:hint="eastAsia"/>
        </w:rPr>
        <w:t>第一章 合同书  …………………………………………………………（页码）</w:t>
      </w:r>
    </w:p>
    <w:p w14:paraId="61B39EFC">
      <w:pPr>
        <w:pStyle w:val="9"/>
        <w:spacing w:line="360" w:lineRule="auto"/>
        <w:ind w:firstLine="480" w:firstLineChars="200"/>
        <w:rPr>
          <w:rFonts w:hint="eastAsia"/>
        </w:rPr>
      </w:pPr>
      <w:r>
        <w:rPr>
          <w:rFonts w:hint="eastAsia"/>
        </w:rPr>
        <w:t>第二章 合同一般条款……………………………………………………（页码）</w:t>
      </w:r>
    </w:p>
    <w:p w14:paraId="2C41F9F7">
      <w:pPr>
        <w:pStyle w:val="9"/>
        <w:spacing w:line="360" w:lineRule="auto"/>
        <w:ind w:firstLine="480" w:firstLineChars="200"/>
        <w:rPr>
          <w:rFonts w:hint="eastAsia"/>
        </w:rPr>
      </w:pPr>
      <w:r>
        <w:rPr>
          <w:rFonts w:hint="eastAsia"/>
        </w:rPr>
        <w:t>第三章 安全协议…………………………………………………………（页码）</w:t>
      </w:r>
    </w:p>
    <w:p w14:paraId="6B79F37E">
      <w:pPr>
        <w:pStyle w:val="9"/>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2025年-2026年三固运行中心1.5MW汽轮机维保服务采购项目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拆旧费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w:t>
      </w:r>
      <w:r>
        <w:rPr>
          <w:rFonts w:hint="eastAsia" w:hAnsi="宋体"/>
          <w:color w:val="auto"/>
          <w:sz w:val="24"/>
          <w:lang w:val="en-US" w:eastAsia="zh-CN"/>
        </w:rPr>
        <w:t>配件费</w:t>
      </w:r>
      <w:r>
        <w:rPr>
          <w:rFonts w:hint="eastAsia" w:ascii="宋体" w:hAnsi="宋体"/>
          <w:color w:val="auto"/>
          <w:sz w:val="24"/>
          <w:lang w:val="en-US" w:eastAsia="zh-CN"/>
        </w:rPr>
        <w:t>、人工费等所有费用。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067"/>
        <w:gridCol w:w="3624"/>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暂定数量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54C59A3">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622D062">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周检查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617A8925">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每周一次定期检查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35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hint="eastAsia" w:ascii="宋体" w:hAnsi="宋体" w:cs="宋体"/>
                <w:sz w:val="20"/>
                <w:szCs w:val="20"/>
                <w:lang w:val="en-US" w:eastAsia="zh-CN"/>
              </w:rPr>
            </w:pPr>
          </w:p>
        </w:tc>
      </w:tr>
      <w:tr w14:paraId="02A54EA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341E82D">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2</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EEF9E21">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月检查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154B2EE">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每月一次定期检查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2D76D82">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C2E8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D26579C">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D7CC2EC">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1090517">
            <w:pPr>
              <w:widowControl/>
              <w:jc w:val="center"/>
              <w:textAlignment w:val="center"/>
              <w:rPr>
                <w:rFonts w:hint="eastAsia" w:ascii="宋体" w:hAnsi="宋体" w:cs="宋体"/>
                <w:sz w:val="20"/>
                <w:szCs w:val="20"/>
                <w:lang w:val="en-US" w:eastAsia="zh-CN"/>
              </w:rPr>
            </w:pPr>
          </w:p>
        </w:tc>
      </w:tr>
      <w:tr w14:paraId="4AF325C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0755886">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3</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511A0074">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月检查</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7286D1A7">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每季度一次定期检查</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86A8233">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05D7758">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29025BF">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2D0F243">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44E85C8">
            <w:pPr>
              <w:widowControl/>
              <w:jc w:val="center"/>
              <w:textAlignment w:val="center"/>
              <w:rPr>
                <w:rFonts w:hint="eastAsia" w:ascii="宋体" w:hAnsi="宋体" w:cs="宋体"/>
                <w:sz w:val="20"/>
                <w:szCs w:val="20"/>
                <w:lang w:val="en-US" w:eastAsia="zh-CN"/>
              </w:rPr>
            </w:pPr>
          </w:p>
        </w:tc>
      </w:tr>
      <w:tr w14:paraId="6AA9333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853110E">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4</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F80035F">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年度大修</w:t>
            </w:r>
          </w:p>
        </w:tc>
        <w:tc>
          <w:tcPr>
            <w:tcW w:w="3624" w:type="dxa"/>
            <w:tcBorders>
              <w:top w:val="single" w:color="000000" w:sz="4" w:space="0"/>
              <w:left w:val="single" w:color="000000" w:sz="4" w:space="0"/>
              <w:bottom w:val="single" w:color="000000" w:sz="4" w:space="0"/>
              <w:right w:val="single" w:color="000000" w:sz="4" w:space="0"/>
            </w:tcBorders>
            <w:noWrap/>
            <w:vAlign w:val="center"/>
          </w:tcPr>
          <w:p w14:paraId="0F624688">
            <w:pPr>
              <w:pStyle w:val="31"/>
              <w:pageBreakBefore w:val="0"/>
              <w:kinsoku/>
              <w:wordWrap/>
              <w:topLinePunct w:val="0"/>
              <w:bidi w:val="0"/>
              <w:snapToGrid w:val="0"/>
              <w:spacing w:line="360" w:lineRule="auto"/>
              <w:ind w:left="0" w:leftChars="0" w:firstLine="0" w:firstLineChars="0"/>
              <w:jc w:val="center"/>
              <w:rPr>
                <w:rFonts w:hint="eastAsia" w:ascii="宋体" w:hAnsi="宋体" w:cs="宋体" w:eastAsiaTheme="minorEastAsia"/>
                <w:color w:val="auto"/>
                <w:kern w:val="2"/>
                <w:sz w:val="20"/>
                <w:szCs w:val="20"/>
                <w:lang w:val="en-US" w:eastAsia="zh-CN" w:bidi="ar-SA"/>
              </w:rPr>
            </w:pPr>
            <w:r>
              <w:rPr>
                <w:rFonts w:hint="eastAsia" w:ascii="宋体" w:hAnsi="宋体" w:cs="宋体" w:eastAsiaTheme="minorEastAsia"/>
                <w:color w:val="auto"/>
                <w:kern w:val="2"/>
                <w:sz w:val="20"/>
                <w:szCs w:val="20"/>
                <w:lang w:val="en-US" w:eastAsia="zh-CN" w:bidi="ar-SA"/>
              </w:rPr>
              <w:t>一次大修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64398C">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5B73686">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1</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BB27770">
            <w:pPr>
              <w:widowControl/>
              <w:jc w:val="center"/>
              <w:textAlignment w:val="center"/>
              <w:rPr>
                <w:rFonts w:hint="eastAsia" w:ascii="宋体" w:hAnsi="宋体" w:cs="宋体"/>
                <w:sz w:val="20"/>
                <w:szCs w:val="20"/>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0A53E61">
            <w:pPr>
              <w:widowControl/>
              <w:jc w:val="center"/>
              <w:textAlignment w:val="center"/>
              <w:rPr>
                <w:rFonts w:hint="eastAsia" w:ascii="宋体" w:hAnsi="宋体" w:cs="宋体"/>
                <w:sz w:val="20"/>
                <w:szCs w:val="20"/>
                <w:lang w:val="en-US" w:eastAsia="zh-CN"/>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C7CAB33">
            <w:pPr>
              <w:widowControl/>
              <w:jc w:val="center"/>
              <w:textAlignment w:val="center"/>
              <w:rPr>
                <w:rFonts w:hint="eastAsia" w:ascii="宋体" w:hAnsi="宋体" w:cs="宋体"/>
                <w:sz w:val="20"/>
                <w:szCs w:val="20"/>
                <w:lang w:val="en-US" w:eastAsia="zh-CN"/>
              </w:rPr>
            </w:pPr>
          </w:p>
        </w:tc>
      </w:tr>
    </w:tbl>
    <w:p w14:paraId="5E963DDB">
      <w:pPr>
        <w:spacing w:line="360" w:lineRule="auto"/>
        <w:ind w:firstLine="482" w:firstLineChars="200"/>
        <w:outlineLvl w:val="0"/>
        <w:rPr>
          <w:rFonts w:ascii="宋体" w:hAnsi="宋体"/>
          <w:b/>
          <w:sz w:val="24"/>
        </w:rPr>
      </w:pPr>
      <w:bookmarkStart w:id="392" w:name="_Toc1814"/>
      <w:bookmarkStart w:id="393" w:name="_Toc10340"/>
      <w:bookmarkStart w:id="394" w:name="_Toc22618"/>
      <w:bookmarkStart w:id="395" w:name="_Toc3625"/>
      <w:bookmarkStart w:id="396" w:name="_Toc8772"/>
      <w:bookmarkStart w:id="397" w:name="_Toc11108"/>
      <w:bookmarkStart w:id="398" w:name="_Toc4760"/>
      <w:bookmarkStart w:id="399" w:name="_Toc31421"/>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6FAB5C61">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3.1</w:t>
      </w:r>
      <w:r>
        <w:rPr>
          <w:rFonts w:hint="eastAsia" w:ascii="宋体" w:hAnsi="宋体" w:eastAsia="宋体" w:cs="宋体"/>
          <w:b/>
          <w:bCs/>
          <w:sz w:val="24"/>
          <w:highlight w:val="none"/>
          <w:lang w:val="en-US" w:eastAsia="zh-CN"/>
        </w:rPr>
        <w:t>周检查项目</w:t>
      </w:r>
    </w:p>
    <w:p w14:paraId="0C0E876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（1）记录汽轮机实时振动情况，以及进汽温度和压力，轴承振动值；</w:t>
      </w:r>
    </w:p>
    <w:p w14:paraId="0FAD9C9F">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（2）记录轴承进出口油温；</w:t>
      </w:r>
    </w:p>
    <w:p w14:paraId="009279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（3）记录润滑油压、测温（范围0.08~0.12MPa，35~45℃）；</w:t>
      </w:r>
    </w:p>
    <w:p w14:paraId="7C1CF6C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（4）检查抽汽逆止阀是否在正常工作状态；</w:t>
      </w:r>
    </w:p>
    <w:p w14:paraId="3E921DF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（5）检查轴承油封环和油管路中的油泄漏或油雾；</w:t>
      </w:r>
    </w:p>
    <w:p w14:paraId="4666E26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（6）检查汽轮机任何接口及阀杆处是否有蒸汽泄漏；</w:t>
      </w:r>
    </w:p>
    <w:p w14:paraId="63E5435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（7）检查调节系统是否稳定；</w:t>
      </w:r>
    </w:p>
    <w:p w14:paraId="6F3633E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（8）测听汽缸内部噪音水平是否有变化；</w:t>
      </w:r>
    </w:p>
    <w:p w14:paraId="693EA3E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（9）测量并记录各轴承座轴承挡处表面金属温度；</w:t>
      </w:r>
    </w:p>
    <w:p w14:paraId="19F9663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（10）检查汽轮机监测仪表是否正常；</w:t>
      </w:r>
    </w:p>
    <w:p w14:paraId="7D9998A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（11）检查发电机外壳、接线盒、电缆有无破损、油污、腐蚀；  </w:t>
      </w:r>
    </w:p>
    <w:p w14:paraId="24F60D2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（12）检查确认发电机铭牌标识清晰，接地线牢固无锈蚀；</w:t>
      </w:r>
    </w:p>
    <w:p w14:paraId="31D28BC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（13）检查发电机冷却系统（如风冷/水冷）是否正常，散热片无堵塞；</w:t>
      </w:r>
    </w:p>
    <w:p w14:paraId="38F53B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（14）记录发电机电压、电流、频率、功率因数等参数是否在额定范围内；</w:t>
      </w:r>
    </w:p>
    <w:p w14:paraId="578DCE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（15）检查发电机轴承温度、绕组温度并记录，温度异常升高需及时报知甲方专工； </w:t>
      </w:r>
    </w:p>
    <w:p w14:paraId="6B7CB84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（16）检查并测量发电机轴承和机座振动值并记录，振动异常需需及时报知甲方专工； </w:t>
      </w:r>
    </w:p>
    <w:p w14:paraId="75BC2FF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（17）检查发电机是否有噪音，是否有内部摩擦或松动异响。</w:t>
      </w:r>
    </w:p>
    <w:p w14:paraId="697CC9C1">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3.2</w:t>
      </w:r>
      <w:r>
        <w:rPr>
          <w:rFonts w:hint="eastAsia" w:ascii="宋体" w:hAnsi="宋体" w:eastAsia="宋体" w:cs="宋体"/>
          <w:b/>
          <w:bCs/>
          <w:sz w:val="24"/>
          <w:highlight w:val="none"/>
          <w:lang w:val="en-US" w:eastAsia="zh-CN"/>
        </w:rPr>
        <w:t>月检查项目</w:t>
      </w:r>
    </w:p>
    <w:p w14:paraId="1AC1E00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（1）检查汽轮机监测仪表，包括振动和金属温度记录仪，检查期间应使这些仪表保持清洁，对仪表进行电气检查；</w:t>
      </w:r>
    </w:p>
    <w:p w14:paraId="09EEC8B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（2）检查抽汽管道阀门，检查这些阀门的所有控制器，包括操纵座、开关、电磁阀；</w:t>
      </w:r>
    </w:p>
    <w:p w14:paraId="2A72829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（3）检查汽轮机阀门，包括主蒸汽、抽汽、蒸汽管道；</w:t>
      </w:r>
    </w:p>
    <w:p w14:paraId="5BB87C8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（4）测量疏水器或孔板上、下游管道的温度，检查所有的孔板和疏水器；</w:t>
      </w:r>
    </w:p>
    <w:p w14:paraId="361C26D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（5）检查润滑油及EH油油位并记录，如油位偏低需添加；</w:t>
      </w:r>
    </w:p>
    <w:p w14:paraId="390DB4F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（6）发电机轴承润滑脂添加，润滑脂需</w:t>
      </w:r>
      <w:r>
        <w:rPr>
          <w:rFonts w:hint="eastAsia" w:hAnsi="宋体" w:eastAsia="宋体" w:cs="宋体"/>
          <w:sz w:val="24"/>
          <w:highlight w:val="none"/>
          <w:lang w:val="en-US" w:eastAsia="zh-CN"/>
        </w:rPr>
        <w:t>供应商</w:t>
      </w:r>
      <w:r>
        <w:rPr>
          <w:rFonts w:hint="eastAsia" w:ascii="宋体" w:hAnsi="宋体" w:eastAsia="宋体" w:cs="宋体"/>
          <w:sz w:val="24"/>
          <w:highlight w:val="none"/>
          <w:lang w:val="en-US" w:eastAsia="zh-CN"/>
        </w:rPr>
        <w:t>自行准备，每次加约40g；</w:t>
      </w:r>
    </w:p>
    <w:p w14:paraId="01B2208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（7）月检查项目包含周检查项目。</w:t>
      </w:r>
    </w:p>
    <w:p w14:paraId="5F9A9E54">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3.3</w:t>
      </w:r>
      <w:r>
        <w:rPr>
          <w:rFonts w:hint="eastAsia" w:ascii="宋体" w:hAnsi="宋体" w:eastAsia="宋体" w:cs="宋体"/>
          <w:b/>
          <w:bCs/>
          <w:sz w:val="24"/>
          <w:highlight w:val="none"/>
          <w:lang w:val="en-US" w:eastAsia="zh-CN"/>
        </w:rPr>
        <w:t>季度检查维护项目</w:t>
      </w:r>
    </w:p>
    <w:p w14:paraId="132FA835">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（1）每季度对EH油及汽轮机润滑油滤油过滤，过滤周期不低于两天；</w:t>
      </w:r>
    </w:p>
    <w:p w14:paraId="29C5D05E">
      <w:pPr>
        <w:pStyle w:val="6"/>
        <w:numPr>
          <w:ilvl w:val="0"/>
          <w:numId w:val="0"/>
        </w:numPr>
        <w:ind w:firstLine="480" w:firstLineChars="200"/>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（2）</w:t>
      </w:r>
      <w:r>
        <w:rPr>
          <w:rFonts w:hint="eastAsia" w:ascii="宋体" w:hAnsi="宋体" w:eastAsia="宋体" w:cs="宋体"/>
          <w:sz w:val="24"/>
          <w:highlight w:val="none"/>
          <w:lang w:val="en-US" w:eastAsia="zh-CN"/>
        </w:rPr>
        <w:t>季度检查维护项目包含周检查及月检查项目。</w:t>
      </w:r>
    </w:p>
    <w:p w14:paraId="7218DF54">
      <w:pPr>
        <w:pStyle w:val="6"/>
        <w:numPr>
          <w:ilvl w:val="0"/>
          <w:numId w:val="0"/>
        </w:numPr>
        <w:ind w:firstLine="482" w:firstLineChars="200"/>
        <w:rPr>
          <w:rFonts w:hint="eastAsia" w:ascii="宋体" w:hAnsi="宋体" w:eastAsia="宋体" w:cs="宋体"/>
          <w:b/>
          <w:bCs/>
          <w:sz w:val="24"/>
          <w:highlight w:val="none"/>
          <w:lang w:val="en-US" w:eastAsia="zh-CN"/>
        </w:rPr>
      </w:pPr>
      <w:r>
        <w:rPr>
          <w:rFonts w:hint="eastAsia" w:hAnsi="宋体" w:eastAsia="宋体" w:cs="宋体"/>
          <w:b/>
          <w:bCs/>
          <w:sz w:val="24"/>
          <w:highlight w:val="none"/>
          <w:lang w:val="en-US" w:eastAsia="zh-CN"/>
        </w:rPr>
        <w:t>3.4</w:t>
      </w:r>
      <w:r>
        <w:rPr>
          <w:rFonts w:hint="eastAsia" w:ascii="宋体" w:hAnsi="宋体" w:eastAsia="宋体" w:cs="宋体"/>
          <w:b/>
          <w:bCs/>
          <w:sz w:val="24"/>
          <w:highlight w:val="none"/>
          <w:lang w:val="en-US" w:eastAsia="zh-CN"/>
        </w:rPr>
        <w:t>年度大修</w:t>
      </w:r>
    </w:p>
    <w:p w14:paraId="1762E408">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按照实际运行设备情况，</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应事先制订详尽的大修计划、进度、日程表，并事先准备要更换的零部件备件。</w:t>
      </w:r>
    </w:p>
    <w:p w14:paraId="187F8DA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（1）对主汽门、调节汽阀要测定阀杆、阻汽套、衬套等零件的氧化积垢情况，要恢复其设计间隙，并要核查各密封面（包括自密封面）的接触情况并予以修复；</w:t>
      </w:r>
    </w:p>
    <w:p w14:paraId="1BFF9BF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（2）对汽缸要检查所有配合与装配表面，注意汽缸壁上是否有磨蚀，检查水平中分面有否漏汽迹象，如有需一并处理，检查法兰螺栓、螺母、垫圈，固定螺钉有否松脱；</w:t>
      </w:r>
    </w:p>
    <w:p w14:paraId="26783A14">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全面检查各径向轴承，测定并记录轴承和轴颈的直径，检查轴颈上是否有划痕，擦伤或麻点。轴承衬瓦是否有蚀点，磨痕或脱落情况。推力轴承要检查正、反推力。检查各瓦块表面、各轴承热电偶接线情况；</w:t>
      </w:r>
    </w:p>
    <w:p w14:paraId="4269C74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（4）全面检查润滑系统（包括冷油器清洗，油箱清理，辅助油泵及轴承内部清洁）；</w:t>
      </w:r>
    </w:p>
    <w:p w14:paraId="451B8A9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（5）全面检查转子及汽封系统，检查动叶片（包括叶根）和围带情况，末级叶片水蚀情况，测量记录检修前后通流部分的轴向和径向间隙。检查叶片磨蚀情况，检查汽封档凸肩情况，检查汽封环有否磨损；</w:t>
      </w:r>
    </w:p>
    <w:p w14:paraId="1325F68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（6）检查联轴器对中情况，检查其连接螺栓、螺母；</w:t>
      </w:r>
    </w:p>
    <w:p w14:paraId="6FBAD33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（7）检查各隔板有否磨痕，各静叶尤其是出汽边是否有麻点、裂纹、金属磨蚀；</w:t>
      </w:r>
    </w:p>
    <w:p w14:paraId="485BA89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（8）复核通流部分的定位基准，复核轴系的找中曲线，包括复核冷态各轴承标高与原始安装值有否变化，各联轴器处开口和外圆的变化情况，如有变化并予以修复；</w:t>
      </w:r>
    </w:p>
    <w:p w14:paraId="7582765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（9）凝汽器检查，包括凝汽器内部汽侧检查及水侧管束、腔室检查并清洗。</w:t>
      </w:r>
    </w:p>
    <w:p w14:paraId="624839AC">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（10）配件准备，汽轮机检修过程中，如需更换叶片，且更换总数小于等于10片，则由</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自行采购</w:t>
      </w:r>
      <w:r>
        <w:rPr>
          <w:rFonts w:hint="eastAsia" w:hAnsi="宋体" w:eastAsia="宋体" w:cs="宋体"/>
          <w:sz w:val="24"/>
          <w:highlight w:val="none"/>
          <w:lang w:val="en-US" w:eastAsia="zh-CN"/>
        </w:rPr>
        <w:t>承担</w:t>
      </w:r>
      <w:r>
        <w:rPr>
          <w:rFonts w:hint="eastAsia" w:ascii="宋体" w:hAnsi="宋体" w:eastAsia="宋体" w:cs="宋体"/>
          <w:sz w:val="24"/>
          <w:highlight w:val="none"/>
          <w:lang w:val="en-US" w:eastAsia="zh-CN"/>
        </w:rPr>
        <w:t>；更换大于10片的，超过10片以上的数量则由</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提供。</w:t>
      </w:r>
    </w:p>
    <w:p w14:paraId="0EAC14E0">
      <w:pPr>
        <w:pStyle w:val="6"/>
        <w:numPr>
          <w:ilvl w:val="0"/>
          <w:numId w:val="0"/>
        </w:numPr>
        <w:ind w:firstLine="482" w:firstLineChars="200"/>
        <w:rPr>
          <w:rFonts w:hint="default"/>
          <w:b/>
          <w:bCs/>
          <w:color w:val="auto"/>
          <w:lang w:val="en-US" w:eastAsia="zh-CN"/>
        </w:rPr>
      </w:pPr>
      <w:r>
        <w:rPr>
          <w:rFonts w:hint="eastAsia"/>
          <w:b/>
          <w:bCs/>
          <w:color w:val="auto"/>
          <w:lang w:val="en-US" w:eastAsia="zh-CN"/>
        </w:rPr>
        <w:t>4.维保技术要求</w:t>
      </w:r>
    </w:p>
    <w:p w14:paraId="1E01F149">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4.1汽轮机运行中的检查项目</w:t>
      </w:r>
    </w:p>
    <w:p w14:paraId="05B60855">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甲方维保</w:t>
      </w:r>
      <w:r>
        <w:rPr>
          <w:rFonts w:hint="eastAsia" w:ascii="宋体" w:hAnsi="宋体" w:eastAsia="宋体" w:cs="宋体"/>
          <w:sz w:val="24"/>
          <w:highlight w:val="none"/>
          <w:lang w:val="en-US" w:eastAsia="zh-CN"/>
        </w:rPr>
        <w:t>运行人员应充分了解设备的运行限额，预防措施和运行程序，应始终严密监测汽轮机的状况。任何偏离正常值的状况都可能表明已出了故障或存在出事故的苗子，应立即查明。任何漏水、漏油、漏汽或保温层松脱等都是</w:t>
      </w:r>
      <w:r>
        <w:rPr>
          <w:rFonts w:hint="eastAsia" w:hAnsi="宋体" w:eastAsia="宋体" w:cs="宋体"/>
          <w:sz w:val="24"/>
          <w:highlight w:val="none"/>
          <w:lang w:val="en-US" w:eastAsia="zh-CN"/>
        </w:rPr>
        <w:t>不稳定因素</w:t>
      </w:r>
      <w:r>
        <w:rPr>
          <w:rFonts w:hint="eastAsia" w:ascii="宋体" w:hAnsi="宋体" w:eastAsia="宋体" w:cs="宋体"/>
          <w:sz w:val="24"/>
          <w:highlight w:val="none"/>
          <w:lang w:val="en-US" w:eastAsia="zh-CN"/>
        </w:rPr>
        <w:t>，可能酿成严重事故，任何这类情况都应立即查明。</w:t>
      </w:r>
    </w:p>
    <w:p w14:paraId="27EBA56B">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在运行期间除完整记录综合运行日志“历史情况记录”外，在汽轮机停机检修前尚应检查下列项目，以确定需特别注意和检查的项目。</w:t>
      </w:r>
    </w:p>
    <w:p w14:paraId="348BCCA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（1）记录额定负荷，3/4和1/2额定负荷时的振动情况，相位角变化和幅值增减，以及进汽温度和压力。</w:t>
      </w:r>
    </w:p>
    <w:p w14:paraId="4D2CD89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（2）记录额定负荷和卸负荷停机时轴承进出口油温和巴氏合金的温度。</w:t>
      </w:r>
    </w:p>
    <w:p w14:paraId="31DDF223">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（3）测定油滤网上是否有巴氏合金或其它金属碎片。</w:t>
      </w:r>
    </w:p>
    <w:p w14:paraId="090A484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（4）测定润滑油系统压力是否有任何变化。</w:t>
      </w:r>
    </w:p>
    <w:p w14:paraId="4F16B9B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（5）脱扣时主汽阀和调阀是否能迅速及时地关闭。</w:t>
      </w:r>
    </w:p>
    <w:p w14:paraId="724D679A">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（6）脱扣后测定汽机惰走曲线</w:t>
      </w:r>
    </w:p>
    <w:p w14:paraId="7BBFD67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（7）抽汽逆止阀是否在正常工作状态</w:t>
      </w:r>
    </w:p>
    <w:p w14:paraId="4E6F391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（8）转子位置是否与原基准值相比有了变化，应特别注意额定负荷下的比较。</w:t>
      </w:r>
    </w:p>
    <w:p w14:paraId="0BEF06E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（9）注意轴承油封环和油管路中的油泄漏或油雾。</w:t>
      </w:r>
    </w:p>
    <w:p w14:paraId="0C3BA0A1">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（10）注意在汽轮机的任何接口或阀杆处的任何蒸汽泄漏。</w:t>
      </w:r>
    </w:p>
    <w:p w14:paraId="6966CF5D">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（11）观察各汽封是否正常。</w:t>
      </w:r>
    </w:p>
    <w:p w14:paraId="27F8915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（12）调节系统是否稳定。</w:t>
      </w:r>
    </w:p>
    <w:p w14:paraId="51C5D12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（13）调节油压是否有过什么变化。</w:t>
      </w:r>
    </w:p>
    <w:p w14:paraId="618A1F2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（14）蒸汽排放系统是否正常。</w:t>
      </w:r>
    </w:p>
    <w:p w14:paraId="7FD4AC1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（15）交流油泵及直流油泵开关是否起作用。</w:t>
      </w:r>
    </w:p>
    <w:p w14:paraId="1BD6BE4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（16）测定汽缸内噪音水平是否有变化。</w:t>
      </w:r>
    </w:p>
    <w:p w14:paraId="47B89449">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（17）用表面式温度计测定各轴承座轴承挡处表面金属温度有任何变化。</w:t>
      </w:r>
    </w:p>
    <w:p w14:paraId="57757DA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（18）确定是否所有汽轮机监测仪表都正常工作。</w:t>
      </w:r>
    </w:p>
    <w:p w14:paraId="04B6ED66">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4.2短期停机的检查项目</w:t>
      </w:r>
    </w:p>
    <w:p w14:paraId="08FE8D96">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如果以往的运行经验或各进汽阀的活动试验表明其结构可能存在问题，则每种型式的进汽阀至少要拆开一只进行检查。核查阀门，阀杆和衬套的状况及其相应间隙，由检查结果确定是否需要对其余阀门再作检查。</w:t>
      </w:r>
    </w:p>
    <w:p w14:paraId="31D7243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（2）检查所有有异常迹象的部件。</w:t>
      </w:r>
    </w:p>
    <w:p w14:paraId="278509E5">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4.3停机后的维护</w:t>
      </w:r>
    </w:p>
    <w:p w14:paraId="2D09D0E6">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4.3.1</w:t>
      </w:r>
      <w:r>
        <w:rPr>
          <w:rFonts w:hint="eastAsia" w:ascii="宋体" w:hAnsi="宋体" w:eastAsia="宋体" w:cs="宋体"/>
          <w:sz w:val="24"/>
          <w:highlight w:val="none"/>
          <w:lang w:val="en-US" w:eastAsia="zh-CN"/>
        </w:rPr>
        <w:t>汽轮机停用期不超过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（无检修工作）时的保养措施：</w:t>
      </w:r>
    </w:p>
    <w:p w14:paraId="13C67507">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（1）关闭机组与公共母管连接的汽水系统隔绝阀门，若阀门不严密应扩大隔绝范围或加装堵板。</w:t>
      </w:r>
    </w:p>
    <w:p w14:paraId="42B4369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（2）开启有关通向大气的疏水、放水、放气等阀门。设法放尽管道、容器、箱内等内部的积水或存水。</w:t>
      </w:r>
    </w:p>
    <w:p w14:paraId="19DE22C0">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（3）每星期进行一次油箱低部放水，若有条件可启动各油泵进行油循环，如无条件则每天将转子转动半圈。</w:t>
      </w:r>
    </w:p>
    <w:p w14:paraId="4847DE4E">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（4）如汽轮机停用期适值冬季，则应做好防冻工作。</w:t>
      </w:r>
    </w:p>
    <w:p w14:paraId="71588F92">
      <w:pPr>
        <w:pStyle w:val="6"/>
        <w:numPr>
          <w:ilvl w:val="0"/>
          <w:numId w:val="0"/>
        </w:numPr>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（5）暴露于外部的加工面涂以防锈油。</w:t>
      </w:r>
    </w:p>
    <w:p w14:paraId="552D3279">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4.3.2</w:t>
      </w:r>
      <w:r>
        <w:rPr>
          <w:rFonts w:hint="eastAsia" w:ascii="宋体" w:hAnsi="宋体" w:eastAsia="宋体" w:cs="宋体"/>
          <w:sz w:val="24"/>
          <w:highlight w:val="none"/>
          <w:lang w:val="en-US" w:eastAsia="zh-CN"/>
        </w:rPr>
        <w:t>汽轮机停用超过</w:t>
      </w:r>
      <w:r>
        <w:rPr>
          <w:rFonts w:hint="eastAsia" w:hAnsi="宋体" w:eastAsia="宋体" w:cs="宋体"/>
          <w:sz w:val="24"/>
          <w:highlight w:val="none"/>
          <w:lang w:val="en-US" w:eastAsia="zh-CN"/>
        </w:rPr>
        <w:t>14天</w:t>
      </w:r>
      <w:r>
        <w:rPr>
          <w:rFonts w:hint="eastAsia" w:ascii="宋体" w:hAnsi="宋体" w:eastAsia="宋体" w:cs="宋体"/>
          <w:sz w:val="24"/>
          <w:highlight w:val="none"/>
          <w:lang w:val="en-US" w:eastAsia="zh-CN"/>
        </w:rPr>
        <w:t>，但不超过六个月（无检修工作）时的保养措施，除了应做好上述</w:t>
      </w:r>
      <w:r>
        <w:rPr>
          <w:rFonts w:hint="eastAsia" w:ascii="宋体" w:hAnsi="宋体" w:eastAsia="宋体" w:cs="宋体"/>
          <w:color w:val="0000FF"/>
          <w:sz w:val="24"/>
          <w:highlight w:val="none"/>
          <w:lang w:val="en-US" w:eastAsia="zh-CN"/>
        </w:rPr>
        <w:t>（</w:t>
      </w:r>
      <w:r>
        <w:rPr>
          <w:rFonts w:hint="eastAsia" w:hAnsi="宋体" w:eastAsia="宋体" w:cs="宋体"/>
          <w:color w:val="0000FF"/>
          <w:sz w:val="24"/>
          <w:highlight w:val="none"/>
          <w:lang w:val="en-US" w:eastAsia="zh-CN"/>
        </w:rPr>
        <w:t>3</w:t>
      </w:r>
      <w:r>
        <w:rPr>
          <w:rFonts w:hint="eastAsia" w:ascii="宋体" w:hAnsi="宋体" w:eastAsia="宋体" w:cs="宋体"/>
          <w:color w:val="0000FF"/>
          <w:sz w:val="24"/>
          <w:highlight w:val="none"/>
          <w:lang w:val="en-US" w:eastAsia="zh-CN"/>
        </w:rPr>
        <w:t>.1）</w:t>
      </w:r>
      <w:r>
        <w:rPr>
          <w:rFonts w:hint="eastAsia" w:ascii="宋体" w:hAnsi="宋体" w:eastAsia="宋体" w:cs="宋体"/>
          <w:sz w:val="24"/>
          <w:highlight w:val="none"/>
          <w:lang w:val="en-US" w:eastAsia="zh-CN"/>
        </w:rPr>
        <w:t>保养工作外，还应采用热风干燥法进行保养。送风时排汽缸温度应低于80℃，一般应调节热风温度，使汽轮机内缸内壁温度比室温高3～5℃。若热干燥有困难，可用抽汽器抽真空，使机组内部保持干燥，每月进行一次，运行一小时（选择晴天，空气比较干燥时进行）</w:t>
      </w:r>
    </w:p>
    <w:p w14:paraId="46EC61E0">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4.3.3</w:t>
      </w:r>
      <w:r>
        <w:rPr>
          <w:rFonts w:hint="eastAsia" w:ascii="宋体" w:hAnsi="宋体" w:eastAsia="宋体" w:cs="宋体"/>
          <w:sz w:val="24"/>
          <w:highlight w:val="none"/>
          <w:lang w:val="en-US" w:eastAsia="zh-CN"/>
        </w:rPr>
        <w:t>汽轮机停用期超过六个月时的保养措施：除了应做好上述保养工作外，还应采用拆开保养法进行保养，即在金属表面涂上合适的防锈油脂，或喷上银粉等，妥善保管，并定期检查保养效果。</w:t>
      </w:r>
    </w:p>
    <w:p w14:paraId="3B86B6E5">
      <w:pPr>
        <w:pStyle w:val="6"/>
        <w:numPr>
          <w:ilvl w:val="0"/>
          <w:numId w:val="0"/>
        </w:numPr>
        <w:ind w:firstLine="482" w:firstLineChars="200"/>
        <w:rPr>
          <w:rFonts w:hint="default" w:hAnsi="宋体" w:eastAsia="宋体" w:cs="宋体"/>
          <w:b/>
          <w:bCs/>
          <w:sz w:val="24"/>
          <w:highlight w:val="none"/>
          <w:lang w:val="en-US" w:eastAsia="zh-CN"/>
        </w:rPr>
      </w:pPr>
      <w:r>
        <w:rPr>
          <w:rFonts w:hint="eastAsia" w:hAnsi="宋体" w:eastAsia="宋体" w:cs="宋体"/>
          <w:b/>
          <w:bCs/>
          <w:sz w:val="24"/>
          <w:highlight w:val="none"/>
          <w:lang w:val="en-US" w:eastAsia="zh-CN"/>
        </w:rPr>
        <w:t>4.4.蒸汽管道的清洗要求</w:t>
      </w:r>
    </w:p>
    <w:p w14:paraId="776CBA4C">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4.4.1</w:t>
      </w:r>
      <w:r>
        <w:rPr>
          <w:rFonts w:hint="eastAsia" w:ascii="宋体" w:hAnsi="宋体" w:eastAsia="宋体" w:cs="宋体"/>
          <w:sz w:val="24"/>
          <w:highlight w:val="none"/>
          <w:lang w:val="en-US" w:eastAsia="zh-CN"/>
        </w:rPr>
        <w:t>汽轮机的安全经济运行要求进入汽轮机主蒸汽没有外来杂物，为了提供纯净的蒸汽，要求锅炉以及汽轮机的进汽管道在通过蒸汽前，需要进行彻底清洗，不仅新机组初始启动前要求清洗管道，而且检修后的锅炉管道和进汽管道在再启动前也要进行（清洗汽封管道也包括在内）。</w:t>
      </w:r>
    </w:p>
    <w:p w14:paraId="4EF395D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4.4.2清洗后，必须达到能清除掉外部杂物，如附在管子内表面的扎制鳞皮、焊珠、焊渣、氧化皮等。</w:t>
      </w:r>
    </w:p>
    <w:p w14:paraId="124FD1CC">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4.4.3清洗的方法：蒸汽管道的清洗目前普遍采用蒸汽吹扫与化学清洗方法，应按照DL5011-92“电力建设施工及验收技术规范”（汽轮机机组篇）中的规定，依管道的类别分别选取蒸汽吹扫或是化学清洗。对蒸汽吹扫的管道需要按DL5031-94“电力建设施工及验收技术规范”（管道篇）的规定，用蒸汽吹扫合格。而对需进行化学清洗的管道，则应按DLJ58-83“电力建设施工及验收技术规范”（火力发电厂化学篇）的要求进行。</w:t>
      </w:r>
    </w:p>
    <w:p w14:paraId="52C4FA8B">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4.5润滑要求</w:t>
      </w:r>
    </w:p>
    <w:p w14:paraId="2158FFF7">
      <w:pPr>
        <w:pStyle w:val="31"/>
        <w:pageBreakBefore w:val="0"/>
        <w:kinsoku/>
        <w:wordWrap/>
        <w:topLinePunct w:val="0"/>
        <w:bidi w:val="0"/>
        <w:snapToGrid w:val="0"/>
        <w:spacing w:line="360" w:lineRule="auto"/>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4.5.1常规的润滑保养项目，对于汽轮机各部套配套的电动机、滚动轴承等需润滑保养的零部件，都按相应制造厂的要求，按常规注油维护。</w:t>
      </w:r>
    </w:p>
    <w:p w14:paraId="7BB0D650">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4.5.2对油质的要求</w:t>
      </w:r>
    </w:p>
    <w:p w14:paraId="17C368B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（1）本汽轮机组所用的润滑油规定为32号汽轮机油，并加入防锈用复合添加剂。</w:t>
      </w:r>
    </w:p>
    <w:p w14:paraId="5C95DC59">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汽轮机油质应符合GB11120-1989 L-TSA汽轮机油的规定，所用润滑油应是均匀的精炼矿物油，它不许含有砂砾，无机酸碱、皂液、沥青、柏油脂和树状杂质，或其他会影响油质或对所接触金属有害的任何杂质。</w:t>
      </w:r>
    </w:p>
    <w:p w14:paraId="2D2F070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对汽轮机用油的正确保养将保证轴承、轴颈和油泵等不产生过度的磨损，所以必须作定期的油抽样分析以确定油的特性有否改变，如已改变应查明原因予以处理。</w:t>
      </w:r>
    </w:p>
    <w:p w14:paraId="50D3053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（2）在汽轮机运行期间，检验油质时，允许的杂质水平按下表的规定。</w:t>
      </w:r>
    </w:p>
    <w:tbl>
      <w:tblPr>
        <w:tblStyle w:val="1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3382"/>
      </w:tblGrid>
      <w:tr w14:paraId="143F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877" w:type="dxa"/>
            <w:vAlign w:val="center"/>
          </w:tcPr>
          <w:p w14:paraId="1128CB8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杂质粒度尺寸（μ）</w:t>
            </w:r>
          </w:p>
        </w:tc>
        <w:tc>
          <w:tcPr>
            <w:tcW w:w="3382" w:type="dxa"/>
            <w:vAlign w:val="center"/>
          </w:tcPr>
          <w:p w14:paraId="79202530">
            <w:pPr>
              <w:pStyle w:val="31"/>
              <w:pageBreakBefore w:val="0"/>
              <w:kinsoku/>
              <w:wordWrap/>
              <w:topLinePunct w:val="0"/>
              <w:bidi w:val="0"/>
              <w:snapToGrid w:val="0"/>
              <w:spacing w:line="360" w:lineRule="auto"/>
              <w:ind w:left="0" w:leftChars="0" w:firstLine="0" w:firstLineChars="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每100mL油样中允许的颗粒数</w:t>
            </w:r>
          </w:p>
        </w:tc>
      </w:tr>
      <w:tr w14:paraId="3373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797BB8F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5～10</w:t>
            </w:r>
          </w:p>
        </w:tc>
        <w:tc>
          <w:tcPr>
            <w:tcW w:w="3382" w:type="dxa"/>
            <w:vAlign w:val="center"/>
          </w:tcPr>
          <w:p w14:paraId="73D214D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32000</w:t>
            </w:r>
          </w:p>
        </w:tc>
      </w:tr>
      <w:tr w14:paraId="0340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607E7B1B">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10～25</w:t>
            </w:r>
          </w:p>
        </w:tc>
        <w:tc>
          <w:tcPr>
            <w:tcW w:w="3382" w:type="dxa"/>
            <w:vAlign w:val="center"/>
          </w:tcPr>
          <w:p w14:paraId="7B522630">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10700</w:t>
            </w:r>
          </w:p>
        </w:tc>
      </w:tr>
      <w:tr w14:paraId="2126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670FD7FF">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25～100</w:t>
            </w:r>
          </w:p>
        </w:tc>
        <w:tc>
          <w:tcPr>
            <w:tcW w:w="3382" w:type="dxa"/>
            <w:vAlign w:val="center"/>
          </w:tcPr>
          <w:p w14:paraId="0113C6EF">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1510</w:t>
            </w:r>
          </w:p>
        </w:tc>
      </w:tr>
      <w:tr w14:paraId="4FCC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556FA482">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50～250</w:t>
            </w:r>
          </w:p>
        </w:tc>
        <w:tc>
          <w:tcPr>
            <w:tcW w:w="3382" w:type="dxa"/>
            <w:vAlign w:val="center"/>
          </w:tcPr>
          <w:p w14:paraId="7BCF9C5D">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225</w:t>
            </w:r>
          </w:p>
        </w:tc>
      </w:tr>
      <w:tr w14:paraId="1F5C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877" w:type="dxa"/>
            <w:vAlign w:val="center"/>
          </w:tcPr>
          <w:p w14:paraId="25DFE72A">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100～250</w:t>
            </w:r>
          </w:p>
        </w:tc>
        <w:tc>
          <w:tcPr>
            <w:tcW w:w="3382" w:type="dxa"/>
            <w:vAlign w:val="center"/>
          </w:tcPr>
          <w:p w14:paraId="76A37896">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21</w:t>
            </w:r>
          </w:p>
        </w:tc>
      </w:tr>
      <w:tr w14:paraId="6623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877" w:type="dxa"/>
            <w:vAlign w:val="center"/>
          </w:tcPr>
          <w:p w14:paraId="26D6ADA3">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&gt;250</w:t>
            </w:r>
          </w:p>
        </w:tc>
        <w:tc>
          <w:tcPr>
            <w:tcW w:w="3382" w:type="dxa"/>
            <w:vAlign w:val="center"/>
          </w:tcPr>
          <w:p w14:paraId="078CE564">
            <w:pPr>
              <w:pStyle w:val="31"/>
              <w:pageBreakBefore w:val="0"/>
              <w:kinsoku/>
              <w:wordWrap/>
              <w:topLinePunct w:val="0"/>
              <w:bidi w:val="0"/>
              <w:snapToGrid w:val="0"/>
              <w:spacing w:line="360" w:lineRule="auto"/>
              <w:ind w:firstLine="601"/>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无</w:t>
            </w:r>
          </w:p>
        </w:tc>
      </w:tr>
    </w:tbl>
    <w:p w14:paraId="2916A618">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4.5.3对油系统清洁度的要求</w:t>
      </w:r>
    </w:p>
    <w:p w14:paraId="423CDE7C">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在新机组安装后，油系统试运和油循环时油样（用150目油过滤器在最大流量下，置30min取样，然后清洗油过滤器，用200目滤网收集异物）应符合下列要求，油系统清洁度才是合格的。</w:t>
      </w:r>
    </w:p>
    <w:p w14:paraId="077CC66E">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（1）没有大于0.25mm的硬颗粒，尺寸在0.125～0.25mm之间的硬颗粒总数不得大于5。</w:t>
      </w:r>
    </w:p>
    <w:p w14:paraId="0D1B21FD">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（2）在冲洗期间通常要清除以下有害颗粒。</w:t>
      </w:r>
      <w:r>
        <w:rPr>
          <w:rFonts w:hint="eastAsia" w:ascii="宋体" w:hAnsi="宋体" w:eastAsia="宋体" w:cs="宋体"/>
          <w:snapToGrid w:val="0"/>
          <w:color w:val="auto"/>
          <w:kern w:val="2"/>
          <w:sz w:val="24"/>
          <w:szCs w:val="21"/>
          <w:highlight w:val="none"/>
          <w:lang w:val="en-US" w:eastAsia="zh-CN" w:bidi="ar-SA"/>
        </w:rPr>
        <w:tab/>
      </w:r>
    </w:p>
    <w:p w14:paraId="2EF847E9">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大粒积垢或铁锈焊珠或焊渣、砂、石、水泥或玻璃，包括焊条在内的任何种类金属碎屑、片布料、塑料或其它不会檫伤轴颈，但却会阻挡油在管内流动或堵住管孔的物质。</w:t>
      </w:r>
    </w:p>
    <w:p w14:paraId="6278B5DF">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（3）虽稍大于0.25mm，但却可认为是无害的颗粒是棉花、碎纸、锯屑、烟丝、石棉和能很快用手指捻碎的其它软性物质，这些颗粒也要去除。</w:t>
      </w:r>
    </w:p>
    <w:p w14:paraId="3CF8417F">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如检查与分析的结果是洁净度不合格，则要继续让热油循环二小时后再收集油样，直至检查与分析合格。</w:t>
      </w:r>
    </w:p>
    <w:p w14:paraId="5D1B6D59">
      <w:pPr>
        <w:pStyle w:val="6"/>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4.6维修备件</w:t>
      </w:r>
    </w:p>
    <w:p w14:paraId="3524ECFC">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4.6.1汽轮机维修配件由甲方提供，低值易耗品由乙方提供，如螺栓、螺母、垫片、抹布等。</w:t>
      </w:r>
    </w:p>
    <w:p w14:paraId="374E59F6">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4.6.2维护保养期内，机组零部件发生故障或损坏，需更换新的备品备件时，乙方向甲方报送需更换的备品清单，经甲方同意批准后方可更换。备件的安装、维修均由乙方承担，一般情况下工时费不另外支付，但若因维修工时超过24个工时，工时费双方协商解决。</w:t>
      </w:r>
    </w:p>
    <w:p w14:paraId="2895D1C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5.验收方式</w:t>
      </w:r>
    </w:p>
    <w:p w14:paraId="09F807C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5.1乙方在每次进行保养或维修服务时需要有甲方陪同，甲方对照维保方案现场检查项目是否符合要求，双方在维保确认单上签字确认后验收合格。</w:t>
      </w:r>
    </w:p>
    <w:p w14:paraId="0153D33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5.2甲方与乙方双方组织各自技术人员共同现场验收。</w:t>
      </w:r>
    </w:p>
    <w:p w14:paraId="03F1D84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6.服务要求</w:t>
      </w:r>
    </w:p>
    <w:p w14:paraId="5CDB852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机组运行期间，乙方指派相对固定的专业人员，对余热发电机组进行巡检（并记录各项数据）、维护保养，乙方每季度需提交一份有关维护保养的情况报告；若乙方服务人员专业技能不满足要求时，乙方要及时更换人员至满足要求为止。</w:t>
      </w:r>
    </w:p>
    <w:p w14:paraId="616FA2D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6.2运维包含的常规巡检保养内容包括检查机组的性能、运转状况及更换配件等；</w:t>
      </w:r>
    </w:p>
    <w:p w14:paraId="4CAFF19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应急维修：运维期间，机组运行出现故障时，乙方在接到甲方报修通知后，立即到达现场对设备进行检修，如果现场人员无法满足检维修条件，需尽快从别的项目派人过来维修，除了因为甲方原因系统停机外，汽轮机年度运行时间不少于8000小时，停机检修期间，乙方根据维修情况适时增派专业维修人员做好维修工作；</w:t>
      </w:r>
    </w:p>
    <w:p w14:paraId="089F788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6.4合同期内发电机出现故障需大修时，乙方需配合进行发电机维修单位拆装及调试工作。</w:t>
      </w:r>
    </w:p>
    <w:p w14:paraId="19A404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6.5特别约定：</w:t>
      </w:r>
    </w:p>
    <w:p w14:paraId="52B378A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6.5.1甲方在报修通知乙方时应一并提供相关报警信息，以便于乙方工程师做准备。</w:t>
      </w:r>
    </w:p>
    <w:p w14:paraId="57FA5C4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6.5.乙方严格遵守甲方各项外来人员的规章制度和安全规程。乙方自行承担工作人员在维护工作中的安全责任。如果出现安全事故，一切后果由乙方自行承担。</w:t>
      </w:r>
    </w:p>
    <w:p w14:paraId="3317878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6.5.3乙方不承担外部坏境或因人为误操作、破坏等引起的直接与间接的损失后果。</w:t>
      </w:r>
    </w:p>
    <w:p w14:paraId="3C09F85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6.5.4乙方不承担因地震、火灾、雷击、战争等自然力量不可抗拒的灾害所造成的机器损坏。</w:t>
      </w:r>
    </w:p>
    <w:p w14:paraId="6078DEE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6.5.5乙方有义务协助甲方维修上述5.3、5.4条发生时所造成的损坏，双方另行协商修理费用。</w:t>
      </w:r>
    </w:p>
    <w:p w14:paraId="1A58DA00">
      <w:pPr>
        <w:pStyle w:val="6"/>
        <w:ind w:firstLine="480" w:firstLineChars="200"/>
        <w:rPr>
          <w:rFonts w:hint="eastAsia" w:ascii="宋体"/>
          <w:lang w:val="en-US"/>
        </w:rPr>
      </w:pPr>
      <w:r>
        <w:rPr>
          <w:rFonts w:hint="eastAsia"/>
          <w:highlight w:val="none"/>
          <w:lang w:val="en-US" w:eastAsia="zh-CN"/>
        </w:rPr>
        <w:t>7.乙方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400" w:name="_Toc14563"/>
      <w:bookmarkStart w:id="401" w:name="_Toc1125"/>
      <w:bookmarkStart w:id="402" w:name="_Toc6596"/>
      <w:r>
        <w:rPr>
          <w:rFonts w:hint="eastAsia" w:ascii="宋体" w:hAnsi="宋体" w:eastAsia="宋体" w:cs="宋体"/>
          <w:color w:val="auto"/>
          <w:sz w:val="24"/>
          <w:szCs w:val="24"/>
          <w:highlight w:val="none"/>
          <w:lang w:val="en-US" w:eastAsia="zh-CN"/>
        </w:rPr>
        <w:t>9.安全要求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0"/>
      <w:bookmarkEnd w:id="401"/>
      <w:bookmarkEnd w:id="402"/>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合同</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2"/>
    <w:bookmarkEnd w:id="393"/>
    <w:bookmarkEnd w:id="394"/>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C91D747">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95"/>
      <w:bookmarkEnd w:id="396"/>
      <w:bookmarkEnd w:id="397"/>
      <w:bookmarkEnd w:id="398"/>
      <w:bookmarkEnd w:id="399"/>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3" w:name="_Toc19680"/>
      <w:bookmarkStart w:id="404" w:name="_Toc14021"/>
      <w:bookmarkStart w:id="405" w:name="_Toc25079"/>
      <w:bookmarkStart w:id="406" w:name="_Toc5228"/>
      <w:bookmarkStart w:id="407" w:name="_Toc31297"/>
      <w:r>
        <w:rPr>
          <w:rFonts w:hint="eastAsia" w:ascii="宋体" w:hAnsi="宋体"/>
          <w:b/>
          <w:sz w:val="24"/>
        </w:rPr>
        <w:t>一、</w:t>
      </w:r>
      <w:r>
        <w:rPr>
          <w:rFonts w:ascii="宋体" w:hAnsi="宋体"/>
          <w:b/>
          <w:sz w:val="24"/>
        </w:rPr>
        <w:t>定义</w:t>
      </w:r>
      <w:bookmarkEnd w:id="403"/>
      <w:bookmarkEnd w:id="404"/>
      <w:bookmarkEnd w:id="405"/>
      <w:bookmarkEnd w:id="406"/>
      <w:bookmarkEnd w:id="407"/>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8" w:name="_Toc31402"/>
      <w:bookmarkStart w:id="409" w:name="_Toc16752"/>
      <w:bookmarkStart w:id="410" w:name="_Toc3769"/>
      <w:bookmarkStart w:id="411" w:name="_Toc19539"/>
      <w:bookmarkStart w:id="412" w:name="_Toc2328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8"/>
      <w:bookmarkEnd w:id="409"/>
      <w:bookmarkEnd w:id="410"/>
      <w:bookmarkEnd w:id="411"/>
      <w:bookmarkEnd w:id="412"/>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3" w:name="_Toc13673"/>
      <w:bookmarkStart w:id="414" w:name="_Toc12412"/>
      <w:bookmarkStart w:id="415" w:name="_Toc27945"/>
      <w:bookmarkStart w:id="416" w:name="_Toc4133"/>
      <w:bookmarkStart w:id="417" w:name="_Toc9161"/>
      <w:r>
        <w:rPr>
          <w:rFonts w:hint="eastAsia" w:ascii="宋体" w:hAnsi="宋体"/>
          <w:b/>
          <w:sz w:val="24"/>
        </w:rPr>
        <w:t>三、</w:t>
      </w:r>
      <w:r>
        <w:rPr>
          <w:rFonts w:ascii="宋体" w:hAnsi="宋体"/>
          <w:b/>
          <w:sz w:val="24"/>
        </w:rPr>
        <w:t xml:space="preserve"> 知识产权</w:t>
      </w:r>
      <w:bookmarkEnd w:id="413"/>
      <w:bookmarkEnd w:id="414"/>
      <w:bookmarkEnd w:id="415"/>
      <w:bookmarkEnd w:id="416"/>
      <w:bookmarkEnd w:id="417"/>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8" w:name="_Toc26555"/>
      <w:bookmarkStart w:id="419" w:name="_Toc32670"/>
      <w:bookmarkStart w:id="420" w:name="_Toc22011"/>
      <w:bookmarkStart w:id="421" w:name="_Toc31233"/>
      <w:bookmarkStart w:id="422" w:name="_Toc15447"/>
      <w:r>
        <w:rPr>
          <w:rFonts w:hint="eastAsia" w:ascii="宋体" w:hAnsi="宋体"/>
          <w:b/>
          <w:sz w:val="24"/>
        </w:rPr>
        <w:t>五、</w:t>
      </w:r>
      <w:r>
        <w:rPr>
          <w:rFonts w:ascii="宋体" w:hAnsi="宋体"/>
          <w:b/>
          <w:sz w:val="24"/>
        </w:rPr>
        <w:t>结算方式和付款条件</w:t>
      </w:r>
      <w:bookmarkEnd w:id="418"/>
      <w:bookmarkEnd w:id="419"/>
      <w:bookmarkEnd w:id="420"/>
      <w:bookmarkEnd w:id="421"/>
      <w:bookmarkEnd w:id="422"/>
    </w:p>
    <w:p w14:paraId="58708174">
      <w:pPr>
        <w:spacing w:line="360" w:lineRule="auto"/>
        <w:ind w:firstLine="480" w:firstLineChars="200"/>
        <w:outlineLvl w:val="0"/>
        <w:rPr>
          <w:rFonts w:hint="eastAsia" w:ascii="宋体" w:hAnsi="宋体"/>
          <w:bCs/>
          <w:sz w:val="24"/>
        </w:rPr>
      </w:pPr>
      <w:bookmarkStart w:id="423" w:name="_Toc16163"/>
      <w:bookmarkStart w:id="424" w:name="_Toc18990"/>
      <w:bookmarkStart w:id="425" w:name="_Toc13467"/>
      <w:bookmarkStart w:id="426" w:name="_Toc13154"/>
      <w:bookmarkStart w:id="427" w:name="_Toc3050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3"/>
      <w:bookmarkEnd w:id="424"/>
      <w:bookmarkEnd w:id="425"/>
      <w:bookmarkEnd w:id="426"/>
      <w:bookmarkEnd w:id="427"/>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8" w:name="_Toc19069"/>
      <w:r>
        <w:rPr>
          <w:rFonts w:hint="eastAsia" w:ascii="宋体" w:hAnsi="宋体"/>
          <w:b/>
          <w:sz w:val="24"/>
        </w:rPr>
        <w:t>七、质量保证</w:t>
      </w:r>
      <w:bookmarkEnd w:id="428"/>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9"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9"/>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30" w:name="_Toc10611"/>
      <w:r>
        <w:rPr>
          <w:rFonts w:hint="eastAsia" w:ascii="宋体" w:hAnsi="宋体"/>
          <w:b/>
          <w:sz w:val="24"/>
        </w:rPr>
        <w:t>九、合同变更</w:t>
      </w:r>
      <w:bookmarkEnd w:id="430"/>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31" w:name="_Toc10663"/>
      <w:bookmarkStart w:id="432" w:name="_Toc23368"/>
      <w:bookmarkStart w:id="433" w:name="_Toc21830"/>
      <w:bookmarkStart w:id="434" w:name="_Toc42"/>
      <w:bookmarkStart w:id="435"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31"/>
      <w:bookmarkEnd w:id="432"/>
      <w:bookmarkEnd w:id="433"/>
      <w:bookmarkEnd w:id="434"/>
      <w:bookmarkEnd w:id="435"/>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6" w:name="_Toc32494"/>
      <w:bookmarkStart w:id="437" w:name="_Toc25571"/>
      <w:bookmarkStart w:id="438" w:name="_Toc26633"/>
      <w:bookmarkStart w:id="439" w:name="_Toc14371"/>
      <w:bookmarkStart w:id="440" w:name="_Toc4720"/>
      <w:r>
        <w:rPr>
          <w:rFonts w:hint="eastAsia" w:ascii="宋体" w:hAnsi="宋体"/>
          <w:b/>
          <w:sz w:val="24"/>
        </w:rPr>
        <w:t>十一、</w:t>
      </w:r>
      <w:r>
        <w:rPr>
          <w:rFonts w:ascii="宋体" w:hAnsi="宋体"/>
          <w:b/>
          <w:sz w:val="24"/>
        </w:rPr>
        <w:t>不可抗力</w:t>
      </w:r>
      <w:bookmarkEnd w:id="436"/>
      <w:bookmarkEnd w:id="437"/>
      <w:bookmarkEnd w:id="438"/>
      <w:bookmarkEnd w:id="439"/>
      <w:bookmarkEnd w:id="440"/>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41" w:name="_Toc14115"/>
      <w:bookmarkStart w:id="442" w:name="_Toc25783"/>
      <w:bookmarkStart w:id="443" w:name="_Toc23854"/>
      <w:bookmarkStart w:id="444" w:name="_Toc24465"/>
      <w:bookmarkStart w:id="445" w:name="_Toc3638"/>
      <w:r>
        <w:rPr>
          <w:rFonts w:hint="eastAsia" w:ascii="宋体" w:hAnsi="宋体"/>
          <w:b/>
          <w:sz w:val="24"/>
        </w:rPr>
        <w:t>十二、</w:t>
      </w:r>
      <w:r>
        <w:rPr>
          <w:rFonts w:ascii="宋体" w:hAnsi="宋体"/>
          <w:b/>
          <w:sz w:val="24"/>
        </w:rPr>
        <w:t>税费</w:t>
      </w:r>
      <w:bookmarkEnd w:id="441"/>
      <w:bookmarkEnd w:id="442"/>
      <w:bookmarkEnd w:id="443"/>
      <w:bookmarkEnd w:id="444"/>
      <w:bookmarkEnd w:id="445"/>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6" w:name="_Toc25525"/>
      <w:bookmarkStart w:id="447" w:name="_Toc7315"/>
      <w:bookmarkStart w:id="448" w:name="_Toc14814"/>
      <w:bookmarkStart w:id="449" w:name="_Toc26883"/>
      <w:bookmarkStart w:id="450" w:name="_Toc30105"/>
      <w:r>
        <w:rPr>
          <w:rFonts w:hint="eastAsia" w:ascii="宋体" w:hAnsi="宋体"/>
          <w:b/>
          <w:sz w:val="24"/>
        </w:rPr>
        <w:t>十三、</w:t>
      </w:r>
      <w:r>
        <w:rPr>
          <w:rFonts w:ascii="宋体" w:hAnsi="宋体"/>
          <w:b/>
          <w:sz w:val="24"/>
        </w:rPr>
        <w:t>乙方破产</w:t>
      </w:r>
      <w:bookmarkEnd w:id="446"/>
      <w:bookmarkEnd w:id="447"/>
      <w:bookmarkEnd w:id="448"/>
      <w:bookmarkEnd w:id="449"/>
      <w:bookmarkEnd w:id="450"/>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51" w:name="_Toc2016"/>
      <w:bookmarkStart w:id="452" w:name="_Toc23323"/>
      <w:bookmarkStart w:id="453" w:name="_Toc1123"/>
      <w:r>
        <w:rPr>
          <w:rFonts w:hint="eastAsia" w:ascii="宋体" w:hAnsi="宋体"/>
          <w:b/>
          <w:sz w:val="24"/>
        </w:rPr>
        <w:t>十四、</w:t>
      </w:r>
      <w:r>
        <w:rPr>
          <w:rFonts w:ascii="宋体" w:hAnsi="宋体"/>
          <w:b/>
          <w:sz w:val="24"/>
        </w:rPr>
        <w:t>合同中止、终止</w:t>
      </w:r>
      <w:bookmarkEnd w:id="451"/>
      <w:bookmarkEnd w:id="452"/>
      <w:bookmarkEnd w:id="453"/>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4" w:name="_Toc17363"/>
      <w:bookmarkStart w:id="455" w:name="_Toc1969"/>
      <w:bookmarkStart w:id="456"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4"/>
      <w:bookmarkEnd w:id="455"/>
      <w:bookmarkEnd w:id="456"/>
      <w:bookmarkStart w:id="457" w:name="_Toc31892"/>
      <w:bookmarkStart w:id="458" w:name="_Toc25198"/>
      <w:bookmarkStart w:id="459" w:name="_Toc9808"/>
      <w:bookmarkStart w:id="460" w:name="_Toc2308"/>
      <w:bookmarkStart w:id="461" w:name="_Toc12666"/>
      <w:r>
        <w:rPr>
          <w:rFonts w:hint="eastAsia" w:ascii="宋体" w:hAnsi="宋体"/>
          <w:b/>
          <w:sz w:val="24"/>
        </w:rPr>
        <w:t>、</w:t>
      </w:r>
      <w:r>
        <w:rPr>
          <w:rFonts w:ascii="宋体" w:hAnsi="宋体"/>
          <w:b/>
          <w:sz w:val="24"/>
        </w:rPr>
        <w:t>通知和送达</w:t>
      </w:r>
      <w:bookmarkEnd w:id="457"/>
      <w:bookmarkEnd w:id="458"/>
      <w:bookmarkEnd w:id="459"/>
      <w:bookmarkEnd w:id="460"/>
      <w:bookmarkEnd w:id="461"/>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62" w:name="_Toc27644"/>
      <w:bookmarkStart w:id="463" w:name="_Toc28906"/>
      <w:bookmarkStart w:id="464" w:name="_Toc5063"/>
      <w:bookmarkStart w:id="465" w:name="_Toc12254"/>
      <w:bookmarkStart w:id="466" w:name="_Toc20808"/>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62"/>
      <w:bookmarkEnd w:id="463"/>
      <w:bookmarkEnd w:id="464"/>
      <w:bookmarkEnd w:id="465"/>
      <w:bookmarkEnd w:id="466"/>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2025年-2026年三固运行中心1.5MW汽轮机维保服务采购项目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2025年-2026年三固运行中心1.5MW汽轮机维保服务采购项目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8"/>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2025年-2026年三固运行中心1.5MW汽轮机维保服务采购项目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202507071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2025年-2026年三固运行中心1.5MW汽轮机维保服务采购项目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202507071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6"/>
              <w:adjustRightInd w:val="0"/>
              <w:spacing w:line="360" w:lineRule="auto"/>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6"/>
        <w:rPr>
          <w:color w:val="auto"/>
        </w:rPr>
      </w:pPr>
    </w:p>
    <w:p w14:paraId="7051BD90">
      <w:pPr>
        <w:pStyle w:val="7"/>
        <w:rPr>
          <w:color w:val="auto"/>
        </w:rPr>
      </w:pPr>
    </w:p>
    <w:p w14:paraId="15ED29BF">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50ED184E">
      <w:pPr>
        <w:rPr>
          <w:color w:val="auto"/>
        </w:rPr>
      </w:pPr>
    </w:p>
    <w:p w14:paraId="1A6F3E74">
      <w:pPr>
        <w:pStyle w:val="6"/>
        <w:rPr>
          <w:color w:val="auto"/>
        </w:rPr>
      </w:pPr>
    </w:p>
    <w:p w14:paraId="464D47F2">
      <w:pPr>
        <w:pStyle w:val="7"/>
        <w:rPr>
          <w:color w:val="auto"/>
        </w:rPr>
      </w:pPr>
    </w:p>
    <w:p w14:paraId="6B511750">
      <w:pPr>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0000FF"/>
          <w:sz w:val="24"/>
        </w:rPr>
      </w:pPr>
      <w:r>
        <w:rPr>
          <w:rFonts w:hint="eastAsia" w:cs="仿宋" w:asciiTheme="minorEastAsia" w:hAnsiTheme="minorEastAsia"/>
          <w:color w:val="0000FF"/>
          <w:sz w:val="24"/>
        </w:rPr>
        <w:t>2.2.</w:t>
      </w:r>
      <w:r>
        <w:rPr>
          <w:rFonts w:hint="eastAsia" w:cs="仿宋" w:asciiTheme="minorEastAsia" w:hAnsiTheme="minorEastAsia"/>
          <w:color w:val="0000FF"/>
          <w:sz w:val="24"/>
          <w:lang w:val="en-US" w:eastAsia="zh-CN"/>
        </w:rPr>
        <w:t>4</w:t>
      </w:r>
      <w:r>
        <w:rPr>
          <w:rFonts w:hint="eastAsia" w:cs="仿宋" w:asciiTheme="minorEastAsia" w:hAnsiTheme="minorEastAsia"/>
          <w:color w:val="0000FF"/>
          <w:sz w:val="24"/>
        </w:rPr>
        <w:t>商务技术偏离表；</w:t>
      </w:r>
    </w:p>
    <w:p w14:paraId="4C9D3015">
      <w:pPr>
        <w:snapToGrid w:val="0"/>
        <w:spacing w:line="360" w:lineRule="auto"/>
        <w:ind w:left="420" w:leftChars="200" w:firstLine="480" w:firstLineChars="200"/>
        <w:rPr>
          <w:rFonts w:cs="仿宋" w:asciiTheme="minorEastAsia" w:hAnsiTheme="minorEastAsia"/>
          <w:color w:val="0000FF"/>
          <w:sz w:val="24"/>
          <w:lang w:val="zh-CN"/>
        </w:rPr>
      </w:pPr>
      <w:r>
        <w:rPr>
          <w:rFonts w:hint="eastAsia" w:cs="仿宋" w:asciiTheme="minorEastAsia" w:hAnsiTheme="minorEastAsia"/>
          <w:color w:val="0000FF"/>
          <w:sz w:val="24"/>
        </w:rPr>
        <w:t>2</w:t>
      </w:r>
      <w:r>
        <w:rPr>
          <w:rFonts w:hint="eastAsia" w:cs="仿宋" w:asciiTheme="minorEastAsia" w:hAnsiTheme="minorEastAsia"/>
          <w:color w:val="0000FF"/>
          <w:sz w:val="24"/>
          <w:lang w:val="zh-CN"/>
        </w:rPr>
        <w:t>.</w:t>
      </w:r>
      <w:r>
        <w:rPr>
          <w:rFonts w:hint="eastAsia" w:cs="仿宋" w:asciiTheme="minorEastAsia" w:hAnsiTheme="minorEastAsia"/>
          <w:color w:val="0000FF"/>
          <w:sz w:val="24"/>
        </w:rPr>
        <w:t>2</w:t>
      </w:r>
      <w:r>
        <w:rPr>
          <w:rFonts w:hint="eastAsia" w:cs="仿宋" w:asciiTheme="minorEastAsia" w:hAnsiTheme="minorEastAsia"/>
          <w:color w:val="0000FF"/>
          <w:sz w:val="24"/>
          <w:lang w:val="zh-CN"/>
        </w:rPr>
        <w:t>.</w:t>
      </w:r>
      <w:r>
        <w:rPr>
          <w:rFonts w:hint="eastAsia" w:cs="仿宋" w:asciiTheme="minorEastAsia" w:hAnsiTheme="minorEastAsia"/>
          <w:color w:val="0000FF"/>
          <w:sz w:val="24"/>
          <w:lang w:val="en-US" w:eastAsia="zh-CN"/>
        </w:rPr>
        <w:t>5</w:t>
      </w:r>
      <w:r>
        <w:rPr>
          <w:rFonts w:hint="eastAsia" w:cs="仿宋" w:asciiTheme="minorEastAsia" w:hAnsiTheme="minorEastAsia"/>
          <w:color w:val="0000FF"/>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76"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017"/>
        <w:gridCol w:w="923"/>
        <w:gridCol w:w="1264"/>
        <w:gridCol w:w="975"/>
        <w:gridCol w:w="1129"/>
        <w:gridCol w:w="1445"/>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6017"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923"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126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暂定数量</w:t>
            </w:r>
          </w:p>
        </w:tc>
        <w:tc>
          <w:tcPr>
            <w:tcW w:w="975"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129"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445"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92" w:type="dxa"/>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noWrap/>
            <w:vAlign w:val="center"/>
          </w:tcPr>
          <w:p w14:paraId="73974B47">
            <w:pPr>
              <w:keepNext w:val="0"/>
              <w:keepLines w:val="0"/>
              <w:widowControl/>
              <w:suppressLineNumbers w:val="0"/>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1"/>
                <w:szCs w:val="21"/>
                <w:u w:val="none"/>
                <w:lang w:val="en-US" w:eastAsia="zh-CN" w:bidi="ar"/>
              </w:rPr>
              <w:t>周检查</w:t>
            </w:r>
          </w:p>
        </w:tc>
        <w:tc>
          <w:tcPr>
            <w:tcW w:w="6017" w:type="dxa"/>
            <w:shd w:val="clear" w:color="auto" w:fill="auto"/>
            <w:noWrap/>
            <w:vAlign w:val="center"/>
          </w:tcPr>
          <w:p w14:paraId="48415E1D">
            <w:pPr>
              <w:pStyle w:val="31"/>
              <w:pageBreakBefore w:val="0"/>
              <w:kinsoku/>
              <w:wordWrap/>
              <w:topLinePunct w:val="0"/>
              <w:bidi w:val="0"/>
              <w:snapToGrid w:val="0"/>
              <w:spacing w:line="360" w:lineRule="auto"/>
              <w:ind w:left="0" w:leftChars="0" w:firstLine="0" w:firstLineChars="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每周一次定期检查，内容详见采购需求</w:t>
            </w:r>
          </w:p>
        </w:tc>
        <w:tc>
          <w:tcPr>
            <w:tcW w:w="923"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35</w:t>
            </w:r>
          </w:p>
        </w:tc>
        <w:tc>
          <w:tcPr>
            <w:tcW w:w="975" w:type="dxa"/>
            <w:noWrap/>
            <w:vAlign w:val="center"/>
          </w:tcPr>
          <w:p w14:paraId="0697500F">
            <w:pPr>
              <w:widowControl/>
              <w:jc w:val="center"/>
              <w:textAlignment w:val="center"/>
              <w:rPr>
                <w:rFonts w:ascii="宋体" w:hAnsi="宋体" w:cs="宋体"/>
                <w:kern w:val="0"/>
                <w:sz w:val="20"/>
                <w:szCs w:val="20"/>
                <w:highlight w:val="none"/>
                <w:lang w:bidi="ar"/>
              </w:rPr>
            </w:pPr>
          </w:p>
        </w:tc>
        <w:tc>
          <w:tcPr>
            <w:tcW w:w="1129"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71024F70">
            <w:pPr>
              <w:widowControl/>
              <w:jc w:val="center"/>
              <w:textAlignment w:val="center"/>
              <w:rPr>
                <w:rFonts w:hint="eastAsia" w:ascii="宋体" w:hAnsi="宋体" w:eastAsia="宋体" w:cs="宋体"/>
                <w:sz w:val="21"/>
                <w:szCs w:val="21"/>
                <w:highlight w:val="none"/>
                <w:lang w:val="en-US" w:eastAsia="zh-CN"/>
              </w:rPr>
            </w:pPr>
          </w:p>
        </w:tc>
      </w:tr>
      <w:tr w14:paraId="38D9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2" w:type="dxa"/>
            <w:noWrap/>
            <w:vAlign w:val="center"/>
          </w:tcPr>
          <w:p w14:paraId="2D47C44E">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2</w:t>
            </w:r>
          </w:p>
        </w:tc>
        <w:tc>
          <w:tcPr>
            <w:tcW w:w="1231" w:type="dxa"/>
            <w:noWrap/>
            <w:vAlign w:val="center"/>
          </w:tcPr>
          <w:p w14:paraId="23EC8D0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月检查</w:t>
            </w:r>
          </w:p>
        </w:tc>
        <w:tc>
          <w:tcPr>
            <w:tcW w:w="6017" w:type="dxa"/>
            <w:shd w:val="clear" w:color="auto" w:fill="auto"/>
            <w:noWrap/>
            <w:vAlign w:val="center"/>
          </w:tcPr>
          <w:p w14:paraId="150A5104">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每月一次定期检查，内容详见采购需求</w:t>
            </w:r>
          </w:p>
        </w:tc>
        <w:tc>
          <w:tcPr>
            <w:tcW w:w="923" w:type="dxa"/>
            <w:noWrap w:val="0"/>
            <w:vAlign w:val="center"/>
          </w:tcPr>
          <w:p w14:paraId="11ADB6F8">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0698F583">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11</w:t>
            </w:r>
          </w:p>
        </w:tc>
        <w:tc>
          <w:tcPr>
            <w:tcW w:w="975" w:type="dxa"/>
            <w:noWrap/>
            <w:vAlign w:val="center"/>
          </w:tcPr>
          <w:p w14:paraId="6AA03910">
            <w:pPr>
              <w:widowControl/>
              <w:jc w:val="center"/>
              <w:textAlignment w:val="center"/>
              <w:rPr>
                <w:rFonts w:ascii="宋体" w:hAnsi="宋体" w:cs="宋体"/>
                <w:kern w:val="0"/>
                <w:sz w:val="20"/>
                <w:szCs w:val="20"/>
                <w:highlight w:val="none"/>
                <w:lang w:bidi="ar"/>
              </w:rPr>
            </w:pPr>
          </w:p>
        </w:tc>
        <w:tc>
          <w:tcPr>
            <w:tcW w:w="1129" w:type="dxa"/>
            <w:noWrap/>
            <w:vAlign w:val="center"/>
          </w:tcPr>
          <w:p w14:paraId="627E4E94">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67CA65C9">
            <w:pPr>
              <w:widowControl/>
              <w:jc w:val="center"/>
              <w:textAlignment w:val="center"/>
              <w:rPr>
                <w:rFonts w:hint="eastAsia" w:ascii="宋体" w:hAnsi="宋体" w:eastAsia="宋体" w:cs="宋体"/>
                <w:sz w:val="21"/>
                <w:szCs w:val="21"/>
                <w:highlight w:val="none"/>
                <w:lang w:val="en-US" w:eastAsia="zh-CN"/>
              </w:rPr>
            </w:pPr>
          </w:p>
        </w:tc>
      </w:tr>
      <w:tr w14:paraId="2511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2" w:type="dxa"/>
            <w:noWrap/>
            <w:vAlign w:val="center"/>
          </w:tcPr>
          <w:p w14:paraId="2819C9D9">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3</w:t>
            </w:r>
          </w:p>
        </w:tc>
        <w:tc>
          <w:tcPr>
            <w:tcW w:w="1231" w:type="dxa"/>
            <w:noWrap/>
            <w:vAlign w:val="center"/>
          </w:tcPr>
          <w:p w14:paraId="71AF492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季度检查维护</w:t>
            </w:r>
          </w:p>
        </w:tc>
        <w:tc>
          <w:tcPr>
            <w:tcW w:w="6017" w:type="dxa"/>
            <w:shd w:val="clear" w:color="auto" w:fill="auto"/>
            <w:noWrap/>
            <w:vAlign w:val="center"/>
          </w:tcPr>
          <w:p w14:paraId="512C8F6A">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每季度一次定期检查，内容详见采购需求</w:t>
            </w:r>
          </w:p>
        </w:tc>
        <w:tc>
          <w:tcPr>
            <w:tcW w:w="923" w:type="dxa"/>
            <w:noWrap w:val="0"/>
            <w:vAlign w:val="center"/>
          </w:tcPr>
          <w:p w14:paraId="1296BFE1">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356E19F5">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975" w:type="dxa"/>
            <w:noWrap/>
            <w:vAlign w:val="center"/>
          </w:tcPr>
          <w:p w14:paraId="58AC937C">
            <w:pPr>
              <w:widowControl/>
              <w:jc w:val="center"/>
              <w:textAlignment w:val="center"/>
              <w:rPr>
                <w:rFonts w:ascii="宋体" w:hAnsi="宋体" w:cs="宋体"/>
                <w:kern w:val="0"/>
                <w:sz w:val="20"/>
                <w:szCs w:val="20"/>
                <w:highlight w:val="none"/>
                <w:lang w:bidi="ar"/>
              </w:rPr>
            </w:pPr>
          </w:p>
        </w:tc>
        <w:tc>
          <w:tcPr>
            <w:tcW w:w="1129" w:type="dxa"/>
            <w:noWrap/>
            <w:vAlign w:val="center"/>
          </w:tcPr>
          <w:p w14:paraId="745A7965">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53C3B5E4">
            <w:pPr>
              <w:widowControl/>
              <w:jc w:val="center"/>
              <w:textAlignment w:val="center"/>
              <w:rPr>
                <w:rFonts w:hint="eastAsia" w:ascii="宋体" w:hAnsi="宋体" w:eastAsia="宋体" w:cs="宋体"/>
                <w:sz w:val="21"/>
                <w:szCs w:val="21"/>
                <w:highlight w:val="none"/>
                <w:lang w:val="en-US" w:eastAsia="zh-CN"/>
              </w:rPr>
            </w:pPr>
          </w:p>
        </w:tc>
      </w:tr>
      <w:tr w14:paraId="6C1B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92" w:type="dxa"/>
            <w:noWrap/>
            <w:vAlign w:val="center"/>
          </w:tcPr>
          <w:p w14:paraId="15DE88A8">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4</w:t>
            </w:r>
          </w:p>
        </w:tc>
        <w:tc>
          <w:tcPr>
            <w:tcW w:w="1231" w:type="dxa"/>
            <w:noWrap/>
            <w:vAlign w:val="center"/>
          </w:tcPr>
          <w:p w14:paraId="45709A7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年度大修</w:t>
            </w:r>
          </w:p>
        </w:tc>
        <w:tc>
          <w:tcPr>
            <w:tcW w:w="6017" w:type="dxa"/>
            <w:shd w:val="clear" w:color="auto" w:fill="auto"/>
            <w:noWrap/>
            <w:vAlign w:val="center"/>
          </w:tcPr>
          <w:p w14:paraId="4CB50DC9">
            <w:pPr>
              <w:pStyle w:val="31"/>
              <w:pageBreakBefore w:val="0"/>
              <w:kinsoku/>
              <w:wordWrap/>
              <w:topLinePunct w:val="0"/>
              <w:bidi w:val="0"/>
              <w:snapToGrid w:val="0"/>
              <w:spacing w:line="360" w:lineRule="auto"/>
              <w:ind w:left="0" w:leftChars="0" w:firstLine="0" w:firstLineChars="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每年一次大修，内容详见采购需求</w:t>
            </w:r>
          </w:p>
        </w:tc>
        <w:tc>
          <w:tcPr>
            <w:tcW w:w="923" w:type="dxa"/>
            <w:noWrap w:val="0"/>
            <w:vAlign w:val="center"/>
          </w:tcPr>
          <w:p w14:paraId="763408AA">
            <w:pPr>
              <w:widowControl/>
              <w:jc w:val="center"/>
              <w:textAlignment w:val="center"/>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次</w:t>
            </w:r>
          </w:p>
        </w:tc>
        <w:tc>
          <w:tcPr>
            <w:tcW w:w="1264" w:type="dxa"/>
            <w:noWrap/>
            <w:vAlign w:val="center"/>
          </w:tcPr>
          <w:p w14:paraId="66101437">
            <w:pPr>
              <w:widowControl/>
              <w:jc w:val="center"/>
              <w:textAlignment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w:t>
            </w:r>
          </w:p>
        </w:tc>
        <w:tc>
          <w:tcPr>
            <w:tcW w:w="975" w:type="dxa"/>
            <w:noWrap/>
            <w:vAlign w:val="center"/>
          </w:tcPr>
          <w:p w14:paraId="53DD2D0E">
            <w:pPr>
              <w:widowControl/>
              <w:jc w:val="center"/>
              <w:textAlignment w:val="center"/>
              <w:rPr>
                <w:rFonts w:ascii="宋体" w:hAnsi="宋体" w:cs="宋体"/>
                <w:kern w:val="0"/>
                <w:sz w:val="20"/>
                <w:szCs w:val="20"/>
                <w:highlight w:val="none"/>
                <w:lang w:bidi="ar"/>
              </w:rPr>
            </w:pPr>
          </w:p>
        </w:tc>
        <w:tc>
          <w:tcPr>
            <w:tcW w:w="1129" w:type="dxa"/>
            <w:noWrap/>
            <w:vAlign w:val="center"/>
          </w:tcPr>
          <w:p w14:paraId="709390E2">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74045614">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4813"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6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4813"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6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4813"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7"/>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单独提供</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2025年-2026年三固运行中心1.5MW汽轮机维保服务采购项目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202507071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0"/>
        <w:rPr>
          <w:rFonts w:hint="eastAsia" w:hAnsi="宋体" w:cs="宋体"/>
          <w:b/>
          <w:bCs/>
          <w:sz w:val="24"/>
        </w:rPr>
      </w:pPr>
    </w:p>
    <w:p w14:paraId="5BC930A5">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0FE7FF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3064D3F"/>
    <w:rsid w:val="1399374C"/>
    <w:rsid w:val="13BF1AD6"/>
    <w:rsid w:val="13FF5068"/>
    <w:rsid w:val="14521AA0"/>
    <w:rsid w:val="146C41CB"/>
    <w:rsid w:val="15003014"/>
    <w:rsid w:val="15BE749A"/>
    <w:rsid w:val="15E02F18"/>
    <w:rsid w:val="166F3635"/>
    <w:rsid w:val="185A544F"/>
    <w:rsid w:val="18890233"/>
    <w:rsid w:val="18CF230C"/>
    <w:rsid w:val="18E66EE1"/>
    <w:rsid w:val="19106352"/>
    <w:rsid w:val="19711A8B"/>
    <w:rsid w:val="198737C7"/>
    <w:rsid w:val="19DC6BDA"/>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12608CC"/>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9B5E5B"/>
    <w:rsid w:val="2BDA5141"/>
    <w:rsid w:val="2C270527"/>
    <w:rsid w:val="2C4141D8"/>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2145</Words>
  <Characters>2456</Characters>
  <Lines>0</Lines>
  <Paragraphs>0</Paragraphs>
  <TotalTime>9</TotalTime>
  <ScaleCrop>false</ScaleCrop>
  <LinksUpToDate>false</LinksUpToDate>
  <CharactersWithSpaces>2550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2025-07-30T05:52:46Z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