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2025年-2026年PLC系统委外维修调试服务采购项目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202507040</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7</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18日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2025年-2026年PLC系统委外维修调试服务采购项目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202507040</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2025年-2026年PLC系统委外维修调试服务采购项目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15万元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sz w:val="24"/>
        </w:rPr>
        <w:t>杭州临江环境能源有限公司</w:t>
      </w:r>
      <w:r>
        <w:rPr>
          <w:rFonts w:hint="eastAsia" w:hAnsi="宋体" w:cs="宋体"/>
          <w:bCs/>
          <w:sz w:val="24"/>
          <w:lang w:val="en-US" w:eastAsia="zh-CN"/>
        </w:rPr>
        <w:t>的</w:t>
      </w:r>
      <w:r>
        <w:rPr>
          <w:rFonts w:hint="eastAsia" w:hAnsi="宋体" w:cs="宋体"/>
          <w:bCs/>
          <w:sz w:val="24"/>
        </w:rPr>
        <w:t>PLC</w:t>
      </w:r>
      <w:r>
        <w:rPr>
          <w:rFonts w:hint="eastAsia" w:hAnsi="宋体" w:cs="宋体"/>
          <w:bCs/>
          <w:sz w:val="24"/>
          <w:lang w:val="en-US" w:eastAsia="zh-CN"/>
        </w:rPr>
        <w:t>系统需要采购</w:t>
      </w:r>
      <w:r>
        <w:rPr>
          <w:rFonts w:hint="eastAsia" w:hAnsi="宋体" w:cs="宋体"/>
          <w:bCs/>
          <w:sz w:val="24"/>
          <w:lang w:eastAsia="zh-CN"/>
        </w:rPr>
        <w:t>委外维修调试服务</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rPr>
        <w:t xml:space="preserve"> 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w:t>
      </w:r>
      <w:bookmarkStart w:id="459" w:name="_GoBack"/>
      <w:bookmarkEnd w:id="459"/>
      <w:r>
        <w:rPr>
          <w:rFonts w:hint="eastAsia" w:cs="仿宋" w:asciiTheme="minorEastAsia" w:hAnsiTheme="minorEastAsia"/>
          <w:bCs/>
          <w:color w:val="auto"/>
          <w:sz w:val="24"/>
          <w:u w:val="single"/>
        </w:rPr>
        <w:t>1日起至少1例</w:t>
      </w:r>
      <w:r>
        <w:rPr>
          <w:rFonts w:hint="eastAsia" w:cs="仿宋" w:asciiTheme="minorEastAsia" w:hAnsiTheme="minorEastAsia"/>
          <w:bCs/>
          <w:color w:val="auto"/>
          <w:sz w:val="24"/>
          <w:u w:val="single"/>
          <w:lang w:val="en-US" w:eastAsia="zh-CN"/>
        </w:rPr>
        <w:t>PLC系统维修或者调试</w:t>
      </w:r>
      <w:r>
        <w:rPr>
          <w:rFonts w:hint="eastAsia" w:cs="仿宋" w:asciiTheme="minorEastAsia" w:hAnsiTheme="minorEastAsia"/>
          <w:bCs/>
          <w:color w:val="auto"/>
          <w:sz w:val="24"/>
          <w:u w:val="single"/>
        </w:rPr>
        <w:t>业绩（同时提供合同复印件作为业绩证明材料）</w:t>
      </w:r>
      <w:r>
        <w:rPr>
          <w:rFonts w:hint="eastAsia" w:cs="仿宋" w:asciiTheme="minorEastAsia" w:hAnsiTheme="minorEastAsia"/>
          <w:b/>
          <w:color w:val="auto"/>
          <w:sz w:val="24"/>
          <w:highlight w:val="none"/>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default" w:cs="仿宋" w:asciiTheme="minorEastAsia" w:hAnsiTheme="minorEastAsia"/>
          <w:bCs/>
          <w:color w:val="0000FF"/>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sz w:val="24"/>
          <w:u w:val="single"/>
          <w:lang w:val="en-US" w:eastAsia="zh-CN"/>
        </w:rPr>
        <w:t>/</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7月25日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7月18日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6B52CDED">
      <w:pPr>
        <w:rPr>
          <w:rFonts w:cs="仿宋" w:asciiTheme="minorEastAsia" w:hAnsiTheme="minorEastAsia"/>
          <w:b/>
          <w:bCs/>
          <w:sz w:val="36"/>
          <w:szCs w:val="36"/>
        </w:rPr>
      </w:pPr>
    </w:p>
    <w:p w14:paraId="21267DBD">
      <w:pPr>
        <w:rPr>
          <w:rFonts w:cs="仿宋" w:asciiTheme="minorEastAsia" w:hAnsiTheme="minorEastAsia"/>
          <w:b/>
          <w:bCs/>
          <w:sz w:val="36"/>
          <w:szCs w:val="36"/>
        </w:rPr>
      </w:pPr>
    </w:p>
    <w:p w14:paraId="3684A450">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1E688C58">
      <w:pPr>
        <w:pStyle w:val="6"/>
        <w:ind w:firstLine="480" w:firstLineChars="200"/>
        <w:rPr>
          <w:rFonts w:hint="eastAsia" w:eastAsiaTheme="minorEastAsia"/>
          <w:lang w:val="en-US" w:eastAsia="zh-CN"/>
        </w:rPr>
      </w:pPr>
      <w:r>
        <w:rPr>
          <w:rFonts w:hint="eastAsia"/>
          <w:lang w:val="en-US"/>
        </w:rPr>
        <w:t>对根据</w:t>
      </w:r>
      <w:r>
        <w:rPr>
          <w:rFonts w:hint="eastAsia"/>
          <w:lang w:val="en-US" w:eastAsia="zh-CN"/>
        </w:rPr>
        <w:t>能源</w:t>
      </w:r>
      <w:r>
        <w:rPr>
          <w:rFonts w:hint="eastAsia"/>
          <w:lang w:val="en-US"/>
        </w:rPr>
        <w:t>和</w:t>
      </w:r>
      <w:r>
        <w:rPr>
          <w:rFonts w:hint="eastAsia"/>
          <w:lang w:val="en-US" w:eastAsia="zh-CN"/>
        </w:rPr>
        <w:t>三固</w:t>
      </w:r>
      <w:r>
        <w:rPr>
          <w:rFonts w:hint="eastAsia"/>
          <w:lang w:val="en-US"/>
        </w:rPr>
        <w:t>现场使用情况，需对生产PLC系统CPU及卡件故障检查处理、程序灌装、 程序更新等</w:t>
      </w:r>
      <w:r>
        <w:rPr>
          <w:rFonts w:hint="eastAsia"/>
          <w:lang w:val="en-US" w:eastAsia="zh-CN"/>
        </w:rPr>
        <w:t>。</w:t>
      </w:r>
    </w:p>
    <w:p w14:paraId="741A77D2">
      <w:pPr>
        <w:pStyle w:val="6"/>
        <w:ind w:firstLine="482" w:firstLineChars="200"/>
        <w:rPr>
          <w:rFonts w:hint="eastAsia"/>
          <w:b/>
          <w:bCs/>
          <w:lang w:val="en-US"/>
        </w:rPr>
      </w:pPr>
      <w:r>
        <w:rPr>
          <w:rFonts w:hint="eastAsia"/>
          <w:b/>
          <w:bCs/>
          <w:lang w:val="en-US" w:eastAsia="zh-CN"/>
        </w:rPr>
        <w:t>1.内容清单</w:t>
      </w:r>
    </w:p>
    <w:tbl>
      <w:tblPr>
        <w:tblStyle w:val="16"/>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1120"/>
        <w:gridCol w:w="4581"/>
        <w:gridCol w:w="868"/>
        <w:gridCol w:w="855"/>
        <w:gridCol w:w="743"/>
        <w:gridCol w:w="730"/>
      </w:tblGrid>
      <w:tr w14:paraId="14DB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C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A34">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系统位置</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B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服务要求</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B6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服务期限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DF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D7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8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5D5E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9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5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渗滤液PLC系统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0D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渗滤液PLC系统CPU及卡件故障检查处理、程序灌装、可能需要更新的程序等产生的维护费用，（每次3个工作日，供应商仅提供人工技术服务，备件由采购人提供），原生产厂家为万德斯；CPU型号为：CPU,SIMATIC S7-1500；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6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3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1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A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2B0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D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B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化水PLC系统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BF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化水PLC系统CPU及卡件故障检查处理、程序灌装、可能需要更新的程序等产生的维护费用，（每次3个工作日，供应商仅提供人工技术服务，备件由采购人提供），原生产厂家为宜兴瑞丰；CPU型号为：CPU315-DP,SIMATIC  S7-300，315-2AG10-0AB0；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2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A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8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0AE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0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化学除臭PLC系统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51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化学除臭PLC系统CPU及卡件故障检查处理、程序灌装、可能需要更新的程序等产生的维护费用，（每次3个工作日，供应商仅提供人工技术服务，备件由采购人提供），原生产厂家为宜兴瑞丰；CPU型号为：SIMATIC S7-200,SMART,CPU SR60；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B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F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5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B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21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2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工业废水PLC系统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F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工业废水PLC系统CPU及卡件故障检查处理、程序灌装、可能需要更新的程序等产生的维护费用，（每次3个工作日，供应商仅提供人工技术服务，备件由采购人提供），原生产厂家为广东沃特；CPU型号为：CPU,SIMATIC  S7-300，CPU315-2  PN/DP,315-2EH14-0AB0；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2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F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5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41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5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0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7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一体化PLC系统CPU及卡件故障检查处理、程序灌装、可能需要更新的程序等产生的维护费用，（每次3个工作日，供应商仅提供人工技术服务，备件由采购人提供），原生产厂家为宜兴瑞丰；CPU型号为：CPU315-DP,SIMATIC  S7-300，315-2AG10-0AB0；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B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D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E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D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948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C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1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SNCR中PLC系统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1C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SNCR的PLC系统CPU及卡件故障检查处理、程序灌装、可能需要更新的程序等产生的维护费用，（每次3个工作日，供应商仅提供人工技术服务，备件由采购人提供），原生产厂家为上海众胜泰科技有限公司；CPU型号为：CPU,SIMATIC  S7-300，CPU315-2  PN/DP,315-2EH14-0AB0；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1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3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70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8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B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飞灰PLC系统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DA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飞灰的PLC系统CPU及卡件故障检查处理、程序灌装、可能需要更新的程序等产生的维护费用，（每次3个工作日，供应商仅提供人工技术服务，备件由采购人提供），原生产厂家为江苏博泰；CPU型号为：SIMATIC,S7-1200，CPU-1212C DC/DC/RLY,S7-1200；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2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0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3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3E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7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C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蒸汽吹灰PLC系统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72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蒸汽吹灰的PLC系统CPU及卡件故障检查处理、程序灌装、可能需要更新的程序等产生的维护费用，（每次3个工作日，供应商仅提供人工技术服务，备件由采购人提供），原生产厂家为上海克莱德贝尔格曼机械有限公司；CPU型号为：CPU,SIMATIC  S7-300，CPU315-2DP,315-2AH14-0AB0；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0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2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0F1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0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C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激波吹灰PLC系统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27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激波吹灰的PLC系统CPU及卡件故障检查处理、程序灌装、可能需要更新的程序等产生的维护费用，（每次3个工作日，供应商仅提供人工技术服务，备件由采购人提供），原生产厂家为北京高瞻；CPU型号为：SIMATIC S7-200,SMART,CPU，CPU  SR30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4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8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D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7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7A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2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A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浓缩液回喷PLC系统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17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激波吹灰的PLC系统CPU及卡件故障检查处理、程序灌装、可能需要更新的程序等产生的维护费用，（每次3个工作日，供应商仅提供人工技术服务，备件由采购人提供），原生产厂家为苏州市鹏月环保工程有限公司；CPU型号为：CPU,SIMATIC  S7-300，CPU315-2  PN/DP,315-2EH14-0AB0；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A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B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3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22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9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1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医废输送线PLC系统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3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医废输送线PLC系统CPU及卡件故障检查处理、程序灌装、可能需要更新的程序等产生的维护费用，（每次3个工作日，供应商仅提供人工技术服务，备件由采购人提供），原生产厂家为天和双力；CPU型号为：1512SP-1PN 、6ES7512-1DK01-0AB0；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0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0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CF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C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A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除臭PLC系统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0A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除臭PLC系统CPU及卡件故障检查处理、程序灌装、可能需要更新的程序等产生的维护费用，（每次3个工作日，供应商仅提供人工技术服务，备件由采购人提供），原生产厂家为广州紫科；CPU型号为：315-2PN/DP、 315-2EH14-0AB0；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9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2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D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8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0F8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4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C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水处理PLC系统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1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水处理PLC系统CPU及卡件故障检查处理、程序灌装、可能需要更新的程序等产生的维护费用，（每次3个工作日，供应商仅提供人工技术服务，备件由采购人提供），原生产厂家为上海洗霸；CPU型号为：315-2PN/DP、 315-2EH14-0AB0；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1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E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3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78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B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物化PLC系统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9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物化PLC系统CPU及卡件故障检查处理、程序灌装、可能需要更新的程序等产生的维护费用，（每次3个工作日，供应商仅提供人工技术服务，备件由采购人提供），原生产厂家为山东北国；CPU型号为：1510SP-1PN、6ES7510-1DJ01-0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F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3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83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0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7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蒸发PLC系统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蒸发PLC系统CPU及卡件故障检查处理、程序灌装、可能需要更新的程序等产生的维护费用，（每次3个工作日，供应商仅提供人工技术服务，备件由采购人提供），原生产厂家为捷晶能源；CPU型号为：1512C-1PN、6ES7512-1CK01-0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F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9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67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3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A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稳固化PLC系统</w:t>
            </w:r>
          </w:p>
        </w:tc>
        <w:tc>
          <w:tcPr>
            <w:tcW w:w="4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E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稳固化PLC系统CPU及卡件故障检查处理、程序灌装、可能需要更新的程序等产生的维护费用，（每次3个工作日，供应商仅提供人工技术服务，备件由采购人提供），原生产厂家为广州维港；CPU型号为：313C-2DP、313-6CG04-0AB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4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E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2D764A34">
      <w:pPr>
        <w:pStyle w:val="6"/>
        <w:numPr>
          <w:ilvl w:val="0"/>
          <w:numId w:val="0"/>
        </w:numPr>
        <w:ind w:firstLine="482" w:firstLineChars="200"/>
        <w:rPr>
          <w:rFonts w:hint="default"/>
          <w:b/>
          <w:bCs/>
          <w:color w:val="auto"/>
          <w:highlight w:val="none"/>
          <w:lang w:val="en-US" w:eastAsia="zh-CN"/>
        </w:rPr>
      </w:pPr>
      <w:r>
        <w:rPr>
          <w:rFonts w:hint="eastAsia"/>
          <w:b/>
          <w:bCs/>
          <w:color w:val="auto"/>
          <w:highlight w:val="none"/>
          <w:lang w:val="en-US" w:eastAsia="zh-CN"/>
        </w:rPr>
        <w:t>2.具体工作内容</w:t>
      </w:r>
    </w:p>
    <w:p w14:paraId="448174EB">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供应商配合采购人每年对各个PLC进行系统保养</w:t>
      </w:r>
      <w:r>
        <w:rPr>
          <w:rFonts w:hint="eastAsia" w:ascii="宋体"/>
          <w:color w:val="auto"/>
          <w:highlight w:val="none"/>
          <w:lang w:val="en-US" w:eastAsia="zh-CN"/>
        </w:rPr>
        <w:t>服务，</w:t>
      </w:r>
      <w:r>
        <w:rPr>
          <w:rFonts w:hint="eastAsia"/>
          <w:color w:val="auto"/>
          <w:highlight w:val="none"/>
          <w:lang w:val="en-US" w:eastAsia="zh-CN"/>
        </w:rPr>
        <w:t>服务人员到现场工作如下：</w:t>
      </w:r>
    </w:p>
    <w:p w14:paraId="4808BCF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（1）检查系统自动生成的各项报警记录文件，分析其中的异常报警，处理由此发现的软、硬件故障；</w:t>
      </w:r>
    </w:p>
    <w:p w14:paraId="677C61A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（2）检查系统状态图，处理其中提示的站报警和站故障；</w:t>
      </w:r>
    </w:p>
    <w:p w14:paraId="6797724D">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（3）检查所有网络设备的自动事件记录文件，对照网络实际连接和网络工程图纸，纠正发现的网络连接错误和网络配置错误；</w:t>
      </w:r>
    </w:p>
    <w:p w14:paraId="36943BBB">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（4）检查网络交换机每个端口的工作状态以及错误包累计情况；</w:t>
      </w:r>
    </w:p>
    <w:p w14:paraId="0A42975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（5）检查网络的物理连接状况，处理网络连接故障；</w:t>
      </w:r>
    </w:p>
    <w:p w14:paraId="03DE65DD">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（6）检查系统的接地方式，和接地状况；</w:t>
      </w:r>
    </w:p>
    <w:p w14:paraId="33E4AD8D">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（7）检查控制器供电模块的工作情况和直流输出工作电压；</w:t>
      </w:r>
    </w:p>
    <w:p w14:paraId="088A9A1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（8）比较冗余控制器之间，以及控制器与数据库之间内容的差异。对存在的差异，根据实际需要，对控制器做下装处理，直至清空、重装控制器内容；</w:t>
      </w:r>
    </w:p>
    <w:p w14:paraId="3D46E2E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（9）比较并消除服务器和工作站之间存在的软件安装差异；</w:t>
      </w:r>
    </w:p>
    <w:p w14:paraId="6E5414C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（10）检查所有控制器的内部逻辑执行情况，根据各控制区逻辑执行速度差异，发现并纠正Flash卡的读写故障；</w:t>
      </w:r>
    </w:p>
    <w:p w14:paraId="358F0E3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（11）检查机柜散热风扇的工作状况；</w:t>
      </w:r>
    </w:p>
    <w:p w14:paraId="6467EAF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（12）检查系统时间同步状态的设置和工作状况；</w:t>
      </w:r>
    </w:p>
    <w:p w14:paraId="140F7B2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（13）检查当前版本补丁包的安装、投用情况；</w:t>
      </w:r>
    </w:p>
    <w:p w14:paraId="2DEBC509">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（14）检查并纠正每个控制器的数据库错误；</w:t>
      </w:r>
    </w:p>
    <w:p w14:paraId="6CDB40F6">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（15）检查历史站配置，和各项子历史功能的运行情况；</w:t>
      </w:r>
    </w:p>
    <w:p w14:paraId="5EE9C69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（16）检查OPC服务器的配置，连接和运行情况；</w:t>
      </w:r>
    </w:p>
    <w:p w14:paraId="5075DF3D">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（17）检查其他第三方通讯的配置和运行情况；</w:t>
      </w:r>
    </w:p>
    <w:p w14:paraId="2ACF44CB">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（18）检查并测试打印机的配置和工作情况；</w:t>
      </w:r>
    </w:p>
    <w:p w14:paraId="6275B841">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（19）检查报表软件的工作情况；</w:t>
      </w:r>
    </w:p>
    <w:p w14:paraId="2DEB7CEF">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（20）检查系统网络负荷和各个工作站的负荷情况；</w:t>
      </w:r>
    </w:p>
    <w:p w14:paraId="7613D7E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（21）在维护服务开始前和完成后都要对系统做一次完整的备份，并且为了可靠起见，服务专家会把备份内容从服务器拷贝到其他设备。  备份内容包括以下内容：</w:t>
      </w:r>
    </w:p>
    <w:p w14:paraId="5B797B72">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 控制器参数上传；</w:t>
      </w:r>
    </w:p>
    <w:p w14:paraId="4CF4ECD9">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—全数据库备份；</w:t>
      </w:r>
    </w:p>
    <w:p w14:paraId="291565E4">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—分数据库备份；</w:t>
      </w:r>
    </w:p>
    <w:p w14:paraId="367A5A9B">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—系统的工程数据文件备份，包括过程图，逻辑图，系统配置等；</w:t>
      </w:r>
    </w:p>
    <w:p w14:paraId="695C97B7">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—系统的各项授权许可代码备份；</w:t>
      </w:r>
    </w:p>
    <w:p w14:paraId="65D79277">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—打印机配置情况备份；</w:t>
      </w:r>
    </w:p>
    <w:p w14:paraId="4A0D54CB">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—强制点的强制状况和强制值备份；</w:t>
      </w:r>
    </w:p>
    <w:p w14:paraId="3D2001FB">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（22）系统故障分析</w:t>
      </w:r>
    </w:p>
    <w:p w14:paraId="26BE9957">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对系统的运行状况及软件故障、通讯故障（含接口故障）、硬件故障做常规检查。对出现的问题做出诊断、处理和维护。</w:t>
      </w:r>
    </w:p>
    <w:p w14:paraId="342402D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（23）现场培训及答疑</w:t>
      </w:r>
    </w:p>
    <w:p w14:paraId="2E14D43E">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—每次服务完毕后向电厂工程师详细解释所做的工作；</w:t>
      </w:r>
    </w:p>
    <w:p w14:paraId="76CB7F5C">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—做好服务记录以便将来查阅；</w:t>
      </w:r>
    </w:p>
    <w:p w14:paraId="13640BB0">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—耐心解答电厂维护人员提出的问题；</w:t>
      </w:r>
    </w:p>
    <w:p w14:paraId="79057B1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（24）协助进行检修期间必要的系统组态修改</w:t>
      </w:r>
    </w:p>
    <w:p w14:paraId="05C265C6">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在检修期间协助电厂维护人员进行必要的系统画面和回路组态修改，必要时协助进行回路调试。</w:t>
      </w:r>
    </w:p>
    <w:p w14:paraId="1E7C9CC7">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（25）服务完毕，服务工程师将最终版本的软件备份，并向甲方递交现场报告和工作计时单。</w:t>
      </w:r>
    </w:p>
    <w:p w14:paraId="53EF60C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（26）技术咨询热线服务</w:t>
      </w:r>
    </w:p>
    <w:p w14:paraId="2E652B8E">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在合同生效后乙方须提供甲方一个用于技术咨询的热线电话号码。技术咨询的方式为甲乙双方通过电话、传真、E—mail等通讯手段进行交流。甲方可通过热线电话在合同有效期的时间内得到乙方的技术咨询热线服务。技术咨询热线服务的内容：</w:t>
      </w:r>
    </w:p>
    <w:p w14:paraId="0C5E23C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—硬件系统故障诊断的咨询。</w:t>
      </w:r>
    </w:p>
    <w:p w14:paraId="127F3971">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—有关技术资料、信息的索要。</w:t>
      </w:r>
    </w:p>
    <w:p w14:paraId="2269DED2">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—现场服务请求。</w:t>
      </w:r>
    </w:p>
    <w:p w14:paraId="5E244C86">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—其他技术服务及信息的咨询等等。</w:t>
      </w:r>
    </w:p>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12个月</w:t>
      </w:r>
      <w:r>
        <w:rPr>
          <w:rFonts w:hint="eastAsia"/>
          <w:color w:val="auto"/>
          <w:highlight w:val="none"/>
          <w:lang w:val="en-US"/>
        </w:rPr>
        <w:t>；</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0B1BC14F">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确保各PLC系统稳定高质量运行，符合采购人验收要求。</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2E0E8F7F">
      <w:pPr>
        <w:pStyle w:val="7"/>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color w:val="auto"/>
          <w:highlight w:val="none"/>
          <w:lang w:val="en-US" w:eastAsia="zh-CN"/>
        </w:rPr>
        <w:t>每次形成一个服务书面报告</w:t>
      </w:r>
      <w:r>
        <w:rPr>
          <w:rFonts w:hint="eastAsia" w:ascii="宋体" w:hAnsi="Arial" w:cs="Arial" w:eastAsiaTheme="minorEastAsia"/>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2C38CC12">
      <w:pPr>
        <w:pStyle w:val="6"/>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highlight w:val="none"/>
          <w:lang w:val="en-US" w:eastAsia="zh-CN" w:bidi="ar-SA"/>
        </w:rPr>
        <w:t>供应商</w:t>
      </w:r>
      <w:r>
        <w:rPr>
          <w:rFonts w:hint="eastAsia"/>
          <w:color w:val="auto"/>
          <w:highlight w:val="none"/>
          <w:lang w:val="en-US" w:eastAsia="zh-CN"/>
        </w:rPr>
        <w:t>应指派专人人员与采购人进行技术对接，技术人员应保持手机24小时开机。如需更换技术人员，需提前与采购人沟通；运维人员必须熟悉PLC系统及相关硬件，具有操作维护经验；</w:t>
      </w:r>
    </w:p>
    <w:p w14:paraId="60796970">
      <w:pPr>
        <w:spacing w:line="360" w:lineRule="auto"/>
        <w:ind w:firstLine="520" w:firstLineChars="217"/>
        <w:rPr>
          <w:rFonts w:hint="eastAsia" w:ascii="宋体" w:hAnsi="Times New Roman" w:cs="Times New Roman"/>
          <w:snapToGrid/>
          <w:color w:val="0000FF"/>
          <w:kern w:val="2"/>
          <w:sz w:val="24"/>
          <w:szCs w:val="20"/>
          <w:lang w:val="en-US" w:eastAsia="zh-CN" w:bidi="ar-SA"/>
        </w:rPr>
      </w:pPr>
      <w:r>
        <w:rPr>
          <w:rFonts w:hint="eastAsia" w:ascii="宋体" w:hAnsi="Times New Roman" w:cs="Times New Roman"/>
          <w:snapToGrid/>
          <w:color w:val="0000FF"/>
          <w:kern w:val="2"/>
          <w:sz w:val="24"/>
          <w:szCs w:val="20"/>
          <w:lang w:val="en-US" w:eastAsia="zh-CN" w:bidi="ar-SA"/>
        </w:rPr>
        <w:t>2.供应商项目工作地点位于杭州钱塘区临江街道红十五线与观十五线交叉口杭州临江环境能源有限公司，交通食宿费、人工费等需要服务供应商自理。</w:t>
      </w:r>
    </w:p>
    <w:p w14:paraId="2472DF70">
      <w:pPr>
        <w:spacing w:line="360" w:lineRule="auto"/>
        <w:ind w:firstLine="520" w:firstLineChars="217"/>
        <w:rPr>
          <w:rFonts w:hint="eastAsia" w:ascii="宋体" w:hAnsi="Times New Roman" w:cs="Times New Roman"/>
          <w:snapToGrid/>
          <w:color w:val="0000FF"/>
          <w:kern w:val="2"/>
          <w:sz w:val="24"/>
          <w:szCs w:val="20"/>
          <w:lang w:val="en-US" w:eastAsia="zh-CN" w:bidi="ar-SA"/>
        </w:rPr>
      </w:pPr>
      <w:r>
        <w:rPr>
          <w:rFonts w:hint="eastAsia" w:ascii="宋体" w:hAnsi="Times New Roman" w:cs="Times New Roman"/>
          <w:snapToGrid/>
          <w:color w:val="0000FF"/>
          <w:kern w:val="2"/>
          <w:sz w:val="24"/>
          <w:szCs w:val="20"/>
          <w:lang w:val="en-US" w:eastAsia="zh-CN" w:bidi="ar-SA"/>
        </w:rPr>
        <w:t>3.供应商对实施工作人员安全负有全部责任，投标人须为工作人员购买保险，如工伤保险、意外保险等，具体由供应商自行与员工确定，若因此而引起的法律或者经济纠纷，由供应商负全责，采购人不承担任何责任。</w:t>
      </w:r>
    </w:p>
    <w:p w14:paraId="4EC09EEA">
      <w:pPr>
        <w:spacing w:line="360" w:lineRule="auto"/>
        <w:ind w:firstLine="520" w:firstLineChars="217"/>
        <w:rPr>
          <w:rFonts w:hint="eastAsia" w:cs="仿宋" w:asciiTheme="minorEastAsia" w:hAnsiTheme="minorEastAsia"/>
          <w:color w:val="0000FF"/>
          <w:sz w:val="24"/>
          <w:lang w:val="en-US" w:eastAsia="zh-CN"/>
        </w:rPr>
      </w:pPr>
      <w:r>
        <w:rPr>
          <w:rFonts w:hint="eastAsia" w:ascii="宋体" w:hAnsi="Times New Roman" w:cs="Times New Roman"/>
          <w:snapToGrid/>
          <w:color w:val="0000FF"/>
          <w:kern w:val="2"/>
          <w:sz w:val="24"/>
          <w:szCs w:val="20"/>
          <w:lang w:val="en-US" w:eastAsia="zh-CN" w:bidi="ar-SA"/>
        </w:rPr>
        <w:t>4.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w:t>
      </w:r>
      <w:r>
        <w:rPr>
          <w:rFonts w:hint="eastAsia" w:cs="仿宋" w:asciiTheme="minorEastAsia" w:hAnsiTheme="minorEastAsia"/>
          <w:color w:val="0000FF"/>
          <w:sz w:val="24"/>
          <w:lang w:val="en-US" w:eastAsia="zh-CN"/>
        </w:rPr>
        <w:t>，供应商不得另作他用。因供应商原因导致上述资料、文档、数据或采购人商业秘密泄露的，采购人有权要求供应商采取措施消除影响并赔偿采购人损失。</w:t>
      </w:r>
    </w:p>
    <w:p w14:paraId="79430232">
      <w:pPr>
        <w:snapToGrid w:val="0"/>
        <w:spacing w:line="460" w:lineRule="exact"/>
        <w:ind w:firstLine="480" w:firstLineChars="200"/>
        <w:rPr>
          <w:rFonts w:hint="eastAsia" w:cs="仿宋" w:asciiTheme="minorEastAsia" w:hAnsiTheme="minorEastAsia"/>
          <w:color w:val="0000FF"/>
          <w:sz w:val="24"/>
          <w:lang w:val="en-US" w:eastAsia="zh-CN"/>
        </w:rPr>
      </w:pPr>
      <w:r>
        <w:rPr>
          <w:rFonts w:hint="eastAsia" w:cs="仿宋" w:asciiTheme="minorEastAsia" w:hAnsiTheme="minorEastAsia"/>
          <w:color w:val="0000FF"/>
          <w:sz w:val="24"/>
          <w:lang w:val="en-US" w:eastAsia="zh-CN"/>
        </w:rPr>
        <w:t>5.供应商应遵守采购人的现场管理制度要求，遵守国家、行业、地方法律法规，不得违章作业，接受采购人的安全教育，出现任何人员安全事故由供应商自行承担。</w:t>
      </w:r>
    </w:p>
    <w:p w14:paraId="248F8443">
      <w:pPr>
        <w:snapToGrid w:val="0"/>
        <w:spacing w:line="460" w:lineRule="exact"/>
        <w:ind w:firstLine="480" w:firstLineChars="200"/>
        <w:rPr>
          <w:rFonts w:hint="eastAsia"/>
          <w:lang w:val="en-US" w:eastAsia="zh-CN"/>
        </w:rPr>
      </w:pPr>
      <w:r>
        <w:rPr>
          <w:rFonts w:hint="eastAsia" w:cs="仿宋" w:asciiTheme="minorEastAsia" w:hAnsiTheme="minorEastAsia"/>
          <w:color w:val="0000FF"/>
          <w:sz w:val="24"/>
          <w:lang w:val="en-US" w:eastAsia="zh-CN"/>
        </w:rPr>
        <w:t>6.供应商在实施过程中应负责对采购人生产场地的保护，与实施区域无关进行必要隔离，若造成损坏应负责修复或赔偿。</w:t>
      </w:r>
    </w:p>
    <w:p w14:paraId="6EFEE8F4">
      <w:pPr>
        <w:pStyle w:val="6"/>
        <w:numPr>
          <w:ilvl w:val="0"/>
          <w:numId w:val="0"/>
        </w:numPr>
        <w:ind w:firstLine="480" w:firstLineChars="200"/>
        <w:rPr>
          <w:rFonts w:hint="eastAsia"/>
          <w:lang w:val="en-US"/>
        </w:rPr>
      </w:pPr>
      <w:r>
        <w:rPr>
          <w:rFonts w:hint="eastAsia"/>
          <w:color w:val="auto"/>
          <w:highlight w:val="none"/>
          <w:lang w:val="en-US" w:eastAsia="zh-CN"/>
        </w:rPr>
        <w:t>7.</w:t>
      </w:r>
      <w:r>
        <w:rPr>
          <w:rFonts w:hint="eastAsia"/>
          <w:lang w:val="en-US" w:eastAsia="zh-CN"/>
        </w:rPr>
        <w:t>采购人</w:t>
      </w:r>
      <w:r>
        <w:rPr>
          <w:rFonts w:hint="eastAsia"/>
          <w:color w:val="auto"/>
          <w:lang w:val="en-US" w:eastAsia="zh-CN"/>
        </w:rPr>
        <w:t>提前两周通知供应商到场服务日期，供应商按时到现场服务</w:t>
      </w:r>
      <w:r>
        <w:rPr>
          <w:rFonts w:hint="eastAsia"/>
          <w:lang w:val="en-US"/>
        </w:rPr>
        <w:t>。</w:t>
      </w:r>
    </w:p>
    <w:p w14:paraId="6CD7BAAD">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8.接到维护要求时，运维人员需在白天2小时、夜间8小时内（0：00-8：00为夜间）做出响应，及时处理系统现场异常情况，确保系统正常使用；如遇设备损坏等特殊情况，出具处理办法，双方协商解决。</w:t>
      </w:r>
    </w:p>
    <w:p w14:paraId="7D748141">
      <w:pPr>
        <w:pStyle w:val="6"/>
        <w:numPr>
          <w:ilvl w:val="0"/>
          <w:numId w:val="0"/>
        </w:numPr>
        <w:ind w:firstLine="480" w:firstLineChars="200"/>
        <w:rPr>
          <w:rFonts w:hint="eastAsia" w:ascii="宋体"/>
          <w:color w:val="auto"/>
          <w:lang w:val="en-US" w:eastAsia="zh-CN"/>
        </w:rPr>
      </w:pPr>
      <w:r>
        <w:rPr>
          <w:rFonts w:hint="eastAsia"/>
          <w:color w:val="auto"/>
          <w:highlight w:val="none"/>
          <w:lang w:val="en-US" w:eastAsia="zh-CN"/>
        </w:rPr>
        <w:t>9.每次维护形成一个服务报告。</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52"/>
      <w:bookmarkEnd w:id="19"/>
      <w:bookmarkStart w:id="20" w:name="_Toc184314470"/>
      <w:bookmarkEnd w:id="20"/>
      <w:bookmarkStart w:id="21" w:name="_Toc184312092"/>
      <w:bookmarkEnd w:id="21"/>
      <w:bookmarkStart w:id="22" w:name="_Toc184312127"/>
      <w:bookmarkEnd w:id="22"/>
      <w:bookmarkStart w:id="23" w:name="_Toc184308036"/>
      <w:bookmarkEnd w:id="23"/>
      <w:bookmarkStart w:id="24" w:name="_Toc184312109"/>
      <w:bookmarkEnd w:id="24"/>
      <w:bookmarkStart w:id="25" w:name="_Toc184313288"/>
      <w:bookmarkEnd w:id="25"/>
      <w:bookmarkStart w:id="26" w:name="_Toc184313276"/>
      <w:bookmarkEnd w:id="26"/>
      <w:bookmarkStart w:id="27" w:name="_Toc184312090"/>
      <w:bookmarkEnd w:id="27"/>
      <w:bookmarkStart w:id="28" w:name="_Toc184312115"/>
      <w:bookmarkEnd w:id="28"/>
      <w:bookmarkStart w:id="29" w:name="_Toc184308051"/>
      <w:bookmarkEnd w:id="29"/>
      <w:bookmarkStart w:id="30" w:name="_Toc184308037"/>
      <w:bookmarkEnd w:id="30"/>
      <w:bookmarkStart w:id="31" w:name="_Toc184312075"/>
      <w:bookmarkEnd w:id="31"/>
      <w:bookmarkStart w:id="32" w:name="_Toc184313263"/>
      <w:bookmarkEnd w:id="32"/>
      <w:bookmarkStart w:id="33" w:name="_Toc184310293"/>
      <w:bookmarkEnd w:id="33"/>
      <w:bookmarkStart w:id="34" w:name="_Toc184310330"/>
      <w:bookmarkEnd w:id="34"/>
      <w:bookmarkStart w:id="35" w:name="_Toc184313253"/>
      <w:bookmarkEnd w:id="35"/>
      <w:bookmarkStart w:id="36" w:name="_Toc184313279"/>
      <w:bookmarkEnd w:id="36"/>
      <w:bookmarkStart w:id="37" w:name="_Toc184314466"/>
      <w:bookmarkEnd w:id="37"/>
      <w:bookmarkStart w:id="38" w:name="_Toc184314411"/>
      <w:bookmarkEnd w:id="38"/>
      <w:bookmarkStart w:id="39" w:name="_Toc184312085"/>
      <w:bookmarkEnd w:id="39"/>
      <w:bookmarkStart w:id="40" w:name="_Toc184308066"/>
      <w:bookmarkEnd w:id="40"/>
      <w:bookmarkStart w:id="41" w:name="_Toc184314477"/>
      <w:bookmarkEnd w:id="41"/>
      <w:bookmarkStart w:id="42" w:name="_Toc184308105"/>
      <w:bookmarkEnd w:id="42"/>
      <w:bookmarkStart w:id="43" w:name="_Toc184308099"/>
      <w:bookmarkEnd w:id="43"/>
      <w:bookmarkStart w:id="44" w:name="_Toc184310300"/>
      <w:bookmarkEnd w:id="44"/>
      <w:bookmarkStart w:id="45" w:name="_Toc184313286"/>
      <w:bookmarkEnd w:id="45"/>
      <w:bookmarkStart w:id="46" w:name="_Toc184314478"/>
      <w:bookmarkEnd w:id="46"/>
      <w:bookmarkStart w:id="47" w:name="_Toc184312132"/>
      <w:bookmarkEnd w:id="47"/>
      <w:bookmarkStart w:id="48" w:name="_Toc184314445"/>
      <w:bookmarkEnd w:id="48"/>
      <w:bookmarkStart w:id="49" w:name="_Toc184312125"/>
      <w:bookmarkEnd w:id="49"/>
      <w:bookmarkStart w:id="50" w:name="_Toc184310312"/>
      <w:bookmarkEnd w:id="50"/>
      <w:bookmarkStart w:id="51" w:name="_Toc184314460"/>
      <w:bookmarkEnd w:id="51"/>
      <w:bookmarkStart w:id="52" w:name="_Toc184314449"/>
      <w:bookmarkEnd w:id="52"/>
      <w:bookmarkStart w:id="53" w:name="_Toc184310276"/>
      <w:bookmarkEnd w:id="53"/>
      <w:bookmarkStart w:id="54" w:name="_Toc184310274"/>
      <w:bookmarkEnd w:id="54"/>
      <w:bookmarkStart w:id="55" w:name="_Toc184314467"/>
      <w:bookmarkEnd w:id="55"/>
      <w:bookmarkStart w:id="56" w:name="_Toc184308038"/>
      <w:bookmarkEnd w:id="56"/>
      <w:bookmarkStart w:id="57" w:name="_Toc184313302"/>
      <w:bookmarkEnd w:id="57"/>
      <w:bookmarkStart w:id="58" w:name="_Toc184314441"/>
      <w:bookmarkEnd w:id="58"/>
      <w:bookmarkStart w:id="59" w:name="_Toc184308064"/>
      <w:bookmarkEnd w:id="59"/>
      <w:bookmarkStart w:id="60" w:name="_Toc184310336"/>
      <w:bookmarkEnd w:id="60"/>
      <w:bookmarkStart w:id="61" w:name="_Toc184312083"/>
      <w:bookmarkEnd w:id="61"/>
      <w:bookmarkStart w:id="62" w:name="_Toc184313284"/>
      <w:bookmarkEnd w:id="62"/>
      <w:bookmarkStart w:id="63" w:name="_Toc184310310"/>
      <w:bookmarkEnd w:id="63"/>
      <w:bookmarkStart w:id="64" w:name="_Toc184314442"/>
      <w:bookmarkEnd w:id="64"/>
      <w:bookmarkStart w:id="65" w:name="_Toc184308095"/>
      <w:bookmarkEnd w:id="65"/>
      <w:bookmarkStart w:id="66" w:name="_Toc184310322"/>
      <w:bookmarkEnd w:id="66"/>
      <w:bookmarkStart w:id="67" w:name="_Toc184310292"/>
      <w:bookmarkEnd w:id="67"/>
      <w:bookmarkStart w:id="68" w:name="_Toc184313305"/>
      <w:bookmarkEnd w:id="68"/>
      <w:bookmarkStart w:id="69" w:name="_Toc184313252"/>
      <w:bookmarkEnd w:id="69"/>
      <w:bookmarkStart w:id="70" w:name="_Toc184310297"/>
      <w:bookmarkEnd w:id="70"/>
      <w:bookmarkStart w:id="71" w:name="_Toc184308041"/>
      <w:bookmarkEnd w:id="71"/>
      <w:bookmarkStart w:id="72" w:name="_Toc184308044"/>
      <w:bookmarkEnd w:id="72"/>
      <w:bookmarkStart w:id="73" w:name="_Toc184308101"/>
      <w:bookmarkEnd w:id="73"/>
      <w:bookmarkStart w:id="74" w:name="_Toc184313309"/>
      <w:bookmarkEnd w:id="74"/>
      <w:bookmarkStart w:id="75" w:name="_Toc184312070"/>
      <w:bookmarkEnd w:id="75"/>
      <w:bookmarkStart w:id="76" w:name="_Toc184313257"/>
      <w:bookmarkEnd w:id="76"/>
      <w:bookmarkStart w:id="77" w:name="_Toc184314424"/>
      <w:bookmarkEnd w:id="77"/>
      <w:bookmarkStart w:id="78" w:name="_Toc184314481"/>
      <w:bookmarkEnd w:id="78"/>
      <w:bookmarkStart w:id="79" w:name="_Toc184312135"/>
      <w:bookmarkEnd w:id="79"/>
      <w:bookmarkStart w:id="80" w:name="_Toc184310307"/>
      <w:bookmarkEnd w:id="80"/>
      <w:bookmarkStart w:id="81" w:name="_Toc184313282"/>
      <w:bookmarkEnd w:id="81"/>
      <w:bookmarkStart w:id="82" w:name="_Toc184312139"/>
      <w:bookmarkEnd w:id="82"/>
      <w:bookmarkStart w:id="83" w:name="_Toc184308094"/>
      <w:bookmarkEnd w:id="83"/>
      <w:bookmarkStart w:id="84" w:name="_Toc184314464"/>
      <w:bookmarkEnd w:id="84"/>
      <w:bookmarkStart w:id="85" w:name="_Toc184312076"/>
      <w:bookmarkEnd w:id="85"/>
      <w:bookmarkStart w:id="86" w:name="_Toc184314451"/>
      <w:bookmarkEnd w:id="86"/>
      <w:bookmarkStart w:id="87" w:name="_Toc184310327"/>
      <w:bookmarkEnd w:id="87"/>
      <w:bookmarkStart w:id="88" w:name="_Toc184308092"/>
      <w:bookmarkEnd w:id="88"/>
      <w:bookmarkStart w:id="89" w:name="_Toc184314432"/>
      <w:bookmarkEnd w:id="89"/>
      <w:bookmarkStart w:id="90" w:name="_Toc184314444"/>
      <w:bookmarkEnd w:id="90"/>
      <w:bookmarkStart w:id="91" w:name="_Toc184310275"/>
      <w:bookmarkEnd w:id="91"/>
      <w:bookmarkStart w:id="92" w:name="_Toc184312111"/>
      <w:bookmarkEnd w:id="92"/>
      <w:bookmarkStart w:id="93" w:name="_Toc184310311"/>
      <w:bookmarkEnd w:id="93"/>
      <w:bookmarkStart w:id="94" w:name="_Toc184314427"/>
      <w:bookmarkEnd w:id="94"/>
      <w:bookmarkStart w:id="95" w:name="_Toc184313278"/>
      <w:bookmarkEnd w:id="95"/>
      <w:bookmarkStart w:id="96" w:name="_Toc184314453"/>
      <w:bookmarkEnd w:id="96"/>
      <w:bookmarkStart w:id="97" w:name="_Toc184314422"/>
      <w:bookmarkEnd w:id="97"/>
      <w:bookmarkStart w:id="98" w:name="_Toc184313270"/>
      <w:bookmarkEnd w:id="98"/>
      <w:bookmarkStart w:id="99" w:name="_Toc184308083"/>
      <w:bookmarkEnd w:id="99"/>
      <w:bookmarkStart w:id="100" w:name="_Toc184310301"/>
      <w:bookmarkEnd w:id="100"/>
      <w:bookmarkStart w:id="101" w:name="_Toc184314433"/>
      <w:bookmarkEnd w:id="101"/>
      <w:bookmarkStart w:id="102" w:name="_Toc184308076"/>
      <w:bookmarkEnd w:id="102"/>
      <w:bookmarkStart w:id="103" w:name="_Toc184310306"/>
      <w:bookmarkEnd w:id="103"/>
      <w:bookmarkStart w:id="104" w:name="_Toc184310341"/>
      <w:bookmarkEnd w:id="104"/>
      <w:bookmarkStart w:id="105" w:name="_Toc184308107"/>
      <w:bookmarkEnd w:id="105"/>
      <w:bookmarkStart w:id="106" w:name="_Toc184314474"/>
      <w:bookmarkEnd w:id="106"/>
      <w:bookmarkStart w:id="107" w:name="_Toc184312122"/>
      <w:bookmarkEnd w:id="107"/>
      <w:bookmarkStart w:id="108" w:name="_Toc184314455"/>
      <w:bookmarkEnd w:id="108"/>
      <w:bookmarkStart w:id="109" w:name="_Toc184310334"/>
      <w:bookmarkEnd w:id="109"/>
      <w:bookmarkStart w:id="110" w:name="_Toc184310289"/>
      <w:bookmarkEnd w:id="110"/>
      <w:bookmarkStart w:id="111" w:name="_Toc184310321"/>
      <w:bookmarkEnd w:id="111"/>
      <w:bookmarkStart w:id="112" w:name="_Toc184314473"/>
      <w:bookmarkEnd w:id="112"/>
      <w:bookmarkStart w:id="113" w:name="_Toc184313294"/>
      <w:bookmarkEnd w:id="113"/>
      <w:bookmarkStart w:id="114" w:name="_Toc184314446"/>
      <w:bookmarkEnd w:id="114"/>
      <w:bookmarkStart w:id="115" w:name="_Toc184312108"/>
      <w:bookmarkEnd w:id="115"/>
      <w:bookmarkStart w:id="116" w:name="_Toc184310316"/>
      <w:bookmarkEnd w:id="116"/>
      <w:bookmarkStart w:id="117" w:name="_Toc184308080"/>
      <w:bookmarkEnd w:id="117"/>
      <w:bookmarkStart w:id="118" w:name="_Toc184312133"/>
      <w:bookmarkEnd w:id="118"/>
      <w:bookmarkStart w:id="119" w:name="_Toc184310295"/>
      <w:bookmarkEnd w:id="119"/>
      <w:bookmarkStart w:id="120" w:name="_Toc184313247"/>
      <w:bookmarkEnd w:id="120"/>
      <w:bookmarkStart w:id="121" w:name="_Toc184308081"/>
      <w:bookmarkEnd w:id="121"/>
      <w:bookmarkStart w:id="122" w:name="_Toc184312093"/>
      <w:bookmarkEnd w:id="122"/>
      <w:bookmarkStart w:id="123" w:name="_Toc184312100"/>
      <w:bookmarkEnd w:id="123"/>
      <w:bookmarkStart w:id="124" w:name="_Toc184312119"/>
      <w:bookmarkEnd w:id="124"/>
      <w:bookmarkStart w:id="125" w:name="_Toc184308097"/>
      <w:bookmarkEnd w:id="125"/>
      <w:bookmarkStart w:id="126" w:name="_Toc184314469"/>
      <w:bookmarkEnd w:id="126"/>
      <w:bookmarkStart w:id="127" w:name="_Toc184313267"/>
      <w:bookmarkEnd w:id="127"/>
      <w:bookmarkStart w:id="128" w:name="_Toc184308093"/>
      <w:bookmarkEnd w:id="128"/>
      <w:bookmarkStart w:id="129" w:name="_Toc184312124"/>
      <w:bookmarkEnd w:id="129"/>
      <w:bookmarkStart w:id="130" w:name="_Toc184310313"/>
      <w:bookmarkEnd w:id="130"/>
      <w:bookmarkStart w:id="131" w:name="_Toc184308085"/>
      <w:bookmarkEnd w:id="131"/>
      <w:bookmarkStart w:id="132" w:name="_Toc184312120"/>
      <w:bookmarkEnd w:id="132"/>
      <w:bookmarkStart w:id="133" w:name="_Toc184314431"/>
      <w:bookmarkEnd w:id="133"/>
      <w:bookmarkStart w:id="134" w:name="_Toc184313297"/>
      <w:bookmarkEnd w:id="134"/>
      <w:bookmarkStart w:id="135" w:name="_Toc184310308"/>
      <w:bookmarkEnd w:id="135"/>
      <w:bookmarkStart w:id="136" w:name="_Toc184310333"/>
      <w:bookmarkEnd w:id="136"/>
      <w:bookmarkStart w:id="137" w:name="_Toc184314440"/>
      <w:bookmarkEnd w:id="137"/>
      <w:bookmarkStart w:id="138" w:name="_Toc184308072"/>
      <w:bookmarkEnd w:id="138"/>
      <w:bookmarkStart w:id="139" w:name="_Toc184312121"/>
      <w:bookmarkEnd w:id="139"/>
      <w:bookmarkStart w:id="140" w:name="_Toc184310299"/>
      <w:bookmarkEnd w:id="140"/>
      <w:bookmarkStart w:id="141" w:name="_Toc184308070"/>
      <w:bookmarkEnd w:id="141"/>
      <w:bookmarkStart w:id="142" w:name="_Toc184312072"/>
      <w:bookmarkEnd w:id="142"/>
      <w:bookmarkStart w:id="143" w:name="_Toc184314428"/>
      <w:bookmarkEnd w:id="143"/>
      <w:bookmarkStart w:id="144" w:name="_Toc184308078"/>
      <w:bookmarkEnd w:id="144"/>
      <w:bookmarkStart w:id="145" w:name="_Toc184312113"/>
      <w:bookmarkEnd w:id="145"/>
      <w:bookmarkStart w:id="146" w:name="_Toc184312089"/>
      <w:bookmarkEnd w:id="146"/>
      <w:bookmarkStart w:id="147" w:name="_Toc184308069"/>
      <w:bookmarkEnd w:id="147"/>
      <w:bookmarkStart w:id="148" w:name="_Toc184312095"/>
      <w:bookmarkEnd w:id="148"/>
      <w:bookmarkStart w:id="149" w:name="_Toc184308047"/>
      <w:bookmarkEnd w:id="149"/>
      <w:bookmarkStart w:id="150" w:name="_Toc184314443"/>
      <w:bookmarkEnd w:id="150"/>
      <w:bookmarkStart w:id="151" w:name="_Toc184314436"/>
      <w:bookmarkEnd w:id="151"/>
      <w:bookmarkStart w:id="152" w:name="_Toc184312130"/>
      <w:bookmarkEnd w:id="152"/>
      <w:bookmarkStart w:id="153" w:name="_Toc184312116"/>
      <w:bookmarkEnd w:id="153"/>
      <w:bookmarkStart w:id="154" w:name="_Toc184314476"/>
      <w:bookmarkEnd w:id="154"/>
      <w:bookmarkStart w:id="155" w:name="_Toc184310309"/>
      <w:bookmarkEnd w:id="155"/>
      <w:bookmarkStart w:id="156" w:name="_Toc184312131"/>
      <w:bookmarkEnd w:id="156"/>
      <w:bookmarkStart w:id="157" w:name="_Toc184314410"/>
      <w:bookmarkEnd w:id="157"/>
      <w:bookmarkStart w:id="158" w:name="_Toc184308071"/>
      <w:bookmarkEnd w:id="158"/>
      <w:bookmarkStart w:id="159" w:name="_Toc184310282"/>
      <w:bookmarkEnd w:id="159"/>
      <w:bookmarkStart w:id="160" w:name="_Toc184312079"/>
      <w:bookmarkEnd w:id="160"/>
      <w:bookmarkStart w:id="161" w:name="_Toc184308108"/>
      <w:bookmarkEnd w:id="161"/>
      <w:bookmarkStart w:id="162" w:name="_Toc184313240"/>
      <w:bookmarkEnd w:id="162"/>
      <w:bookmarkStart w:id="163" w:name="_Toc184313255"/>
      <w:bookmarkEnd w:id="163"/>
      <w:bookmarkStart w:id="164" w:name="_Toc184312082"/>
      <w:bookmarkEnd w:id="164"/>
      <w:bookmarkStart w:id="165" w:name="_Toc184308045"/>
      <w:bookmarkEnd w:id="165"/>
      <w:bookmarkStart w:id="166" w:name="_Toc184308091"/>
      <w:bookmarkEnd w:id="166"/>
      <w:bookmarkStart w:id="167" w:name="_Toc184313272"/>
      <w:bookmarkEnd w:id="167"/>
      <w:bookmarkStart w:id="168" w:name="_Toc184313259"/>
      <w:bookmarkEnd w:id="168"/>
      <w:bookmarkStart w:id="169" w:name="_Toc184308039"/>
      <w:bookmarkEnd w:id="169"/>
      <w:bookmarkStart w:id="170" w:name="_Toc184312105"/>
      <w:bookmarkEnd w:id="170"/>
      <w:bookmarkStart w:id="171" w:name="_Toc184308061"/>
      <w:bookmarkEnd w:id="171"/>
      <w:bookmarkStart w:id="172" w:name="_Toc184314439"/>
      <w:bookmarkEnd w:id="172"/>
      <w:bookmarkStart w:id="173" w:name="_Toc184310335"/>
      <w:bookmarkEnd w:id="173"/>
      <w:bookmarkStart w:id="174" w:name="_Toc184308048"/>
      <w:bookmarkEnd w:id="174"/>
      <w:bookmarkStart w:id="175" w:name="_Toc184313245"/>
      <w:bookmarkEnd w:id="175"/>
      <w:bookmarkStart w:id="176" w:name="_Toc184310296"/>
      <w:bookmarkEnd w:id="176"/>
      <w:bookmarkStart w:id="177" w:name="_Toc184314472"/>
      <w:bookmarkEnd w:id="177"/>
      <w:bookmarkStart w:id="178" w:name="_Toc184314480"/>
      <w:bookmarkEnd w:id="178"/>
      <w:bookmarkStart w:id="179" w:name="_Toc184312099"/>
      <w:bookmarkEnd w:id="179"/>
      <w:bookmarkStart w:id="180" w:name="_Toc184308079"/>
      <w:bookmarkEnd w:id="180"/>
      <w:bookmarkStart w:id="181" w:name="_Toc184313262"/>
      <w:bookmarkEnd w:id="181"/>
      <w:bookmarkStart w:id="182" w:name="_Toc184314482"/>
      <w:bookmarkEnd w:id="182"/>
      <w:bookmarkStart w:id="183" w:name="_Toc184310331"/>
      <w:bookmarkEnd w:id="183"/>
      <w:bookmarkStart w:id="184" w:name="_Toc184308077"/>
      <w:bookmarkEnd w:id="184"/>
      <w:bookmarkStart w:id="185" w:name="_Toc184312071"/>
      <w:bookmarkEnd w:id="185"/>
      <w:bookmarkStart w:id="186" w:name="_Toc184313273"/>
      <w:bookmarkEnd w:id="186"/>
      <w:bookmarkStart w:id="187" w:name="_Toc184312084"/>
      <w:bookmarkEnd w:id="187"/>
      <w:bookmarkStart w:id="188" w:name="_Toc184313303"/>
      <w:bookmarkEnd w:id="188"/>
      <w:bookmarkStart w:id="189" w:name="_Toc184313300"/>
      <w:bookmarkEnd w:id="189"/>
      <w:bookmarkStart w:id="190" w:name="_Toc184310324"/>
      <w:bookmarkEnd w:id="190"/>
      <w:bookmarkStart w:id="191" w:name="_Toc184308059"/>
      <w:bookmarkEnd w:id="191"/>
      <w:bookmarkStart w:id="192" w:name="_Toc184313268"/>
      <w:bookmarkEnd w:id="192"/>
      <w:bookmarkStart w:id="193" w:name="_Toc184312134"/>
      <w:bookmarkEnd w:id="193"/>
      <w:bookmarkStart w:id="194" w:name="_Toc184308049"/>
      <w:bookmarkEnd w:id="194"/>
      <w:bookmarkStart w:id="195" w:name="_Toc184308042"/>
      <w:bookmarkEnd w:id="195"/>
      <w:bookmarkStart w:id="196" w:name="_Toc184308106"/>
      <w:bookmarkEnd w:id="196"/>
      <w:bookmarkStart w:id="197" w:name="_Toc184312088"/>
      <w:bookmarkEnd w:id="197"/>
      <w:bookmarkStart w:id="198" w:name="_Toc184313246"/>
      <w:bookmarkEnd w:id="198"/>
      <w:bookmarkStart w:id="199" w:name="_Toc184314426"/>
      <w:bookmarkEnd w:id="199"/>
      <w:bookmarkStart w:id="200" w:name="_Toc184314461"/>
      <w:bookmarkEnd w:id="200"/>
      <w:bookmarkStart w:id="201" w:name="_Toc184312117"/>
      <w:bookmarkEnd w:id="201"/>
      <w:bookmarkStart w:id="202" w:name="_Toc184308103"/>
      <w:bookmarkEnd w:id="202"/>
      <w:bookmarkStart w:id="203" w:name="_Toc184310288"/>
      <w:bookmarkEnd w:id="203"/>
      <w:bookmarkStart w:id="204" w:name="_Toc184310286"/>
      <w:bookmarkEnd w:id="204"/>
      <w:bookmarkStart w:id="205" w:name="_Toc184313254"/>
      <w:bookmarkEnd w:id="205"/>
      <w:bookmarkStart w:id="206" w:name="_Toc184310343"/>
      <w:bookmarkEnd w:id="206"/>
      <w:bookmarkStart w:id="207" w:name="_Toc184310320"/>
      <w:bookmarkEnd w:id="207"/>
      <w:bookmarkStart w:id="208" w:name="_Toc184310285"/>
      <w:bookmarkEnd w:id="208"/>
      <w:bookmarkStart w:id="209" w:name="_Toc184314447"/>
      <w:bookmarkEnd w:id="209"/>
      <w:bookmarkStart w:id="210" w:name="_Toc184313244"/>
      <w:bookmarkEnd w:id="210"/>
      <w:bookmarkStart w:id="211" w:name="_Toc184314459"/>
      <w:bookmarkEnd w:id="211"/>
      <w:bookmarkStart w:id="212" w:name="_Toc184308096"/>
      <w:bookmarkEnd w:id="212"/>
      <w:bookmarkStart w:id="213" w:name="_Toc184308057"/>
      <w:bookmarkEnd w:id="213"/>
      <w:bookmarkStart w:id="214" w:name="_Toc184314468"/>
      <w:bookmarkEnd w:id="214"/>
      <w:bookmarkStart w:id="215" w:name="_Toc184310284"/>
      <w:bookmarkEnd w:id="215"/>
      <w:bookmarkStart w:id="216" w:name="_Toc184308067"/>
      <w:bookmarkEnd w:id="216"/>
      <w:bookmarkStart w:id="217" w:name="_Toc184308102"/>
      <w:bookmarkEnd w:id="217"/>
      <w:bookmarkStart w:id="218" w:name="_Toc184313258"/>
      <w:bookmarkEnd w:id="218"/>
      <w:bookmarkStart w:id="219" w:name="_Toc184314415"/>
      <w:bookmarkEnd w:id="219"/>
      <w:bookmarkStart w:id="220" w:name="_Toc184314419"/>
      <w:bookmarkEnd w:id="220"/>
      <w:bookmarkStart w:id="221" w:name="_Toc184313260"/>
      <w:bookmarkEnd w:id="221"/>
      <w:bookmarkStart w:id="222" w:name="_Toc184308040"/>
      <w:bookmarkEnd w:id="222"/>
      <w:bookmarkStart w:id="223" w:name="_Toc184310323"/>
      <w:bookmarkEnd w:id="223"/>
      <w:bookmarkStart w:id="224" w:name="_Toc184310342"/>
      <w:bookmarkEnd w:id="224"/>
      <w:bookmarkStart w:id="225" w:name="_Toc184313238"/>
      <w:bookmarkEnd w:id="225"/>
      <w:bookmarkStart w:id="226" w:name="_Toc184313249"/>
      <w:bookmarkEnd w:id="226"/>
      <w:bookmarkStart w:id="227" w:name="_Toc184310339"/>
      <w:bookmarkEnd w:id="227"/>
      <w:bookmarkStart w:id="228" w:name="_Toc184313304"/>
      <w:bookmarkEnd w:id="228"/>
      <w:bookmarkStart w:id="229" w:name="_Toc184313289"/>
      <w:bookmarkEnd w:id="229"/>
      <w:bookmarkStart w:id="230" w:name="_Toc184312094"/>
      <w:bookmarkEnd w:id="230"/>
      <w:bookmarkStart w:id="231" w:name="_Toc184308056"/>
      <w:bookmarkEnd w:id="231"/>
      <w:bookmarkStart w:id="232" w:name="_Toc184313241"/>
      <w:bookmarkEnd w:id="232"/>
      <w:bookmarkStart w:id="233" w:name="_Toc184312126"/>
      <w:bookmarkEnd w:id="233"/>
      <w:bookmarkStart w:id="234" w:name="_Toc184308100"/>
      <w:bookmarkEnd w:id="234"/>
      <w:bookmarkStart w:id="235" w:name="_Toc184313296"/>
      <w:bookmarkEnd w:id="235"/>
      <w:bookmarkStart w:id="236" w:name="_Toc184313291"/>
      <w:bookmarkEnd w:id="236"/>
      <w:bookmarkStart w:id="237" w:name="_Toc184308088"/>
      <w:bookmarkEnd w:id="237"/>
      <w:bookmarkStart w:id="238" w:name="_Toc184313271"/>
      <w:bookmarkEnd w:id="238"/>
      <w:bookmarkStart w:id="239" w:name="_Toc184312136"/>
      <w:bookmarkEnd w:id="239"/>
      <w:bookmarkStart w:id="240" w:name="_Toc184310337"/>
      <w:bookmarkEnd w:id="240"/>
      <w:bookmarkStart w:id="241" w:name="_Toc184314421"/>
      <w:bookmarkEnd w:id="241"/>
      <w:bookmarkStart w:id="242" w:name="_Toc184308063"/>
      <w:bookmarkEnd w:id="242"/>
      <w:bookmarkStart w:id="243" w:name="_Toc184313293"/>
      <w:bookmarkEnd w:id="243"/>
      <w:bookmarkStart w:id="244" w:name="_Toc184310291"/>
      <w:bookmarkEnd w:id="244"/>
      <w:bookmarkStart w:id="245" w:name="_Toc184313248"/>
      <w:bookmarkEnd w:id="245"/>
      <w:bookmarkStart w:id="246" w:name="_Toc184313243"/>
      <w:bookmarkEnd w:id="246"/>
      <w:bookmarkStart w:id="247" w:name="_Toc184314418"/>
      <w:bookmarkEnd w:id="247"/>
      <w:bookmarkStart w:id="248" w:name="_Toc184314448"/>
      <w:bookmarkEnd w:id="248"/>
      <w:bookmarkStart w:id="249" w:name="_Toc184314413"/>
      <w:bookmarkEnd w:id="249"/>
      <w:bookmarkStart w:id="250" w:name="_Toc184313283"/>
      <w:bookmarkEnd w:id="250"/>
      <w:bookmarkStart w:id="251" w:name="_Toc184313285"/>
      <w:bookmarkEnd w:id="251"/>
      <w:bookmarkStart w:id="252" w:name="_Toc184314423"/>
      <w:bookmarkEnd w:id="252"/>
      <w:bookmarkStart w:id="253" w:name="_Toc184312069"/>
      <w:bookmarkEnd w:id="253"/>
      <w:bookmarkStart w:id="254" w:name="_Toc184312104"/>
      <w:bookmarkEnd w:id="254"/>
      <w:bookmarkStart w:id="255" w:name="_Toc184310326"/>
      <w:bookmarkEnd w:id="255"/>
      <w:bookmarkStart w:id="256" w:name="_Toc184312114"/>
      <w:bookmarkEnd w:id="256"/>
      <w:bookmarkStart w:id="257" w:name="_Toc184310317"/>
      <w:bookmarkEnd w:id="257"/>
      <w:bookmarkStart w:id="258" w:name="_Toc184310298"/>
      <w:bookmarkEnd w:id="258"/>
      <w:bookmarkStart w:id="259" w:name="_Toc184314429"/>
      <w:bookmarkEnd w:id="259"/>
      <w:bookmarkStart w:id="260" w:name="_Toc184308090"/>
      <w:bookmarkEnd w:id="260"/>
      <w:bookmarkStart w:id="261" w:name="_Toc184313277"/>
      <w:bookmarkEnd w:id="261"/>
      <w:bookmarkStart w:id="262" w:name="_Toc184308082"/>
      <w:bookmarkEnd w:id="262"/>
      <w:bookmarkStart w:id="263" w:name="_Toc184313250"/>
      <w:bookmarkEnd w:id="263"/>
      <w:bookmarkStart w:id="264" w:name="_Toc184313281"/>
      <w:bookmarkEnd w:id="264"/>
      <w:bookmarkStart w:id="265" w:name="_Toc184314417"/>
      <w:bookmarkEnd w:id="265"/>
      <w:bookmarkStart w:id="266" w:name="_Toc184314425"/>
      <w:bookmarkEnd w:id="266"/>
      <w:bookmarkStart w:id="267" w:name="_Toc184312080"/>
      <w:bookmarkEnd w:id="267"/>
      <w:bookmarkStart w:id="268" w:name="_Toc184312086"/>
      <w:bookmarkEnd w:id="268"/>
      <w:bookmarkStart w:id="269" w:name="_Toc184314434"/>
      <w:bookmarkEnd w:id="269"/>
      <w:bookmarkStart w:id="270" w:name="_Toc184308053"/>
      <w:bookmarkEnd w:id="270"/>
      <w:bookmarkStart w:id="271" w:name="_Toc184313287"/>
      <w:bookmarkEnd w:id="271"/>
      <w:bookmarkStart w:id="272" w:name="_Toc184313264"/>
      <w:bookmarkEnd w:id="272"/>
      <w:bookmarkStart w:id="273" w:name="_Toc184308068"/>
      <w:bookmarkEnd w:id="273"/>
      <w:bookmarkStart w:id="274" w:name="_Toc184313274"/>
      <w:bookmarkEnd w:id="274"/>
      <w:bookmarkStart w:id="275" w:name="_Toc184310294"/>
      <w:bookmarkEnd w:id="275"/>
      <w:bookmarkStart w:id="276" w:name="_Toc184312106"/>
      <w:bookmarkEnd w:id="276"/>
      <w:bookmarkStart w:id="277" w:name="_Toc184310340"/>
      <w:bookmarkEnd w:id="277"/>
      <w:bookmarkStart w:id="278" w:name="_Toc184314430"/>
      <w:bookmarkEnd w:id="278"/>
      <w:bookmarkStart w:id="279" w:name="_Toc184314463"/>
      <w:bookmarkEnd w:id="279"/>
      <w:bookmarkStart w:id="280" w:name="_Toc184312098"/>
      <w:bookmarkEnd w:id="280"/>
      <w:bookmarkStart w:id="281" w:name="_Toc184310344"/>
      <w:bookmarkEnd w:id="281"/>
      <w:bookmarkStart w:id="282" w:name="_Toc184310283"/>
      <w:bookmarkEnd w:id="282"/>
      <w:bookmarkStart w:id="283" w:name="_Toc184314414"/>
      <w:bookmarkEnd w:id="283"/>
      <w:bookmarkStart w:id="284" w:name="_Toc184314456"/>
      <w:bookmarkEnd w:id="284"/>
      <w:bookmarkStart w:id="285" w:name="_Toc184308065"/>
      <w:bookmarkEnd w:id="285"/>
      <w:bookmarkStart w:id="286" w:name="_Toc184313265"/>
      <w:bookmarkEnd w:id="286"/>
      <w:bookmarkStart w:id="287" w:name="_Toc184310290"/>
      <w:bookmarkEnd w:id="287"/>
      <w:bookmarkStart w:id="288" w:name="_Toc184312096"/>
      <w:bookmarkEnd w:id="288"/>
      <w:bookmarkStart w:id="289" w:name="_Toc184308043"/>
      <w:bookmarkEnd w:id="289"/>
      <w:bookmarkStart w:id="290" w:name="_Toc184313242"/>
      <w:bookmarkEnd w:id="290"/>
      <w:bookmarkStart w:id="291" w:name="_Toc184313290"/>
      <w:bookmarkEnd w:id="291"/>
      <w:bookmarkStart w:id="292" w:name="_Toc184310303"/>
      <w:bookmarkEnd w:id="292"/>
      <w:bookmarkStart w:id="293" w:name="_Toc184313275"/>
      <w:bookmarkEnd w:id="293"/>
      <w:bookmarkStart w:id="294" w:name="_Toc184310277"/>
      <w:bookmarkEnd w:id="294"/>
      <w:bookmarkStart w:id="295" w:name="_Toc184312118"/>
      <w:bookmarkEnd w:id="295"/>
      <w:bookmarkStart w:id="296" w:name="_Toc184312087"/>
      <w:bookmarkEnd w:id="296"/>
      <w:bookmarkStart w:id="297" w:name="_Toc184308046"/>
      <w:bookmarkEnd w:id="297"/>
      <w:bookmarkStart w:id="298" w:name="_Toc184312112"/>
      <w:bookmarkEnd w:id="298"/>
      <w:bookmarkStart w:id="299" w:name="_Toc184310319"/>
      <w:bookmarkEnd w:id="299"/>
      <w:bookmarkStart w:id="300" w:name="_Toc184313307"/>
      <w:bookmarkEnd w:id="300"/>
      <w:bookmarkStart w:id="301" w:name="_Toc184314479"/>
      <w:bookmarkEnd w:id="301"/>
      <w:bookmarkStart w:id="302" w:name="_Toc184314458"/>
      <w:bookmarkEnd w:id="302"/>
      <w:bookmarkStart w:id="303" w:name="_Toc184308086"/>
      <w:bookmarkEnd w:id="303"/>
      <w:bookmarkStart w:id="304" w:name="_Toc184313295"/>
      <w:bookmarkEnd w:id="304"/>
      <w:bookmarkStart w:id="305" w:name="_Toc184314462"/>
      <w:bookmarkEnd w:id="305"/>
      <w:bookmarkStart w:id="306" w:name="_Toc184310304"/>
      <w:bookmarkEnd w:id="306"/>
      <w:bookmarkStart w:id="307" w:name="_Toc184308073"/>
      <w:bookmarkEnd w:id="307"/>
      <w:bookmarkStart w:id="308" w:name="_Toc184310280"/>
      <w:bookmarkEnd w:id="308"/>
      <w:bookmarkStart w:id="309" w:name="_Toc184310287"/>
      <w:bookmarkEnd w:id="309"/>
      <w:bookmarkStart w:id="310" w:name="_Toc184312078"/>
      <w:bookmarkEnd w:id="310"/>
      <w:bookmarkStart w:id="311" w:name="_Toc184314450"/>
      <w:bookmarkEnd w:id="311"/>
      <w:bookmarkStart w:id="312" w:name="_Toc184312077"/>
      <w:bookmarkEnd w:id="312"/>
      <w:bookmarkStart w:id="313" w:name="_Toc184314412"/>
      <w:bookmarkEnd w:id="313"/>
      <w:bookmarkStart w:id="314" w:name="_Toc184313292"/>
      <w:bookmarkEnd w:id="314"/>
      <w:bookmarkStart w:id="315" w:name="_Toc184313261"/>
      <w:bookmarkEnd w:id="315"/>
      <w:bookmarkStart w:id="316" w:name="_Toc184308055"/>
      <w:bookmarkEnd w:id="316"/>
      <w:bookmarkStart w:id="317" w:name="_Toc184312068"/>
      <w:bookmarkEnd w:id="317"/>
      <w:bookmarkStart w:id="318" w:name="_Toc184313239"/>
      <w:bookmarkEnd w:id="318"/>
      <w:bookmarkStart w:id="319" w:name="_Toc184312102"/>
      <w:bookmarkEnd w:id="319"/>
      <w:bookmarkStart w:id="320" w:name="_Toc184308050"/>
      <w:bookmarkEnd w:id="320"/>
      <w:bookmarkStart w:id="321" w:name="_Toc184312107"/>
      <w:bookmarkEnd w:id="321"/>
      <w:bookmarkStart w:id="322" w:name="_Toc184313298"/>
      <w:bookmarkEnd w:id="322"/>
      <w:bookmarkStart w:id="323" w:name="_Toc184308104"/>
      <w:bookmarkEnd w:id="323"/>
      <w:bookmarkStart w:id="324" w:name="_Toc184308089"/>
      <w:bookmarkEnd w:id="324"/>
      <w:bookmarkStart w:id="325" w:name="_Toc184312074"/>
      <w:bookmarkEnd w:id="325"/>
      <w:bookmarkStart w:id="326" w:name="_Toc184312110"/>
      <w:bookmarkEnd w:id="326"/>
      <w:bookmarkStart w:id="327" w:name="_Toc184313269"/>
      <w:bookmarkEnd w:id="327"/>
      <w:bookmarkStart w:id="328" w:name="_Toc184310314"/>
      <w:bookmarkEnd w:id="328"/>
      <w:bookmarkStart w:id="329" w:name="_Toc184310281"/>
      <w:bookmarkEnd w:id="329"/>
      <w:bookmarkStart w:id="330" w:name="_Toc184314457"/>
      <w:bookmarkEnd w:id="330"/>
      <w:bookmarkStart w:id="331" w:name="_Toc184313306"/>
      <w:bookmarkEnd w:id="331"/>
      <w:bookmarkStart w:id="332" w:name="_Toc184308054"/>
      <w:bookmarkEnd w:id="332"/>
      <w:bookmarkStart w:id="333" w:name="_Toc184310278"/>
      <w:bookmarkEnd w:id="333"/>
      <w:bookmarkStart w:id="334" w:name="_Toc184313280"/>
      <w:bookmarkEnd w:id="334"/>
      <w:bookmarkStart w:id="335" w:name="_Toc184312073"/>
      <w:bookmarkEnd w:id="335"/>
      <w:bookmarkStart w:id="336" w:name="_Toc184310338"/>
      <w:bookmarkEnd w:id="336"/>
      <w:bookmarkStart w:id="337" w:name="_Toc184313310"/>
      <w:bookmarkEnd w:id="337"/>
      <w:bookmarkStart w:id="338" w:name="_Toc184314437"/>
      <w:bookmarkEnd w:id="338"/>
      <w:bookmarkStart w:id="339" w:name="_Toc184310272"/>
      <w:bookmarkEnd w:id="339"/>
      <w:bookmarkStart w:id="340" w:name="_Toc184313301"/>
      <w:bookmarkEnd w:id="340"/>
      <w:bookmarkStart w:id="341" w:name="_Toc184314465"/>
      <w:bookmarkEnd w:id="341"/>
      <w:bookmarkStart w:id="342" w:name="_Toc184313266"/>
      <w:bookmarkEnd w:id="342"/>
      <w:bookmarkStart w:id="343" w:name="_Toc184313308"/>
      <w:bookmarkEnd w:id="343"/>
      <w:bookmarkStart w:id="344" w:name="_Toc184314416"/>
      <w:bookmarkEnd w:id="344"/>
      <w:bookmarkStart w:id="345" w:name="_Toc184312101"/>
      <w:bookmarkEnd w:id="345"/>
      <w:bookmarkStart w:id="346" w:name="_Toc184312103"/>
      <w:bookmarkEnd w:id="346"/>
      <w:bookmarkStart w:id="347" w:name="_Toc184312081"/>
      <w:bookmarkEnd w:id="347"/>
      <w:bookmarkStart w:id="348" w:name="_Toc184314454"/>
      <w:bookmarkEnd w:id="348"/>
      <w:bookmarkStart w:id="349" w:name="_Toc184310325"/>
      <w:bookmarkEnd w:id="349"/>
      <w:bookmarkStart w:id="350" w:name="_Toc184310329"/>
      <w:bookmarkEnd w:id="350"/>
      <w:bookmarkStart w:id="351" w:name="_Toc184308075"/>
      <w:bookmarkEnd w:id="351"/>
      <w:bookmarkStart w:id="352" w:name="_Toc184314438"/>
      <w:bookmarkEnd w:id="352"/>
      <w:bookmarkStart w:id="353" w:name="_Toc184313256"/>
      <w:bookmarkEnd w:id="353"/>
      <w:bookmarkStart w:id="354" w:name="_Toc184312067"/>
      <w:bookmarkEnd w:id="354"/>
      <w:bookmarkStart w:id="355" w:name="_Toc184313299"/>
      <w:bookmarkEnd w:id="355"/>
      <w:bookmarkStart w:id="356" w:name="_Toc184308052"/>
      <w:bookmarkEnd w:id="356"/>
      <w:bookmarkStart w:id="357" w:name="_Toc184308084"/>
      <w:bookmarkEnd w:id="357"/>
      <w:bookmarkStart w:id="358" w:name="_Toc184308060"/>
      <w:bookmarkEnd w:id="358"/>
      <w:bookmarkStart w:id="359" w:name="_Toc184312097"/>
      <w:bookmarkEnd w:id="359"/>
      <w:bookmarkStart w:id="360" w:name="_Toc184312137"/>
      <w:bookmarkEnd w:id="360"/>
      <w:bookmarkStart w:id="361" w:name="_Toc184310318"/>
      <w:bookmarkEnd w:id="361"/>
      <w:bookmarkStart w:id="362" w:name="_Toc184308062"/>
      <w:bookmarkEnd w:id="362"/>
      <w:bookmarkStart w:id="363" w:name="_Toc184308098"/>
      <w:bookmarkEnd w:id="363"/>
      <w:bookmarkStart w:id="364" w:name="_Toc184312129"/>
      <w:bookmarkEnd w:id="364"/>
      <w:bookmarkStart w:id="365" w:name="_Toc184308087"/>
      <w:bookmarkEnd w:id="365"/>
      <w:bookmarkStart w:id="366" w:name="_Toc184314420"/>
      <w:bookmarkEnd w:id="366"/>
      <w:bookmarkStart w:id="367" w:name="_Toc184308074"/>
      <w:bookmarkEnd w:id="367"/>
      <w:bookmarkStart w:id="368" w:name="_Toc184314475"/>
      <w:bookmarkEnd w:id="368"/>
      <w:bookmarkStart w:id="369" w:name="_Toc184308058"/>
      <w:bookmarkEnd w:id="369"/>
      <w:bookmarkStart w:id="370" w:name="_Toc184310332"/>
      <w:bookmarkEnd w:id="370"/>
      <w:bookmarkStart w:id="371" w:name="_Toc184314471"/>
      <w:bookmarkEnd w:id="371"/>
      <w:bookmarkStart w:id="372" w:name="_Toc184312128"/>
      <w:bookmarkEnd w:id="372"/>
      <w:bookmarkStart w:id="373" w:name="_Toc184312091"/>
      <w:bookmarkEnd w:id="373"/>
      <w:bookmarkStart w:id="374" w:name="_Toc184310328"/>
      <w:bookmarkEnd w:id="374"/>
      <w:bookmarkStart w:id="375" w:name="_Toc184312138"/>
      <w:bookmarkEnd w:id="375"/>
      <w:bookmarkStart w:id="376" w:name="_Toc184310302"/>
      <w:bookmarkEnd w:id="376"/>
      <w:bookmarkStart w:id="377" w:name="_Toc184310315"/>
      <w:bookmarkEnd w:id="377"/>
      <w:bookmarkStart w:id="378" w:name="_Toc184310279"/>
      <w:bookmarkEnd w:id="378"/>
      <w:bookmarkStart w:id="379" w:name="_Toc184310305"/>
      <w:bookmarkEnd w:id="379"/>
      <w:bookmarkStart w:id="380" w:name="_Toc184312123"/>
      <w:bookmarkEnd w:id="380"/>
      <w:bookmarkStart w:id="381" w:name="_Toc184310273"/>
      <w:bookmarkEnd w:id="381"/>
      <w:bookmarkStart w:id="382" w:name="_Toc184313251"/>
      <w:bookmarkEnd w:id="382"/>
      <w:bookmarkStart w:id="383" w:name="_Toc18431443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2025年-2026年PLC系统委外维修调试服务采购项目</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240" w:firstLineChars="100"/>
      </w:pPr>
      <w:r>
        <w:rPr>
          <w:rFonts w:hint="eastAsia"/>
        </w:rPr>
        <w:t>第一章 合同书  …………………………………………………………（页码）</w:t>
      </w:r>
    </w:p>
    <w:p w14:paraId="61B39EFC">
      <w:pPr>
        <w:pStyle w:val="9"/>
        <w:spacing w:line="360" w:lineRule="auto"/>
        <w:ind w:firstLine="240" w:firstLineChars="100"/>
        <w:rPr>
          <w:rFonts w:hint="eastAsia"/>
        </w:rPr>
      </w:pPr>
      <w:r>
        <w:rPr>
          <w:rFonts w:hint="eastAsia"/>
        </w:rPr>
        <w:t>第二章 合同一般条款……………………………………………………（页码）</w:t>
      </w:r>
    </w:p>
    <w:p w14:paraId="2C41F9F7">
      <w:pPr>
        <w:pStyle w:val="9"/>
        <w:spacing w:line="360" w:lineRule="auto"/>
        <w:ind w:firstLine="240" w:firstLineChars="100"/>
        <w:rPr>
          <w:rFonts w:hint="eastAsia"/>
        </w:rPr>
      </w:pPr>
      <w:r>
        <w:rPr>
          <w:rFonts w:hint="eastAsia"/>
        </w:rPr>
        <w:t>第三章 安全协议…………………………………………………………（页码）</w:t>
      </w:r>
    </w:p>
    <w:p w14:paraId="6B79F37E">
      <w:pPr>
        <w:pStyle w:val="9"/>
        <w:spacing w:line="360" w:lineRule="auto"/>
        <w:ind w:firstLine="240" w:firstLineChars="1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2025年-2026年PLC系统委外维修调试服务采购项目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28828BD9">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w:t>
      </w:r>
      <w:r>
        <w:rPr>
          <w:rFonts w:hint="eastAsia" w:ascii="宋体" w:hAnsi="宋体"/>
          <w:sz w:val="24"/>
          <w:highlight w:val="none"/>
          <w:lang w:val="en-US" w:eastAsia="zh-CN"/>
        </w:rPr>
        <w:t>运行中心</w:t>
      </w:r>
      <w:r>
        <w:rPr>
          <w:rFonts w:hint="eastAsia" w:ascii="宋体" w:hAnsi="宋体"/>
          <w:sz w:val="24"/>
          <w:highlight w:val="non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元，能源</w:t>
      </w:r>
      <w:r>
        <w:rPr>
          <w:rFonts w:hint="eastAsia" w:ascii="宋体" w:hAnsi="宋体"/>
          <w:sz w:val="24"/>
          <w:highlight w:val="none"/>
          <w:lang w:val="en-US" w:eastAsia="zh-CN"/>
        </w:rPr>
        <w:t>运行中心</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14:paraId="2D207E4C">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（1）</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14:paraId="63F9ADDE">
      <w:pPr>
        <w:spacing w:line="360" w:lineRule="auto"/>
        <w:ind w:firstLine="480" w:firstLineChars="200"/>
        <w:rPr>
          <w:rFonts w:hint="eastAsia" w:ascii="宋体" w:hAnsi="宋体" w:cs="宋体"/>
          <w:sz w:val="24"/>
          <w:highlight w:val="none"/>
        </w:rPr>
      </w:pPr>
      <w:r>
        <w:rPr>
          <w:rFonts w:hint="eastAsia" w:ascii="宋体" w:hAnsi="宋体"/>
          <w:bCs/>
          <w:sz w:val="24"/>
          <w:highlight w:val="none"/>
        </w:rPr>
        <w:t>（</w:t>
      </w:r>
      <w:r>
        <w:rPr>
          <w:rFonts w:hint="eastAsia" w:ascii="宋体" w:hAnsi="宋体"/>
          <w:bCs/>
          <w:sz w:val="24"/>
          <w:highlight w:val="none"/>
          <w:lang w:val="en-US" w:eastAsia="zh-CN"/>
        </w:rPr>
        <w:t>1</w:t>
      </w:r>
      <w:r>
        <w:rPr>
          <w:rFonts w:hint="eastAsia" w:ascii="宋体" w:hAnsi="宋体"/>
          <w:bCs/>
          <w:sz w:val="24"/>
          <w:highlight w:val="none"/>
        </w:rPr>
        <w:t>）单价合同，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6"/>
        <w:tblW w:w="93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1120"/>
        <w:gridCol w:w="4234"/>
        <w:gridCol w:w="848"/>
        <w:gridCol w:w="688"/>
        <w:gridCol w:w="640"/>
        <w:gridCol w:w="640"/>
        <w:gridCol w:w="640"/>
      </w:tblGrid>
      <w:tr w14:paraId="2DD9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8B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C91C">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系统位置</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B2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服务要求</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9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4F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1C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06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AA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w:t>
            </w:r>
          </w:p>
        </w:tc>
      </w:tr>
      <w:tr w14:paraId="6D6C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0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渗滤液PLC系统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2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对本项目渗滤液PLC系统CPU及卡件故障检查处理、程序灌装、可能需要更新的程序等产生的维护费用，（每次3个工作日，乙方仅提供人工技术服务，备件由甲方提供），原生产厂家为万德斯；CPU型号为：CPU,SIMATIC S7-1500；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0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8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5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6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D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40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E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化水PLC系统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B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化水PLC系统CPU及卡件故障检查处理、程序灌装、可能需要更新的程序等产生的维护费用，（每次3个工作日，乙方仅提供人工技术服务，备件由甲方提供），原生产厂家为宜兴瑞丰；CPU型号为：CPU315-DP,SIMATIC  S7-300，315-2AG10-0AB0；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6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8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4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BD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EA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D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0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化学除臭PLC系统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对本项目化学除臭PLC系统CPU及卡件故障检查处理、程序灌装、可能需要更新的程序等产生的维护费用，（每次3个工作日，乙方仅提供人工技术服务，备件由甲方提供），原生产厂家为宜兴瑞丰；CPU型号为：SIMATIC S7-200,SMART,CPU SR60；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8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1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C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1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8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4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工业废水PLC系统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工业废水PLC系统CPU及卡件故障检查处理、程序灌装、可能需要更新的程序等产生的维护费用，（每次3个工作日，乙方仅提供人工技术服务，备件由甲方提供），原生产厂家为广东沃特；CPU型号为：CPU,SIMATIC  S7-300，CPU315-2  PN/DP,315-2EH14-0AB0；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39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9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40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4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5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FF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一体化PLC系统CPU及卡件故障检查处理、程序灌装、可能需要更新的程序等产生的维护费用，（每次3个工作日，乙方仅提供人工技术服务，备件由甲方提供），原生产厂家为宜兴瑞丰；CPU型号为：CPU315-DP,SIMATIC  S7-300，315-2AG10-0AB0；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D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3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FD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A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SNCR中PLC系统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BB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SNCR的PLC系统CPU及卡件故障检查处理、程序灌装、可能需要更新的程序等产生的维护费用，（每次3个工作日，乙方仅提供人工技术服务，备件由甲方提供），原生产厂家为上海众胜泰科技有限公司；CPU型号为：CPU,SIMATIC  S7-300，CPU315-2  PN/DP,315-2EH14-0AB0；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1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2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3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5E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B6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9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5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飞灰PLC系统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2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飞灰的PLC系统CPU及卡件故障检查处理、程序灌装、可能需要更新的程序等产生的维护费用，（每次3个工作日，乙方仅提供人工技术服务，备件由甲方提供），原生产厂家为江苏博泰；CPU型号为：SIMATIC,S7-1200，CPU-1212C DC/DC/RLY,S7-1200；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6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64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07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BA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B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7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蒸汽吹灰PLC系统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D8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蒸汽吹灰的PLC系统CPU及卡件故障检查处理、程序灌装、可能需要更新的程序等产生的维护费用，（每次3个工作日，乙方仅提供人工技术服务，备件由甲方提供），原生产厂家为上海克莱德贝尔格曼机械有限公司；CPU型号为：CPU,SIMATIC  S7-300，CPU315-2DP,315-2AH14-0AB0；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0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D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1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1D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DE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10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C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激波吹灰PLC系统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29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激波吹灰的PLC系统CPU及卡件故障检查处理、程序灌装、可能需要更新的程序等产生的维护费用，（每次3个工作日，乙方仅提供人工技术服务，备件由甲方提供），原生产厂家为北京高瞻；CPU型号为：SIMATIC S7-200,SMART,CPU，CPU  SR30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6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6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05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D4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4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4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浓缩液回喷PLC系统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37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激波吹灰的PLC系统CPU及卡件故障检查处理、程序灌装、可能需要更新的程序等产生的维护费用，（每次3个工作日，乙方仅提供人工技术服务，备件由甲方提供），原生产厂家为苏州市鹏月环保工程有限公司；CPU型号为：CPU,SIMATIC  S7-300，CPU315-2  PN/DP,315-2EH14-0AB0；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7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8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C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94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22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3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医废输送线PLC系统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B5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医废输送线PLC系统CPU及卡件故障检查处理、程序灌装、可能需要更新的程序等产生的维护费用，（每次3个工作日，乙方仅提供人工技术服务，备件由甲方提供），原生产厂家为天和双力；CPU型号为：1512SP-1PN 、6ES7512-1DK01-0AB0；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3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F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5E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C7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61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4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D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除臭PLC系统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C4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对本项目除臭PLC系统CPU及卡件故障检查处理、程序灌装、可能需要更新的程序等产生的维护费用，（每次3个工作日，乙方仅提供人工技术服务，备件由甲方提供），原生产厂家为广州紫科；CPU型号为：315-2PN/DP、 315-2EH14-0AB0；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6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F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B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3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0C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8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1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水处理PLC系统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5B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水处理PLC系统CPU及卡件故障检查处理、程序灌装、可能需要更新的程序等产生的维护费用，（每次3个工作日，乙方仅提供人工技术服务，备件由甲方提供），原生产厂家为上海洗霸；CPU型号为：315-2PN/DP、 315-2EH14-0AB0；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6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E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7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7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18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70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F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9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物化PLC系统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8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物化PLC系统CPU及卡件故障检查处理、程序灌装、可能需要更新的程序等产生的维护费用，（每次3个工作日，乙方仅提供人工技术服务，备件由甲方提供），原生产厂家为山东北国；CPU型号为：1510SP-1PN、6ES7510-1DJ01-0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C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5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F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AF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7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3E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D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蒸发PLC系统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83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蒸发PLC系统CPU及卡件故障检查处理、程序灌装、可能需要更新的程序等产生的维护费用，（每次3个工作日，乙方仅提供人工技术服务，备件由甲方提供），原生产厂家为捷晶能源；CPU型号为：1512C-1PN、6ES7512-1CK01-0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6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C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8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F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8F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7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F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稳固化PLC系统</w:t>
            </w:r>
          </w:p>
        </w:tc>
        <w:tc>
          <w:tcPr>
            <w:tcW w:w="4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40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稳固化PLC系统CPU及卡件故障检查处理、程序灌装、可能需要更新的程序等产生的维护费用，（每次3个工作日，乙方仅提供人工技术服务，备件由甲方提供），原生产厂家为广州维港；CPU型号为：313C-2DP、313-6CG04-0AB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A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2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B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D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0BA08D1A">
      <w:pPr>
        <w:spacing w:line="360" w:lineRule="auto"/>
        <w:ind w:firstLine="480" w:firstLineChars="200"/>
        <w:rPr>
          <w:rFonts w:hint="eastAsia" w:ascii="宋体" w:hAnsi="宋体" w:eastAsia="宋体" w:cs="宋体"/>
          <w:color w:val="auto"/>
          <w:sz w:val="24"/>
          <w:lang w:eastAsia="zh-CN"/>
        </w:rPr>
      </w:pPr>
    </w:p>
    <w:p w14:paraId="6D198F5A">
      <w:pPr>
        <w:pStyle w:val="6"/>
        <w:numPr>
          <w:ilvl w:val="0"/>
          <w:numId w:val="0"/>
        </w:numPr>
        <w:ind w:firstLine="482" w:firstLineChars="200"/>
        <w:rPr>
          <w:rFonts w:hint="default"/>
          <w:b/>
          <w:bCs/>
          <w:color w:val="auto"/>
          <w:highlight w:val="none"/>
          <w:lang w:val="en-US" w:eastAsia="zh-CN"/>
        </w:rPr>
      </w:pPr>
      <w:bookmarkStart w:id="384" w:name="_Toc10340"/>
      <w:bookmarkStart w:id="385" w:name="_Toc1814"/>
      <w:bookmarkStart w:id="386" w:name="_Toc22618"/>
      <w:bookmarkStart w:id="387" w:name="_Toc11108"/>
      <w:bookmarkStart w:id="388" w:name="_Toc3625"/>
      <w:bookmarkStart w:id="389" w:name="_Toc8772"/>
      <w:bookmarkStart w:id="390" w:name="_Toc31421"/>
      <w:bookmarkStart w:id="391" w:name="_Toc4760"/>
      <w:r>
        <w:rPr>
          <w:rFonts w:hint="eastAsia"/>
          <w:b/>
          <w:bCs/>
          <w:color w:val="auto"/>
          <w:highlight w:val="none"/>
          <w:lang w:val="en-US" w:eastAsia="zh-CN"/>
        </w:rPr>
        <w:t>2.具体工作内容</w:t>
      </w:r>
    </w:p>
    <w:p w14:paraId="4B0280C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乙方配合甲方每年对各个PLC进行系统保养</w:t>
      </w:r>
      <w:r>
        <w:rPr>
          <w:rFonts w:hint="eastAsia" w:ascii="宋体"/>
          <w:color w:val="auto"/>
          <w:highlight w:val="none"/>
          <w:lang w:val="en-US" w:eastAsia="zh-CN"/>
        </w:rPr>
        <w:t>服务，</w:t>
      </w:r>
      <w:r>
        <w:rPr>
          <w:rFonts w:hint="eastAsia"/>
          <w:color w:val="auto"/>
          <w:highlight w:val="none"/>
          <w:lang w:val="en-US" w:eastAsia="zh-CN"/>
        </w:rPr>
        <w:t>服务人员到现场工作如下：</w:t>
      </w:r>
    </w:p>
    <w:p w14:paraId="72C29C1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（1）检查系统自动生成的各项报警记录文件，分析其中的异常报警，处理由此发现的软、硬件故障；</w:t>
      </w:r>
    </w:p>
    <w:p w14:paraId="4C455D5F">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（2）检查系统状态图，处理其中提示的站报警和站故障；</w:t>
      </w:r>
    </w:p>
    <w:p w14:paraId="7DE3DD63">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（3）检查所有网络设备的自动事件记录文件，对照网络实际连接和网络工程图纸，纠正发现的网络连接错误和网络配置错误；</w:t>
      </w:r>
    </w:p>
    <w:p w14:paraId="3920A858">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（4）检查网络交换机每个端口的工作状态以及错误包累计情况；</w:t>
      </w:r>
    </w:p>
    <w:p w14:paraId="00D7C026">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（5）检查网络的物理连接状况，处理网络连接故障；</w:t>
      </w:r>
    </w:p>
    <w:p w14:paraId="07C71709">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（6）检查系统的接地方式，和接地状况；</w:t>
      </w:r>
    </w:p>
    <w:p w14:paraId="6A6BB7F9">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（7）检查控制器供电模块的工作情况和直流输出工作电压；</w:t>
      </w:r>
    </w:p>
    <w:p w14:paraId="68329DE1">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（8）比较冗余控制器之间，以及控制器与数据库之间内容的差异。对存在的差异，根据实际需要，对控制器做下装处理，直至清空、重装控制器内容；</w:t>
      </w:r>
    </w:p>
    <w:p w14:paraId="50F93D19">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（9）比较并消除服务器和工作站之间存在的软件安装差异；</w:t>
      </w:r>
    </w:p>
    <w:p w14:paraId="2CB7C338">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（10）检查所有控制器的内部逻辑执行情况，根据各控制区逻辑执行速度差异，发现并纠正Flash卡的读写故障；</w:t>
      </w:r>
    </w:p>
    <w:p w14:paraId="7F325AA7">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（11）检查机柜散热风扇的工作状况；</w:t>
      </w:r>
    </w:p>
    <w:p w14:paraId="7662832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（12）检查系统时间同步状态的设置和工作状况；</w:t>
      </w:r>
    </w:p>
    <w:p w14:paraId="0208D12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（13）检查当前版本补丁包的安装、投用情况；</w:t>
      </w:r>
    </w:p>
    <w:p w14:paraId="57C7AFFB">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（14）检查并纠正每个控制器的数据库错误；</w:t>
      </w:r>
    </w:p>
    <w:p w14:paraId="3EB80F73">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（15）检查历史站配置，和各项子历史功能的运行情况；</w:t>
      </w:r>
    </w:p>
    <w:p w14:paraId="29D28163">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（16）检查OPC服务器的配置，连接和运行情况；</w:t>
      </w:r>
    </w:p>
    <w:p w14:paraId="618F2F28">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（17）检查其他第三方通讯的配置和运行情况；</w:t>
      </w:r>
    </w:p>
    <w:p w14:paraId="5F33CCBF">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（18）检查并测试打印机的配置和工作情况；</w:t>
      </w:r>
    </w:p>
    <w:p w14:paraId="04FC4354">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（19）检查报表软件的工作情况；</w:t>
      </w:r>
    </w:p>
    <w:p w14:paraId="71C626D7">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（20）检查系统网络负荷和各个工作站的负荷情况；</w:t>
      </w:r>
    </w:p>
    <w:p w14:paraId="71813D77">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（21）在维护服务开始前和完成后都要对系统做一次完整的备份，并且为了可靠起见，服务专家会把备份内容从服务器拷贝到其他设备。  备份内容包括以下内容：</w:t>
      </w:r>
    </w:p>
    <w:p w14:paraId="0FD15232">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 控制器参数上传；</w:t>
      </w:r>
    </w:p>
    <w:p w14:paraId="5A710E87">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—全数据库备份；</w:t>
      </w:r>
    </w:p>
    <w:p w14:paraId="5E579543">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—分数据库备份；</w:t>
      </w:r>
    </w:p>
    <w:p w14:paraId="3E070646">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—系统的工程数据文件备份，包括过程图，逻辑图，系统配置等；</w:t>
      </w:r>
    </w:p>
    <w:p w14:paraId="43AAD7F8">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—系统的各项授权许可代码备份；</w:t>
      </w:r>
    </w:p>
    <w:p w14:paraId="40FB2D0E">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—打印机配置情况备份；</w:t>
      </w:r>
    </w:p>
    <w:p w14:paraId="0B82C6EC">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—强制点的强制状况和强制值备份；</w:t>
      </w:r>
    </w:p>
    <w:p w14:paraId="4345F3BA">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（22）系统故障分析</w:t>
      </w:r>
    </w:p>
    <w:p w14:paraId="0970FC77">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对系统的运行状况及软件故障、通讯故障（含接口故障）、硬件故障做常规检查。对出现的问题做出诊断、处理和维护。</w:t>
      </w:r>
    </w:p>
    <w:p w14:paraId="02DAAEAC">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（23）现场培训及答疑</w:t>
      </w:r>
    </w:p>
    <w:p w14:paraId="7B8C66BD">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—每次服务完毕后向电厂工程师详细解释所做的工作；</w:t>
      </w:r>
    </w:p>
    <w:p w14:paraId="5C939901">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—做好服务记录以便将来查阅；</w:t>
      </w:r>
    </w:p>
    <w:p w14:paraId="69A0C8C6">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—耐心解答电厂维护人员提出的问题；</w:t>
      </w:r>
    </w:p>
    <w:p w14:paraId="1C40A4D1">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（24）协助进行检修期间必要的系统组态修改</w:t>
      </w:r>
    </w:p>
    <w:p w14:paraId="31ED88CA">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在检修期间协助电厂维护人员进行必要的系统画面和回路组态修改，必要时协助进行回路调试。</w:t>
      </w:r>
    </w:p>
    <w:p w14:paraId="66E9264B">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（25）服务完毕，服务工程师将最终版本的软件备份，并向甲方递交现场报告和工作计时单。</w:t>
      </w:r>
    </w:p>
    <w:p w14:paraId="33DDA67B">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（26）技术咨询热线服务</w:t>
      </w:r>
    </w:p>
    <w:p w14:paraId="423A363E">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在合同生效后乙方须提供甲方一个用于技术咨询的热线电话号码。技术咨询的方式为甲乙双方通过电话、传真、E—mail等通讯手段进行交流。甲方可通过热线电话在合同有效期的时间内得到乙方的技术咨询热线服务。技术咨询热线服务的内容：</w:t>
      </w:r>
    </w:p>
    <w:p w14:paraId="1E496AC2">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—硬件系统故障诊断的咨询。</w:t>
      </w:r>
    </w:p>
    <w:p w14:paraId="7CC7A4D2">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—有关技术资料、信息的索要。</w:t>
      </w:r>
    </w:p>
    <w:p w14:paraId="2D1313F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—现场服务请求。</w:t>
      </w:r>
    </w:p>
    <w:p w14:paraId="51D00B69">
      <w:pPr>
        <w:pStyle w:val="6"/>
        <w:numPr>
          <w:ilvl w:val="0"/>
          <w:numId w:val="0"/>
        </w:numPr>
        <w:ind w:firstLine="480" w:firstLineChars="200"/>
        <w:rPr>
          <w:rFonts w:hint="eastAsia" w:ascii="宋体" w:hAnsi="宋体"/>
          <w:b/>
          <w:sz w:val="24"/>
        </w:rPr>
      </w:pPr>
      <w:r>
        <w:rPr>
          <w:rFonts w:hint="eastAsia"/>
          <w:color w:val="auto"/>
          <w:highlight w:val="none"/>
          <w:lang w:val="en-US" w:eastAsia="zh-CN"/>
        </w:rPr>
        <w:t>—其他技术服务及信息的咨询等等。</w:t>
      </w:r>
    </w:p>
    <w:p w14:paraId="5E963DDB">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03C006B7">
      <w:pPr>
        <w:spacing w:line="360" w:lineRule="auto"/>
        <w:ind w:firstLine="480" w:firstLineChars="200"/>
        <w:rPr>
          <w:rFonts w:ascii="宋体" w:hAnsi="宋体" w:cs="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自合同签订后</w:t>
      </w:r>
      <w:r>
        <w:rPr>
          <w:rFonts w:hint="eastAsia" w:ascii="宋体" w:hAnsi="宋体"/>
          <w:b/>
          <w:bCs/>
          <w:sz w:val="24"/>
          <w:highlight w:val="none"/>
          <w:u w:val="single"/>
        </w:rPr>
        <w:t>12个月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p>
    <w:p w14:paraId="409BDD92">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7D0B42BF">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实现甲方的需求； 每次服务形成一个服务报告</w:t>
      </w:r>
      <w:r>
        <w:rPr>
          <w:rFonts w:hint="eastAsia" w:ascii="宋体" w:hAnsi="宋体"/>
          <w:b/>
          <w:i/>
          <w:sz w:val="24"/>
          <w:highlight w:val="none"/>
          <w:u w:val="single"/>
        </w:rPr>
        <w:t xml:space="preserve">  </w:t>
      </w:r>
      <w:r>
        <w:rPr>
          <w:rFonts w:hint="eastAsia" w:ascii="宋体" w:hAnsi="宋体"/>
          <w:sz w:val="24"/>
          <w:highlight w:val="none"/>
        </w:rPr>
        <w:t>。</w:t>
      </w:r>
    </w:p>
    <w:p w14:paraId="194E63DF">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1D83A524">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E7F62A0">
      <w:pPr>
        <w:pStyle w:val="6"/>
        <w:numPr>
          <w:ilvl w:val="0"/>
          <w:numId w:val="0"/>
        </w:numPr>
        <w:ind w:firstLine="480" w:firstLineChars="200"/>
        <w:rPr>
          <w:rFonts w:hint="eastAsia"/>
          <w:color w:val="auto"/>
          <w:highlight w:val="none"/>
          <w:lang w:val="en-US" w:eastAsia="zh-CN"/>
        </w:rPr>
      </w:pPr>
      <w:bookmarkStart w:id="392" w:name="_Toc14563"/>
      <w:bookmarkStart w:id="393" w:name="_Toc6596"/>
      <w:bookmarkStart w:id="394" w:name="_Toc1125"/>
      <w:r>
        <w:rPr>
          <w:rFonts w:hint="eastAsia"/>
          <w:color w:val="auto"/>
          <w:highlight w:val="none"/>
          <w:lang w:val="en-US" w:eastAsia="zh-CN"/>
        </w:rPr>
        <w:t>1.</w:t>
      </w:r>
      <w:r>
        <w:rPr>
          <w:rFonts w:hint="eastAsia" w:cs="Arial"/>
          <w:snapToGrid w:val="0"/>
          <w:color w:val="auto"/>
          <w:kern w:val="2"/>
          <w:sz w:val="24"/>
          <w:szCs w:val="21"/>
          <w:highlight w:val="none"/>
          <w:lang w:val="en-US" w:eastAsia="zh-CN" w:bidi="ar-SA"/>
        </w:rPr>
        <w:t>乙方</w:t>
      </w:r>
      <w:r>
        <w:rPr>
          <w:rFonts w:hint="eastAsia"/>
          <w:color w:val="auto"/>
          <w:highlight w:val="none"/>
          <w:lang w:val="en-US" w:eastAsia="zh-CN"/>
        </w:rPr>
        <w:t>应明确专人与甲方进行技术对接，技术人员应保持手机24小时开机。如需更换技术人员，需提前与甲方沟通；乙方运维人员必须熟悉PLC及相关硬件，具有操作维护经验；</w:t>
      </w:r>
    </w:p>
    <w:p w14:paraId="3A65C08E">
      <w:pPr>
        <w:pStyle w:val="6"/>
        <w:numPr>
          <w:ilvl w:val="0"/>
          <w:numId w:val="0"/>
        </w:numPr>
        <w:ind w:firstLine="480" w:firstLineChars="200"/>
        <w:rPr>
          <w:rFonts w:hint="eastAsia"/>
          <w:lang w:val="en-US"/>
        </w:rPr>
      </w:pPr>
      <w:r>
        <w:rPr>
          <w:rFonts w:hint="eastAsia"/>
          <w:color w:val="auto"/>
          <w:highlight w:val="none"/>
          <w:lang w:val="en-US" w:eastAsia="zh-CN"/>
        </w:rPr>
        <w:t>2.</w:t>
      </w:r>
      <w:r>
        <w:rPr>
          <w:rFonts w:hint="eastAsia"/>
          <w:lang w:val="en-US" w:eastAsia="zh-CN"/>
        </w:rPr>
        <w:t>甲方</w:t>
      </w:r>
      <w:r>
        <w:rPr>
          <w:rFonts w:hint="eastAsia"/>
          <w:color w:val="auto"/>
          <w:lang w:val="en-US" w:eastAsia="zh-CN"/>
        </w:rPr>
        <w:t>提前两周通知乙方到场服务日期，乙方按时到现场服务</w:t>
      </w:r>
      <w:r>
        <w:rPr>
          <w:rFonts w:hint="eastAsia"/>
          <w:lang w:val="en-US"/>
        </w:rPr>
        <w:t>。</w:t>
      </w:r>
    </w:p>
    <w:p w14:paraId="55F7DBBC">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接到甲方维护要求时，乙方运维人员需在白天2小时、夜间8小时内（0：00-8：00为夜间）做出响应，及时处理系统现场异常情况，确保系统正常使用；如遇设备损坏等特殊情况，出具处理办法，双方协商解决。</w:t>
      </w:r>
    </w:p>
    <w:p w14:paraId="22157680">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4.每次维护形成一个服务报告。</w:t>
      </w:r>
    </w:p>
    <w:p w14:paraId="3FD72775">
      <w:pPr>
        <w:spacing w:line="360" w:lineRule="auto"/>
        <w:ind w:firstLine="480" w:firstLineChars="200"/>
        <w:outlineLvl w:val="0"/>
        <w:rPr>
          <w:rFonts w:hint="eastAsia" w:ascii="宋体" w:hAnsi="宋体" w:cs="宋体"/>
          <w:b w:val="0"/>
          <w:bCs/>
          <w:color w:val="0000FF"/>
          <w:sz w:val="24"/>
        </w:rPr>
      </w:pPr>
      <w:r>
        <w:rPr>
          <w:rFonts w:hint="eastAsia" w:ascii="宋体" w:hAnsi="宋体" w:cs="宋体"/>
          <w:b w:val="0"/>
          <w:bCs/>
          <w:color w:val="0000FF"/>
          <w:sz w:val="24"/>
          <w:lang w:val="en-US" w:eastAsia="zh-CN"/>
        </w:rPr>
        <w:t>5</w:t>
      </w:r>
      <w:r>
        <w:rPr>
          <w:rFonts w:hint="eastAsia" w:ascii="宋体" w:hAnsi="宋体" w:cs="宋体"/>
          <w:b w:val="0"/>
          <w:bCs/>
          <w:color w:val="0000FF"/>
          <w:sz w:val="24"/>
        </w:rPr>
        <w:t>.</w:t>
      </w:r>
      <w:r>
        <w:rPr>
          <w:rFonts w:hint="eastAsia" w:ascii="宋体" w:hAnsi="宋体" w:cs="宋体"/>
          <w:b w:val="0"/>
          <w:bCs/>
          <w:color w:val="0000FF"/>
          <w:sz w:val="24"/>
          <w:lang w:eastAsia="zh-CN"/>
        </w:rPr>
        <w:t>乙方</w:t>
      </w:r>
      <w:r>
        <w:rPr>
          <w:rFonts w:hint="eastAsia" w:ascii="宋体" w:hAnsi="宋体" w:cs="宋体"/>
          <w:b w:val="0"/>
          <w:bCs/>
          <w:color w:val="0000FF"/>
          <w:sz w:val="24"/>
        </w:rPr>
        <w:t>项目工作地点位于杭州钱塘区临江街道红十五线与观十五线交叉口杭州临江环境能源有限公司，交通食宿费、</w:t>
      </w:r>
      <w:r>
        <w:rPr>
          <w:rFonts w:hint="eastAsia" w:ascii="宋体" w:hAnsi="宋体" w:cs="宋体"/>
          <w:b w:val="0"/>
          <w:bCs/>
          <w:color w:val="0000FF"/>
          <w:sz w:val="24"/>
          <w:lang w:eastAsia="zh-CN"/>
        </w:rPr>
        <w:t>人工费</w:t>
      </w:r>
      <w:r>
        <w:rPr>
          <w:rFonts w:hint="eastAsia" w:ascii="宋体" w:hAnsi="宋体" w:cs="宋体"/>
          <w:b w:val="0"/>
          <w:bCs/>
          <w:color w:val="0000FF"/>
          <w:sz w:val="24"/>
        </w:rPr>
        <w:t>等需要服务</w:t>
      </w:r>
      <w:r>
        <w:rPr>
          <w:rFonts w:hint="eastAsia" w:ascii="宋体" w:hAnsi="宋体" w:cs="宋体"/>
          <w:b w:val="0"/>
          <w:bCs/>
          <w:color w:val="0000FF"/>
          <w:sz w:val="24"/>
          <w:lang w:eastAsia="zh-CN"/>
        </w:rPr>
        <w:t>乙方</w:t>
      </w:r>
      <w:r>
        <w:rPr>
          <w:rFonts w:hint="eastAsia" w:ascii="宋体" w:hAnsi="宋体" w:cs="宋体"/>
          <w:b w:val="0"/>
          <w:bCs/>
          <w:color w:val="0000FF"/>
          <w:sz w:val="24"/>
        </w:rPr>
        <w:t>自理。</w:t>
      </w:r>
    </w:p>
    <w:p w14:paraId="411606B4">
      <w:pPr>
        <w:spacing w:line="360" w:lineRule="auto"/>
        <w:ind w:firstLine="480" w:firstLineChars="200"/>
        <w:outlineLvl w:val="0"/>
        <w:rPr>
          <w:rFonts w:hint="eastAsia" w:ascii="宋体" w:hAnsi="宋体" w:cs="宋体"/>
          <w:b w:val="0"/>
          <w:bCs/>
          <w:color w:val="0000FF"/>
          <w:sz w:val="24"/>
        </w:rPr>
      </w:pPr>
      <w:r>
        <w:rPr>
          <w:rFonts w:hint="eastAsia" w:ascii="宋体" w:hAnsi="宋体" w:cs="宋体"/>
          <w:b w:val="0"/>
          <w:bCs/>
          <w:color w:val="0000FF"/>
          <w:sz w:val="24"/>
          <w:lang w:val="en-US" w:eastAsia="zh-CN"/>
        </w:rPr>
        <w:t>6</w:t>
      </w:r>
      <w:r>
        <w:rPr>
          <w:rFonts w:hint="eastAsia" w:ascii="宋体" w:hAnsi="宋体" w:cs="宋体"/>
          <w:b w:val="0"/>
          <w:bCs/>
          <w:color w:val="0000FF"/>
          <w:sz w:val="24"/>
        </w:rPr>
        <w:t>.</w:t>
      </w:r>
      <w:r>
        <w:rPr>
          <w:rFonts w:hint="eastAsia" w:ascii="宋体" w:hAnsi="宋体" w:cs="宋体"/>
          <w:b w:val="0"/>
          <w:bCs/>
          <w:color w:val="0000FF"/>
          <w:sz w:val="24"/>
          <w:lang w:eastAsia="zh-CN"/>
        </w:rPr>
        <w:t>乙方</w:t>
      </w:r>
      <w:r>
        <w:rPr>
          <w:rFonts w:hint="eastAsia" w:ascii="宋体" w:hAnsi="宋体" w:cs="宋体"/>
          <w:b w:val="0"/>
          <w:bCs/>
          <w:color w:val="0000FF"/>
          <w:sz w:val="24"/>
        </w:rPr>
        <w:t>对实施工作人员安全负有全部责任，投标人须为工作人员购买保险，如工伤保险、意外保险等，具体由</w:t>
      </w:r>
      <w:r>
        <w:rPr>
          <w:rFonts w:hint="eastAsia" w:ascii="宋体" w:hAnsi="宋体" w:cs="宋体"/>
          <w:b w:val="0"/>
          <w:bCs/>
          <w:color w:val="0000FF"/>
          <w:sz w:val="24"/>
          <w:lang w:eastAsia="zh-CN"/>
        </w:rPr>
        <w:t>乙方</w:t>
      </w:r>
      <w:r>
        <w:rPr>
          <w:rFonts w:hint="eastAsia" w:ascii="宋体" w:hAnsi="宋体" w:cs="宋体"/>
          <w:b w:val="0"/>
          <w:bCs/>
          <w:color w:val="0000FF"/>
          <w:sz w:val="24"/>
        </w:rPr>
        <w:t>自行与员工确定，若因此而引起的法律或者经济纠纷，由</w:t>
      </w:r>
      <w:r>
        <w:rPr>
          <w:rFonts w:hint="eastAsia" w:ascii="宋体" w:hAnsi="宋体" w:cs="宋体"/>
          <w:b w:val="0"/>
          <w:bCs/>
          <w:color w:val="0000FF"/>
          <w:sz w:val="24"/>
          <w:lang w:eastAsia="zh-CN"/>
        </w:rPr>
        <w:t>乙方</w:t>
      </w:r>
      <w:r>
        <w:rPr>
          <w:rFonts w:hint="eastAsia" w:ascii="宋体" w:hAnsi="宋体" w:cs="宋体"/>
          <w:b w:val="0"/>
          <w:bCs/>
          <w:color w:val="0000FF"/>
          <w:sz w:val="24"/>
        </w:rPr>
        <w:t>负全责，</w:t>
      </w:r>
      <w:r>
        <w:rPr>
          <w:rFonts w:hint="eastAsia" w:ascii="宋体" w:hAnsi="宋体" w:cs="宋体"/>
          <w:b w:val="0"/>
          <w:bCs/>
          <w:color w:val="0000FF"/>
          <w:sz w:val="24"/>
          <w:lang w:eastAsia="zh-CN"/>
        </w:rPr>
        <w:t>甲方</w:t>
      </w:r>
      <w:r>
        <w:rPr>
          <w:rFonts w:hint="eastAsia" w:ascii="宋体" w:hAnsi="宋体" w:cs="宋体"/>
          <w:b w:val="0"/>
          <w:bCs/>
          <w:color w:val="0000FF"/>
          <w:sz w:val="24"/>
        </w:rPr>
        <w:t>不承担任何责任。</w:t>
      </w:r>
    </w:p>
    <w:p w14:paraId="55BE9294">
      <w:pPr>
        <w:spacing w:line="360" w:lineRule="auto"/>
        <w:ind w:firstLine="480" w:firstLineChars="200"/>
        <w:outlineLvl w:val="0"/>
        <w:rPr>
          <w:rFonts w:hint="eastAsia" w:ascii="宋体" w:hAnsi="宋体" w:cs="宋体"/>
          <w:b w:val="0"/>
          <w:bCs/>
          <w:color w:val="0000FF"/>
          <w:sz w:val="24"/>
        </w:rPr>
      </w:pPr>
      <w:r>
        <w:rPr>
          <w:rFonts w:hint="eastAsia" w:ascii="宋体" w:hAnsi="宋体" w:cs="宋体"/>
          <w:b w:val="0"/>
          <w:bCs/>
          <w:color w:val="0000FF"/>
          <w:sz w:val="24"/>
          <w:lang w:val="en-US" w:eastAsia="zh-CN"/>
        </w:rPr>
        <w:t>7</w:t>
      </w:r>
      <w:r>
        <w:rPr>
          <w:rFonts w:hint="eastAsia" w:ascii="宋体" w:hAnsi="宋体" w:cs="宋体"/>
          <w:b w:val="0"/>
          <w:bCs/>
          <w:color w:val="0000FF"/>
          <w:sz w:val="24"/>
        </w:rPr>
        <w:t>.保密服务要求：</w:t>
      </w:r>
      <w:r>
        <w:rPr>
          <w:rFonts w:hint="eastAsia" w:ascii="宋体" w:hAnsi="宋体" w:cs="宋体"/>
          <w:b w:val="0"/>
          <w:bCs/>
          <w:color w:val="0000FF"/>
          <w:sz w:val="24"/>
          <w:lang w:eastAsia="zh-CN"/>
        </w:rPr>
        <w:t>乙方</w:t>
      </w:r>
      <w:r>
        <w:rPr>
          <w:rFonts w:hint="eastAsia" w:ascii="宋体" w:hAnsi="宋体" w:cs="宋体"/>
          <w:b w:val="0"/>
          <w:bCs/>
          <w:color w:val="0000FF"/>
          <w:sz w:val="24"/>
        </w:rPr>
        <w:t>对</w:t>
      </w:r>
      <w:r>
        <w:rPr>
          <w:rFonts w:hint="eastAsia" w:ascii="宋体" w:hAnsi="宋体" w:cs="宋体"/>
          <w:b w:val="0"/>
          <w:bCs/>
          <w:color w:val="0000FF"/>
          <w:sz w:val="24"/>
          <w:lang w:eastAsia="zh-CN"/>
        </w:rPr>
        <w:t>甲方</w:t>
      </w:r>
      <w:r>
        <w:rPr>
          <w:rFonts w:hint="eastAsia" w:ascii="宋体" w:hAnsi="宋体" w:cs="宋体"/>
          <w:b w:val="0"/>
          <w:bCs/>
          <w:color w:val="0000FF"/>
          <w:sz w:val="24"/>
        </w:rPr>
        <w:t>提供的所有业务技术资料、文档，有责任对第三方保密；</w:t>
      </w:r>
      <w:r>
        <w:rPr>
          <w:rFonts w:hint="eastAsia" w:ascii="宋体" w:hAnsi="宋体" w:cs="宋体"/>
          <w:b w:val="0"/>
          <w:bCs/>
          <w:color w:val="0000FF"/>
          <w:sz w:val="24"/>
          <w:lang w:eastAsia="zh-CN"/>
        </w:rPr>
        <w:t>乙方</w:t>
      </w:r>
      <w:r>
        <w:rPr>
          <w:rFonts w:hint="eastAsia" w:ascii="宋体" w:hAnsi="宋体" w:cs="宋体"/>
          <w:b w:val="0"/>
          <w:bCs/>
          <w:color w:val="0000FF"/>
          <w:sz w:val="24"/>
        </w:rPr>
        <w:t>在服务过程中涉及第三方产品（中标人提供的），若出现技术、经济或法律上的纠纷，应由</w:t>
      </w:r>
      <w:r>
        <w:rPr>
          <w:rFonts w:hint="eastAsia" w:ascii="宋体" w:hAnsi="宋体" w:cs="宋体"/>
          <w:b w:val="0"/>
          <w:bCs/>
          <w:color w:val="0000FF"/>
          <w:sz w:val="24"/>
          <w:lang w:eastAsia="zh-CN"/>
        </w:rPr>
        <w:t>乙方</w:t>
      </w:r>
      <w:r>
        <w:rPr>
          <w:rFonts w:hint="eastAsia" w:ascii="宋体" w:hAnsi="宋体" w:cs="宋体"/>
          <w:b w:val="0"/>
          <w:bCs/>
          <w:color w:val="0000FF"/>
          <w:sz w:val="24"/>
        </w:rPr>
        <w:t>全面承担并解决，确保不影响项目的进度。</w:t>
      </w:r>
      <w:r>
        <w:rPr>
          <w:rFonts w:hint="eastAsia" w:ascii="宋体" w:hAnsi="宋体" w:cs="宋体"/>
          <w:b w:val="0"/>
          <w:bCs/>
          <w:color w:val="0000FF"/>
          <w:sz w:val="24"/>
          <w:lang w:eastAsia="zh-CN"/>
        </w:rPr>
        <w:t>乙方</w:t>
      </w:r>
      <w:r>
        <w:rPr>
          <w:rFonts w:hint="eastAsia" w:ascii="宋体" w:hAnsi="宋体" w:cs="宋体"/>
          <w:b w:val="0"/>
          <w:bCs/>
          <w:color w:val="0000FF"/>
          <w:sz w:val="24"/>
        </w:rPr>
        <w:t>应严格遵守</w:t>
      </w:r>
      <w:r>
        <w:rPr>
          <w:rFonts w:hint="eastAsia" w:ascii="宋体" w:hAnsi="宋体" w:cs="宋体"/>
          <w:b w:val="0"/>
          <w:bCs/>
          <w:color w:val="0000FF"/>
          <w:sz w:val="24"/>
          <w:lang w:eastAsia="zh-CN"/>
        </w:rPr>
        <w:t>甲方</w:t>
      </w:r>
      <w:r>
        <w:rPr>
          <w:rFonts w:hint="eastAsia" w:ascii="宋体" w:hAnsi="宋体" w:cs="宋体"/>
          <w:b w:val="0"/>
          <w:bCs/>
          <w:color w:val="0000FF"/>
          <w:sz w:val="24"/>
        </w:rPr>
        <w:t>关于保密方面的规定，自觉保守</w:t>
      </w:r>
      <w:r>
        <w:rPr>
          <w:rFonts w:hint="eastAsia" w:ascii="宋体" w:hAnsi="宋体" w:cs="宋体"/>
          <w:b w:val="0"/>
          <w:bCs/>
          <w:color w:val="0000FF"/>
          <w:sz w:val="24"/>
          <w:lang w:eastAsia="zh-CN"/>
        </w:rPr>
        <w:t>甲方</w:t>
      </w:r>
      <w:r>
        <w:rPr>
          <w:rFonts w:hint="eastAsia" w:ascii="宋体" w:hAnsi="宋体" w:cs="宋体"/>
          <w:b w:val="0"/>
          <w:bCs/>
          <w:color w:val="0000FF"/>
          <w:sz w:val="24"/>
        </w:rPr>
        <w:t>的商业秘密。</w:t>
      </w:r>
      <w:r>
        <w:rPr>
          <w:rFonts w:hint="eastAsia" w:ascii="宋体" w:hAnsi="宋体" w:cs="宋体"/>
          <w:b w:val="0"/>
          <w:bCs/>
          <w:color w:val="0000FF"/>
          <w:sz w:val="24"/>
          <w:lang w:eastAsia="zh-CN"/>
        </w:rPr>
        <w:t>甲方</w:t>
      </w:r>
      <w:r>
        <w:rPr>
          <w:rFonts w:hint="eastAsia" w:ascii="宋体" w:hAnsi="宋体" w:cs="宋体"/>
          <w:b w:val="0"/>
          <w:bCs/>
          <w:color w:val="0000FF"/>
          <w:sz w:val="24"/>
        </w:rPr>
        <w:t>为方便项目实施所提供给</w:t>
      </w:r>
      <w:r>
        <w:rPr>
          <w:rFonts w:hint="eastAsia" w:ascii="宋体" w:hAnsi="宋体" w:cs="宋体"/>
          <w:b w:val="0"/>
          <w:bCs/>
          <w:color w:val="0000FF"/>
          <w:sz w:val="24"/>
          <w:lang w:eastAsia="zh-CN"/>
        </w:rPr>
        <w:t>乙方</w:t>
      </w:r>
      <w:r>
        <w:rPr>
          <w:rFonts w:hint="eastAsia" w:ascii="宋体" w:hAnsi="宋体" w:cs="宋体"/>
          <w:b w:val="0"/>
          <w:bCs/>
          <w:color w:val="0000FF"/>
          <w:sz w:val="24"/>
        </w:rPr>
        <w:t>的工作流程、管理模式、规程、程序等相关文档资料、文档、数据均属于</w:t>
      </w:r>
      <w:r>
        <w:rPr>
          <w:rFonts w:hint="eastAsia" w:ascii="宋体" w:hAnsi="宋体" w:cs="宋体"/>
          <w:b w:val="0"/>
          <w:bCs/>
          <w:color w:val="0000FF"/>
          <w:sz w:val="24"/>
          <w:lang w:eastAsia="zh-CN"/>
        </w:rPr>
        <w:t>甲方</w:t>
      </w:r>
      <w:r>
        <w:rPr>
          <w:rFonts w:hint="eastAsia" w:ascii="宋体" w:hAnsi="宋体" w:cs="宋体"/>
          <w:b w:val="0"/>
          <w:bCs/>
          <w:color w:val="0000FF"/>
          <w:sz w:val="24"/>
        </w:rPr>
        <w:t>所有。未经</w:t>
      </w:r>
      <w:r>
        <w:rPr>
          <w:rFonts w:hint="eastAsia" w:ascii="宋体" w:hAnsi="宋体" w:cs="宋体"/>
          <w:b w:val="0"/>
          <w:bCs/>
          <w:color w:val="0000FF"/>
          <w:sz w:val="24"/>
          <w:lang w:eastAsia="zh-CN"/>
        </w:rPr>
        <w:t>甲方</w:t>
      </w:r>
      <w:r>
        <w:rPr>
          <w:rFonts w:hint="eastAsia" w:ascii="宋体" w:hAnsi="宋体" w:cs="宋体"/>
          <w:b w:val="0"/>
          <w:bCs/>
          <w:color w:val="0000FF"/>
          <w:sz w:val="24"/>
        </w:rPr>
        <w:t>授权同意，</w:t>
      </w:r>
      <w:r>
        <w:rPr>
          <w:rFonts w:hint="eastAsia" w:ascii="宋体" w:hAnsi="宋体" w:cs="宋体"/>
          <w:b w:val="0"/>
          <w:bCs/>
          <w:color w:val="0000FF"/>
          <w:sz w:val="24"/>
          <w:lang w:eastAsia="zh-CN"/>
        </w:rPr>
        <w:t>乙方</w:t>
      </w:r>
      <w:r>
        <w:rPr>
          <w:rFonts w:hint="eastAsia" w:ascii="宋体" w:hAnsi="宋体" w:cs="宋体"/>
          <w:b w:val="0"/>
          <w:bCs/>
          <w:color w:val="0000FF"/>
          <w:sz w:val="24"/>
        </w:rPr>
        <w:t>不得另作他用。因</w:t>
      </w:r>
      <w:r>
        <w:rPr>
          <w:rFonts w:hint="eastAsia" w:ascii="宋体" w:hAnsi="宋体" w:cs="宋体"/>
          <w:b w:val="0"/>
          <w:bCs/>
          <w:color w:val="0000FF"/>
          <w:sz w:val="24"/>
          <w:lang w:eastAsia="zh-CN"/>
        </w:rPr>
        <w:t>乙方</w:t>
      </w:r>
      <w:r>
        <w:rPr>
          <w:rFonts w:hint="eastAsia" w:ascii="宋体" w:hAnsi="宋体" w:cs="宋体"/>
          <w:b w:val="0"/>
          <w:bCs/>
          <w:color w:val="0000FF"/>
          <w:sz w:val="24"/>
        </w:rPr>
        <w:t>原因导致上述资料、文档、数据或</w:t>
      </w:r>
      <w:r>
        <w:rPr>
          <w:rFonts w:hint="eastAsia" w:ascii="宋体" w:hAnsi="宋体" w:cs="宋体"/>
          <w:b w:val="0"/>
          <w:bCs/>
          <w:color w:val="0000FF"/>
          <w:sz w:val="24"/>
          <w:lang w:eastAsia="zh-CN"/>
        </w:rPr>
        <w:t>甲方</w:t>
      </w:r>
      <w:r>
        <w:rPr>
          <w:rFonts w:hint="eastAsia" w:ascii="宋体" w:hAnsi="宋体" w:cs="宋体"/>
          <w:b w:val="0"/>
          <w:bCs/>
          <w:color w:val="0000FF"/>
          <w:sz w:val="24"/>
        </w:rPr>
        <w:t>商业秘密泄露的，</w:t>
      </w:r>
      <w:r>
        <w:rPr>
          <w:rFonts w:hint="eastAsia" w:ascii="宋体" w:hAnsi="宋体" w:cs="宋体"/>
          <w:b w:val="0"/>
          <w:bCs/>
          <w:color w:val="0000FF"/>
          <w:sz w:val="24"/>
          <w:lang w:eastAsia="zh-CN"/>
        </w:rPr>
        <w:t>甲方</w:t>
      </w:r>
      <w:r>
        <w:rPr>
          <w:rFonts w:hint="eastAsia" w:ascii="宋体" w:hAnsi="宋体" w:cs="宋体"/>
          <w:b w:val="0"/>
          <w:bCs/>
          <w:color w:val="0000FF"/>
          <w:sz w:val="24"/>
        </w:rPr>
        <w:t>有权要求</w:t>
      </w:r>
      <w:r>
        <w:rPr>
          <w:rFonts w:hint="eastAsia" w:ascii="宋体" w:hAnsi="宋体" w:cs="宋体"/>
          <w:b w:val="0"/>
          <w:bCs/>
          <w:color w:val="0000FF"/>
          <w:sz w:val="24"/>
          <w:lang w:eastAsia="zh-CN"/>
        </w:rPr>
        <w:t>乙方</w:t>
      </w:r>
      <w:r>
        <w:rPr>
          <w:rFonts w:hint="eastAsia" w:ascii="宋体" w:hAnsi="宋体" w:cs="宋体"/>
          <w:b w:val="0"/>
          <w:bCs/>
          <w:color w:val="0000FF"/>
          <w:sz w:val="24"/>
        </w:rPr>
        <w:t>采取措施消除影响并赔偿</w:t>
      </w:r>
      <w:r>
        <w:rPr>
          <w:rFonts w:hint="eastAsia" w:ascii="宋体" w:hAnsi="宋体" w:cs="宋体"/>
          <w:b w:val="0"/>
          <w:bCs/>
          <w:color w:val="0000FF"/>
          <w:sz w:val="24"/>
          <w:lang w:eastAsia="zh-CN"/>
        </w:rPr>
        <w:t>甲方</w:t>
      </w:r>
      <w:r>
        <w:rPr>
          <w:rFonts w:hint="eastAsia" w:ascii="宋体" w:hAnsi="宋体" w:cs="宋体"/>
          <w:b w:val="0"/>
          <w:bCs/>
          <w:color w:val="0000FF"/>
          <w:sz w:val="24"/>
        </w:rPr>
        <w:t>损失。</w:t>
      </w:r>
    </w:p>
    <w:p w14:paraId="1BACB1A2">
      <w:pPr>
        <w:spacing w:line="360" w:lineRule="auto"/>
        <w:ind w:firstLine="480" w:firstLineChars="200"/>
        <w:outlineLvl w:val="0"/>
        <w:rPr>
          <w:rFonts w:hint="eastAsia" w:ascii="宋体" w:hAnsi="宋体" w:cs="宋体"/>
          <w:b w:val="0"/>
          <w:bCs/>
          <w:color w:val="0000FF"/>
          <w:sz w:val="24"/>
        </w:rPr>
      </w:pPr>
      <w:r>
        <w:rPr>
          <w:rFonts w:hint="eastAsia" w:ascii="宋体" w:hAnsi="宋体" w:cs="宋体"/>
          <w:b w:val="0"/>
          <w:bCs/>
          <w:color w:val="0000FF"/>
          <w:sz w:val="24"/>
          <w:lang w:val="en-US" w:eastAsia="zh-CN"/>
        </w:rPr>
        <w:t>8</w:t>
      </w:r>
      <w:r>
        <w:rPr>
          <w:rFonts w:hint="eastAsia" w:ascii="宋体" w:hAnsi="宋体" w:cs="宋体"/>
          <w:b w:val="0"/>
          <w:bCs/>
          <w:color w:val="0000FF"/>
          <w:sz w:val="24"/>
        </w:rPr>
        <w:t>.</w:t>
      </w:r>
      <w:r>
        <w:rPr>
          <w:rFonts w:hint="eastAsia" w:ascii="宋体" w:hAnsi="宋体" w:cs="宋体"/>
          <w:b w:val="0"/>
          <w:bCs/>
          <w:color w:val="0000FF"/>
          <w:sz w:val="24"/>
          <w:lang w:eastAsia="zh-CN"/>
        </w:rPr>
        <w:t>乙方</w:t>
      </w:r>
      <w:r>
        <w:rPr>
          <w:rFonts w:hint="eastAsia" w:ascii="宋体" w:hAnsi="宋体" w:cs="宋体"/>
          <w:b w:val="0"/>
          <w:bCs/>
          <w:color w:val="0000FF"/>
          <w:sz w:val="24"/>
        </w:rPr>
        <w:t>应遵守</w:t>
      </w:r>
      <w:r>
        <w:rPr>
          <w:rFonts w:hint="eastAsia" w:ascii="宋体" w:hAnsi="宋体" w:cs="宋体"/>
          <w:b w:val="0"/>
          <w:bCs/>
          <w:color w:val="0000FF"/>
          <w:sz w:val="24"/>
          <w:lang w:eastAsia="zh-CN"/>
        </w:rPr>
        <w:t>甲方</w:t>
      </w:r>
      <w:r>
        <w:rPr>
          <w:rFonts w:hint="eastAsia" w:ascii="宋体" w:hAnsi="宋体" w:cs="宋体"/>
          <w:b w:val="0"/>
          <w:bCs/>
          <w:color w:val="0000FF"/>
          <w:sz w:val="24"/>
        </w:rPr>
        <w:t>的现场管理制度要求，遵守国家、行业、地方法律法规，不得违章作业，接受</w:t>
      </w:r>
      <w:r>
        <w:rPr>
          <w:rFonts w:hint="eastAsia" w:ascii="宋体" w:hAnsi="宋体" w:cs="宋体"/>
          <w:b w:val="0"/>
          <w:bCs/>
          <w:color w:val="0000FF"/>
          <w:sz w:val="24"/>
          <w:lang w:eastAsia="zh-CN"/>
        </w:rPr>
        <w:t>甲方</w:t>
      </w:r>
      <w:r>
        <w:rPr>
          <w:rFonts w:hint="eastAsia" w:ascii="宋体" w:hAnsi="宋体" w:cs="宋体"/>
          <w:b w:val="0"/>
          <w:bCs/>
          <w:color w:val="0000FF"/>
          <w:sz w:val="24"/>
        </w:rPr>
        <w:t>的安全教育，出现任何人员安全事故由</w:t>
      </w:r>
      <w:r>
        <w:rPr>
          <w:rFonts w:hint="eastAsia" w:ascii="宋体" w:hAnsi="宋体" w:cs="宋体"/>
          <w:b w:val="0"/>
          <w:bCs/>
          <w:color w:val="0000FF"/>
          <w:sz w:val="24"/>
          <w:lang w:eastAsia="zh-CN"/>
        </w:rPr>
        <w:t>乙方</w:t>
      </w:r>
      <w:r>
        <w:rPr>
          <w:rFonts w:hint="eastAsia" w:ascii="宋体" w:hAnsi="宋体" w:cs="宋体"/>
          <w:b w:val="0"/>
          <w:bCs/>
          <w:color w:val="0000FF"/>
          <w:sz w:val="24"/>
        </w:rPr>
        <w:t>自行承担。</w:t>
      </w:r>
    </w:p>
    <w:p w14:paraId="039AB38D">
      <w:pPr>
        <w:spacing w:line="360" w:lineRule="auto"/>
        <w:ind w:firstLine="480" w:firstLineChars="200"/>
        <w:outlineLvl w:val="0"/>
        <w:rPr>
          <w:rFonts w:hint="eastAsia" w:ascii="宋体" w:hAnsi="宋体" w:cs="宋体"/>
          <w:b/>
          <w:sz w:val="24"/>
        </w:rPr>
      </w:pPr>
      <w:r>
        <w:rPr>
          <w:rFonts w:hint="eastAsia" w:ascii="宋体" w:hAnsi="宋体" w:cs="宋体"/>
          <w:b w:val="0"/>
          <w:bCs/>
          <w:color w:val="0000FF"/>
          <w:sz w:val="24"/>
          <w:lang w:val="en-US" w:eastAsia="zh-CN"/>
        </w:rPr>
        <w:t>9</w:t>
      </w:r>
      <w:r>
        <w:rPr>
          <w:rFonts w:hint="eastAsia" w:ascii="宋体" w:hAnsi="宋体" w:cs="宋体"/>
          <w:b w:val="0"/>
          <w:bCs/>
          <w:color w:val="0000FF"/>
          <w:sz w:val="24"/>
        </w:rPr>
        <w:t>.</w:t>
      </w:r>
      <w:r>
        <w:rPr>
          <w:rFonts w:hint="eastAsia" w:ascii="宋体" w:hAnsi="宋体" w:cs="宋体"/>
          <w:b w:val="0"/>
          <w:bCs/>
          <w:color w:val="0000FF"/>
          <w:sz w:val="24"/>
          <w:lang w:eastAsia="zh-CN"/>
        </w:rPr>
        <w:t>乙方</w:t>
      </w:r>
      <w:r>
        <w:rPr>
          <w:rFonts w:hint="eastAsia" w:ascii="宋体" w:hAnsi="宋体" w:cs="宋体"/>
          <w:b w:val="0"/>
          <w:bCs/>
          <w:color w:val="0000FF"/>
          <w:sz w:val="24"/>
        </w:rPr>
        <w:t>在实施过程中应负责对</w:t>
      </w:r>
      <w:r>
        <w:rPr>
          <w:rFonts w:hint="eastAsia" w:ascii="宋体" w:hAnsi="宋体" w:cs="宋体"/>
          <w:b w:val="0"/>
          <w:bCs/>
          <w:color w:val="0000FF"/>
          <w:sz w:val="24"/>
          <w:lang w:eastAsia="zh-CN"/>
        </w:rPr>
        <w:t>甲方</w:t>
      </w:r>
      <w:r>
        <w:rPr>
          <w:rFonts w:hint="eastAsia" w:ascii="宋体" w:hAnsi="宋体" w:cs="宋体"/>
          <w:b w:val="0"/>
          <w:bCs/>
          <w:color w:val="0000FF"/>
          <w:sz w:val="24"/>
        </w:rPr>
        <w:t>生产场地的保护，与实施区域无关进行必要隔离，若造成损坏应负责修复或赔偿。</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2DB203DD">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14:paraId="65BF7050">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14:paraId="0A200326">
      <w:pPr>
        <w:pStyle w:val="6"/>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14:paraId="67FABAC3">
      <w:pPr>
        <w:tabs>
          <w:tab w:val="left" w:pos="360"/>
          <w:tab w:val="left" w:pos="540"/>
          <w:tab w:val="left" w:pos="1080"/>
        </w:tabs>
        <w:spacing w:line="360" w:lineRule="auto"/>
        <w:ind w:firstLine="480" w:firstLineChars="200"/>
        <w:rPr>
          <w:rFonts w:hint="eastAsia"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u w:val="single"/>
          <w:lang w:val="en-US" w:eastAsia="zh-CN"/>
        </w:rPr>
        <w:t xml:space="preserve"> </w:t>
      </w:r>
      <w:r>
        <w:rPr>
          <w:rFonts w:hint="eastAsia" w:ascii="宋体" w:hAnsi="宋体"/>
          <w:sz w:val="24"/>
          <w:highlight w:val="none"/>
          <w:u w:val="single"/>
          <w:lang w:val="en-US" w:eastAsia="zh-CN"/>
        </w:rPr>
        <w:t>乙方每次形成一个服务报告，甲方确认后验收</w:t>
      </w:r>
      <w:r>
        <w:rPr>
          <w:rFonts w:hint="eastAsia" w:ascii="宋体" w:hAnsi="宋体"/>
          <w:sz w:val="24"/>
          <w:highlight w:val="none"/>
          <w:u w:val="single"/>
        </w:rPr>
        <w:t>。</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color w:val="auto"/>
          <w:u w:val="single"/>
          <w:lang w:val="en-US" w:eastAsia="zh-CN"/>
        </w:rPr>
        <w:t>（1）</w:t>
      </w:r>
      <w:r>
        <w:rPr>
          <w:rFonts w:hint="eastAsia"/>
          <w:u w:val="single"/>
          <w:lang w:val="en-US" w:eastAsia="zh-CN"/>
        </w:rPr>
        <w:t xml:space="preserve"> </w:t>
      </w:r>
      <w:r>
        <w:rPr>
          <w:rFonts w:hint="eastAsia"/>
          <w:u w:val="single"/>
        </w:rPr>
        <w:t xml:space="preserve"> </w:t>
      </w:r>
      <w:r>
        <w:rPr>
          <w:rFonts w:hint="eastAsia"/>
        </w:rPr>
        <w:t>条款规定：</w:t>
      </w:r>
    </w:p>
    <w:p w14:paraId="3AD37BEC">
      <w:pPr>
        <w:pStyle w:val="25"/>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0F392DB">
      <w:pPr>
        <w:spacing w:line="360" w:lineRule="auto"/>
        <w:ind w:firstLine="480" w:firstLineChars="200"/>
        <w:rPr>
          <w:rFonts w:hint="eastAsia" w:ascii="宋体" w:hAnsi="宋体" w:cs="宋体"/>
          <w:sz w:val="24"/>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为免争议，乙方确认其已明确知晓本合同下服务系用于</w:t>
      </w:r>
      <w:r>
        <w:rPr>
          <w:rFonts w:hint="eastAsia" w:ascii="宋体" w:hAnsi="宋体" w:cs="宋体"/>
          <w:sz w:val="24"/>
          <w:u w:val="single"/>
          <w:lang w:val="en-US" w:eastAsia="zh-CN"/>
        </w:rPr>
        <w:t xml:space="preserve"> PLC 、DCS系统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7"/>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31297"/>
      <w:bookmarkStart w:id="396" w:name="_Toc5228"/>
      <w:bookmarkStart w:id="397" w:name="_Toc19680"/>
      <w:bookmarkStart w:id="398" w:name="_Toc25079"/>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3769"/>
      <w:bookmarkStart w:id="402" w:name="_Toc19539"/>
      <w:bookmarkStart w:id="403" w:name="_Toc31402"/>
      <w:bookmarkStart w:id="40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2412"/>
      <w:bookmarkStart w:id="406" w:name="_Toc4133"/>
      <w:bookmarkStart w:id="407" w:name="_Toc13673"/>
      <w:bookmarkStart w:id="408" w:name="_Toc27945"/>
      <w:bookmarkStart w:id="409" w:name="_Toc9161"/>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26555"/>
      <w:bookmarkStart w:id="411" w:name="_Toc31233"/>
      <w:bookmarkStart w:id="412" w:name="_Toc32670"/>
      <w:bookmarkStart w:id="413" w:name="_Toc15447"/>
      <w:bookmarkStart w:id="414" w:name="_Toc22011"/>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6163"/>
      <w:bookmarkStart w:id="416" w:name="_Toc18990"/>
      <w:bookmarkStart w:id="417" w:name="_Toc13154"/>
      <w:bookmarkStart w:id="418" w:name="_Toc13467"/>
      <w:bookmarkStart w:id="419"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6689"/>
      <w:bookmarkStart w:id="424" w:name="_Toc23368"/>
      <w:bookmarkStart w:id="425" w:name="_Toc10663"/>
      <w:bookmarkStart w:id="426" w:name="_Toc42"/>
      <w:bookmarkStart w:id="42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4720"/>
      <w:bookmarkStart w:id="429" w:name="_Toc25571"/>
      <w:bookmarkStart w:id="430" w:name="_Toc14371"/>
      <w:bookmarkStart w:id="431" w:name="_Toc32494"/>
      <w:bookmarkStart w:id="432" w:name="_Toc26633"/>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3854"/>
      <w:bookmarkStart w:id="434" w:name="_Toc14115"/>
      <w:bookmarkStart w:id="435" w:name="_Toc25783"/>
      <w:bookmarkStart w:id="436" w:name="_Toc24465"/>
      <w:bookmarkStart w:id="437" w:name="_Toc3638"/>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7315"/>
      <w:bookmarkStart w:id="439" w:name="_Toc14814"/>
      <w:bookmarkStart w:id="440" w:name="_Toc25525"/>
      <w:bookmarkStart w:id="441" w:name="_Toc26883"/>
      <w:bookmarkStart w:id="442" w:name="_Toc3010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3323"/>
      <w:bookmarkStart w:id="444" w:name="_Toc11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969"/>
      <w:bookmarkStart w:id="447" w:name="_Toc17363"/>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12666"/>
      <w:bookmarkStart w:id="450" w:name="_Toc31892"/>
      <w:bookmarkStart w:id="451" w:name="_Toc2308"/>
      <w:bookmarkStart w:id="452" w:name="_Toc9808"/>
      <w:bookmarkStart w:id="453" w:name="_Toc2519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12254"/>
      <w:bookmarkStart w:id="455" w:name="_Toc5063"/>
      <w:bookmarkStart w:id="456" w:name="_Toc20808"/>
      <w:bookmarkStart w:id="457" w:name="_Toc28906"/>
      <w:bookmarkStart w:id="458"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40993DF">
      <w:pPr>
        <w:rPr>
          <w:rFonts w:hint="eastAsia"/>
        </w:rPr>
      </w:pPr>
    </w:p>
    <w:p w14:paraId="12AFFF2C">
      <w:pPr>
        <w:rPr>
          <w:rFonts w:hint="eastAsia" w:ascii="宋体" w:hAnsi="宋体"/>
          <w:b/>
          <w:szCs w:val="24"/>
        </w:rPr>
      </w:pPr>
      <w:r>
        <w:rPr>
          <w:rFonts w:hint="eastAsia" w:ascii="宋体" w:hAnsi="宋体"/>
          <w:b/>
          <w:szCs w:val="24"/>
        </w:rPr>
        <w:br w:type="page"/>
      </w: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2025年-2026年PLC系统委外维修调试服务采购项目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2025年-2026年PLC系统委外维修调试服务采购项目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5"/>
      </w:pPr>
    </w:p>
    <w:p w14:paraId="5F4E7760">
      <w:pPr>
        <w:pStyle w:val="7"/>
        <w:rPr>
          <w:color w:val="auto"/>
        </w:rPr>
      </w:pPr>
    </w:p>
    <w:p w14:paraId="3B048014">
      <w:pPr>
        <w:pStyle w:val="8"/>
        <w:rPr>
          <w:color w:val="auto"/>
        </w:rPr>
      </w:pPr>
    </w:p>
    <w:p w14:paraId="5C02A5ED">
      <w:pPr>
        <w:rPr>
          <w:color w:val="auto"/>
        </w:rPr>
      </w:pPr>
    </w:p>
    <w:p w14:paraId="557F8F3F">
      <w:pPr>
        <w:pStyle w:val="15"/>
        <w:rPr>
          <w:color w:val="auto"/>
        </w:rPr>
      </w:pPr>
    </w:p>
    <w:p w14:paraId="417C2072">
      <w:pPr>
        <w:rPr>
          <w:color w:val="auto"/>
        </w:rPr>
      </w:pPr>
    </w:p>
    <w:p w14:paraId="0AAC24FD">
      <w:pPr>
        <w:pStyle w:val="15"/>
        <w:rPr>
          <w:color w:val="auto"/>
        </w:rPr>
      </w:pPr>
    </w:p>
    <w:p w14:paraId="399D0E1E">
      <w:pPr>
        <w:rPr>
          <w:color w:val="auto"/>
        </w:rPr>
      </w:pPr>
    </w:p>
    <w:p w14:paraId="7E81C0E8">
      <w:pPr>
        <w:pStyle w:val="15"/>
        <w:rPr>
          <w:color w:val="auto"/>
        </w:rPr>
      </w:pPr>
    </w:p>
    <w:p w14:paraId="693BCFE6">
      <w:pPr>
        <w:rPr>
          <w:color w:val="auto"/>
        </w:rPr>
      </w:pPr>
    </w:p>
    <w:p w14:paraId="7797CB86">
      <w:pPr>
        <w:pStyle w:val="15"/>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2025年-2026年PLC系统委外维修调试服务采购项目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202507040</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5"/>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2025年-2026年PLC系统委外维修调试服务采购项目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202507040</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72F026EB">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若有则提供，如有效期内的</w:t>
      </w:r>
      <w:r>
        <w:rPr>
          <w:rFonts w:hint="eastAsia" w:cs="仿宋" w:asciiTheme="minorEastAsia" w:hAnsiTheme="minorEastAsia"/>
          <w:bCs/>
          <w:color w:val="auto"/>
          <w:sz w:val="24"/>
          <w:u w:val="none"/>
        </w:rPr>
        <w:t>电力工程施工总承包三级及以上资质</w:t>
      </w:r>
      <w:r>
        <w:rPr>
          <w:rFonts w:hint="eastAsia" w:cs="仿宋" w:asciiTheme="minorEastAsia" w:hAnsiTheme="minorEastAsia"/>
          <w:bCs/>
          <w:color w:val="auto"/>
          <w:sz w:val="24"/>
          <w:u w:val="none"/>
          <w:lang w:val="en-US" w:eastAsia="zh-CN"/>
        </w:rPr>
        <w:t>，</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F95D3FB">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0BF102AE">
      <w:pPr>
        <w:pStyle w:val="8"/>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6F28F61A">
      <w:pPr>
        <w:pStyle w:val="8"/>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2025年-2026年PLC系统委外维修调试服务采购项目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2025年-2026年PLC系统委外维修调试服务采购项目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4"/>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4"/>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2025年-2026年PLC系统委外维修调试服务采购项目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2025年-2026年PLC系统委外维修调试服务采购项目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2025年-2026年PLC系统委外维修调试服务采购项目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3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076"/>
        <w:gridCol w:w="5917"/>
        <w:gridCol w:w="1038"/>
        <w:gridCol w:w="1022"/>
        <w:gridCol w:w="888"/>
        <w:gridCol w:w="873"/>
        <w:gridCol w:w="873"/>
        <w:gridCol w:w="873"/>
      </w:tblGrid>
      <w:tr w14:paraId="4E99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FA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B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服务名称</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3D3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服务要求</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2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服务期限</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00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9E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93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EDB0">
            <w:pPr>
              <w:spacing w:line="360" w:lineRule="auto"/>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color w:val="auto"/>
                <w:sz w:val="24"/>
                <w:szCs w:val="24"/>
                <w:highlight w:val="none"/>
                <w:lang w:val="en-US" w:eastAsia="zh-CN"/>
              </w:rPr>
              <w:t>单价（元/年）</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F50E">
            <w:pPr>
              <w:spacing w:line="360" w:lineRule="auto"/>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color w:val="auto"/>
                <w:sz w:val="24"/>
                <w:szCs w:val="24"/>
                <w:highlight w:val="none"/>
                <w:lang w:val="en-US" w:eastAsia="zh-CN"/>
              </w:rPr>
              <w:t>金额</w:t>
            </w:r>
          </w:p>
        </w:tc>
      </w:tr>
      <w:tr w14:paraId="10C5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0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B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渗滤液PLC系统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C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渗滤液PLC系统CPU及卡件故障检查处理、程序灌装、可能需要更新的程序等产生的维护费用，（每次3个工作日，供应商仅提供人工技术服务，备件由采购人提供），原生产厂家为万德斯；CPU型号为：CPU,SIMATIC S7-1500；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A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4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A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8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4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D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1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化水PLC系统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B8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化水PLC系统CPU及卡件故障检查处理、程序灌装、可能需要更新的程序等产生的维护费用，（每次3个工作日，供应商仅提供人工技术服务，备件由采购人提供），原生产厂家为宜兴瑞丰；CPU型号为：CPU315-DP,SIMATIC  S7-300，315-2AG10-0AB0；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7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1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9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9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91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0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F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化学除臭PLC系统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B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化学除臭PLC系统CPU及卡件故障检查处理、程序灌装、可能需要更新的程序等产生的维护费用，（每次3个工作日，供应商仅提供人工技术服务，备件由采购人提供），原生产厂家为宜兴瑞丰；CPU型号为：SIMATIC S7-200,SMART,CPU SR60；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E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D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3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D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DE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F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工业废水PLC系统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D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工业废水PLC系统CPU及卡件故障检查处理、程序灌装、可能需要更新的程序等产生的维护费用，（每次3个工作日，供应商仅提供人工技术服务，备件由采购人提供），原生产厂家为广东沃特；CPU型号为：CPU,SIMATIC  S7-300，CPU315-2  PN/DP,315-2EH14-0AB0；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3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3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6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6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7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25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5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8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9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一体化PLC系统CPU及卡件故障检查处理、程序灌装、可能需要更新的程序等产生的维护费用，（每次3个工作日，供应商仅提供人工技术服务，备件由采购人提供），原生产厂家为宜兴瑞丰；CPU型号为：CPU315-DP,SIMATIC  S7-300，315-2AG10-0AB0；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E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4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C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3E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D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BD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A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SNCR中PLC系统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7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SNCR的PLC系统CPU及卡件故障检查处理、程序灌装、可能需要更新的程序等产生的维护费用，（每次3个工作日，供应商仅提供人工技术服务，备件由采购人提供），原生产厂家为上海众胜泰科技有限公司；CPU型号为：CPU,SIMATIC  S7-300，CPU315-2  PN/DP,315-2EH14-0AB0；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3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3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C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DC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6D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4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飞灰PLC系统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14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飞灰的PLC系统CPU及卡件故障检查处理、程序灌装、可能需要更新的程序等产生的维护费用，（每次3个工作日，供应商仅提供人工技术服务，备件由采购人提供），原生产厂家为江苏博泰；CPU型号为：SIMATIC,S7-1200，CPU-1212C DC/DC/RLY,S7-1200；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A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4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C9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F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B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D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蒸汽吹灰PLC系统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7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蒸汽吹灰的PLC系统CPU及卡件故障检查处理、程序灌装、可能需要更新的程序等产生的维护费用，（每次3个工作日，供应商仅提供人工技术服务，备件由采购人提供），原生产厂家为上海克莱德贝尔格曼机械有限公司；CPU型号为：CPU,SIMATIC  S7-300，CPU315-2DP,315-2AH14-0AB0；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0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2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4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0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B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E8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F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激波吹灰PLC系统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激波吹灰的PLC系统CPU及卡件故障检查处理、程序灌装、可能需要更新的程序等产生的维护费用，（每次3个工作日，供应商仅提供人工技术服务，备件由采购人提供），原生产厂家为北京高瞻；CPU型号为：SIMATIC S7-200,SMART,CPU，CPU  SR30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3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D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A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4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0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浓缩液回喷PLC系统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61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激波吹灰的PLC系统CPU及卡件故障检查处理、程序灌装、可能需要更新的程序等产生的维护费用，（每次3个工作日，供应商仅提供人工技术服务，备件由采购人提供），原生产厂家为苏州市鹏月环保工程有限公司；CPU型号为：CPU,SIMATIC  S7-300，CPU315-2  PN/DP,315-2EH14-0AB0；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8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5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E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7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59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2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21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1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8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医废输送线PLC系统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D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医废输送线PLC系统CPU及卡件故障检查处理、程序灌装、可能需要更新的程序等产生的维护费用，（每次3个工作日，供应商仅提供人工技术服务，备件由采购人提供），原生产厂家为天和双力；CPU型号为：1512SP-1PN 、6ES7512-1DK01-0AB0；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6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2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55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E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F6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1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C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除臭PLC系统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8E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除臭PLC系统CPU及卡件故障检查处理、程序灌装、可能需要更新的程序等产生的维护费用，（每次3个工作日，供应商仅提供人工技术服务，备件由采购人提供），原生产厂家为广州紫科；CPU型号为：315-2PN/DP、 315-2EH14-0AB0；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4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E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B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01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0C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D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5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水处理PLC系统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6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水处理PLC系统CPU及卡件故障检查处理、程序灌装、可能需要更新的程序等产生的维护费用，（每次3个工作日，供应商仅提供人工技术服务，备件由采购人提供），原生产厂家为上海洗霸；CPU型号为：315-2PN/DP、 315-2EH14-0AB0；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9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C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B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F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54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D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DE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6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物化PLC系统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B1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物化PLC系统CPU及卡件故障检查处理、程序灌装、可能需要更新的程序等产生的维护费用，（每次3个工作日，供应商仅提供人工技术服务，备件由采购人提供），原生产厂家为山东北国；CPU型号为：1510SP-1PN、6ES7510-1DJ01-0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8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0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B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0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6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78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A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蒸发PLC系统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B4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蒸发PLC系统CPU及卡件故障检查处理、程序灌装、可能需要更新的程序等产生的维护费用，（每次3个工作日，供应商仅提供人工技术服务，备件由采购人提供），原生产厂家为捷晶能源；CPU型号为：1512C-1PN、6ES7512-1CK01-0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F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8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BD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FE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稳固化PLC系统</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BA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稳固化PLC系统CPU及卡件故障检查处理、程序灌装、可能需要更新的程序等产生的维护费用，（每次3个工作日，供应商仅提供人工技术服务，备件由采购人提供），原生产厂家为广州维港；CPU型号为：313C-2DP、313-6CG04-0AB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合同签订后12个月</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8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E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8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F4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D9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13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52E2C">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sz w:val="24"/>
                <w:szCs w:val="24"/>
              </w:rPr>
              <w:t>响应报价合计（小写）</w:t>
            </w:r>
          </w:p>
        </w:tc>
        <w:tc>
          <w:tcPr>
            <w:tcW w:w="5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218E3">
            <w:pPr>
              <w:spacing w:line="360" w:lineRule="auto"/>
              <w:jc w:val="center"/>
              <w:rPr>
                <w:rFonts w:hint="eastAsia" w:ascii="宋体" w:hAnsi="宋体" w:eastAsia="宋体" w:cs="宋体"/>
                <w:i w:val="0"/>
                <w:iCs w:val="0"/>
                <w:color w:val="000000"/>
                <w:kern w:val="0"/>
                <w:sz w:val="21"/>
                <w:szCs w:val="21"/>
                <w:u w:val="none"/>
                <w:lang w:val="en-US" w:eastAsia="zh-CN" w:bidi="ar"/>
              </w:rPr>
            </w:pPr>
          </w:p>
        </w:tc>
      </w:tr>
      <w:tr w14:paraId="7818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F8A3B">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sz w:val="24"/>
                <w:szCs w:val="24"/>
              </w:rPr>
              <w:t>响应报价合计（大写）</w:t>
            </w:r>
          </w:p>
        </w:tc>
        <w:tc>
          <w:tcPr>
            <w:tcW w:w="5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9AB7B7">
            <w:pPr>
              <w:spacing w:line="360" w:lineRule="auto"/>
              <w:jc w:val="center"/>
              <w:rPr>
                <w:rFonts w:hint="eastAsia" w:ascii="宋体" w:hAnsi="宋体" w:eastAsia="宋体" w:cs="宋体"/>
                <w:i w:val="0"/>
                <w:iCs w:val="0"/>
                <w:color w:val="000000"/>
                <w:kern w:val="0"/>
                <w:sz w:val="21"/>
                <w:szCs w:val="21"/>
                <w:u w:val="none"/>
                <w:lang w:val="en-US" w:eastAsia="zh-CN" w:bidi="ar"/>
              </w:rPr>
            </w:pPr>
          </w:p>
        </w:tc>
      </w:tr>
      <w:tr w14:paraId="02D4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50E23">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sz w:val="24"/>
                <w:szCs w:val="24"/>
              </w:rPr>
              <w:t>税率</w:t>
            </w:r>
          </w:p>
        </w:tc>
        <w:tc>
          <w:tcPr>
            <w:tcW w:w="5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6119F9">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40D7432">
      <w:pPr>
        <w:spacing w:line="360" w:lineRule="auto"/>
        <w:jc w:val="center"/>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hAnsi="宋体" w:cs="宋体"/>
          <w:b/>
          <w:sz w:val="32"/>
          <w:szCs w:val="32"/>
          <w:lang w:val="en-US" w:eastAsia="zh-CN"/>
        </w:rPr>
        <w:t xml:space="preserve">附件1          </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4"/>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68E34406">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7D63B7"/>
    <w:rsid w:val="023E1286"/>
    <w:rsid w:val="03272182"/>
    <w:rsid w:val="046A1781"/>
    <w:rsid w:val="04E634F4"/>
    <w:rsid w:val="05150472"/>
    <w:rsid w:val="05155F8B"/>
    <w:rsid w:val="05171224"/>
    <w:rsid w:val="051B17AF"/>
    <w:rsid w:val="0706436A"/>
    <w:rsid w:val="074C5A77"/>
    <w:rsid w:val="0805754C"/>
    <w:rsid w:val="08322A8C"/>
    <w:rsid w:val="08670640"/>
    <w:rsid w:val="08E37A2F"/>
    <w:rsid w:val="09545F70"/>
    <w:rsid w:val="09946F9F"/>
    <w:rsid w:val="09D74B85"/>
    <w:rsid w:val="09EC7123"/>
    <w:rsid w:val="09ED56C9"/>
    <w:rsid w:val="0A103341"/>
    <w:rsid w:val="0A1D0FFF"/>
    <w:rsid w:val="0A7C1006"/>
    <w:rsid w:val="0AD025A1"/>
    <w:rsid w:val="0B4E0B4D"/>
    <w:rsid w:val="0BD07B44"/>
    <w:rsid w:val="0BFF2A12"/>
    <w:rsid w:val="0C447D28"/>
    <w:rsid w:val="0C492847"/>
    <w:rsid w:val="0C554576"/>
    <w:rsid w:val="0D24423D"/>
    <w:rsid w:val="0F095788"/>
    <w:rsid w:val="0F5E496A"/>
    <w:rsid w:val="0F81598B"/>
    <w:rsid w:val="10947BCD"/>
    <w:rsid w:val="10BE08E9"/>
    <w:rsid w:val="1157552B"/>
    <w:rsid w:val="11EC0AD6"/>
    <w:rsid w:val="13064D3F"/>
    <w:rsid w:val="1399374C"/>
    <w:rsid w:val="13FF5068"/>
    <w:rsid w:val="14521AA0"/>
    <w:rsid w:val="146C41CB"/>
    <w:rsid w:val="15003014"/>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E6502C0"/>
    <w:rsid w:val="1F29161A"/>
    <w:rsid w:val="1F457921"/>
    <w:rsid w:val="20284B0B"/>
    <w:rsid w:val="21677697"/>
    <w:rsid w:val="22317E84"/>
    <w:rsid w:val="229536BA"/>
    <w:rsid w:val="22A244DC"/>
    <w:rsid w:val="235E195C"/>
    <w:rsid w:val="2378337E"/>
    <w:rsid w:val="23AE001C"/>
    <w:rsid w:val="23BA3CAF"/>
    <w:rsid w:val="249017C8"/>
    <w:rsid w:val="251A0B90"/>
    <w:rsid w:val="25251AF7"/>
    <w:rsid w:val="25C26B32"/>
    <w:rsid w:val="267D3E6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451D68"/>
    <w:rsid w:val="2F5836E9"/>
    <w:rsid w:val="2F7610B9"/>
    <w:rsid w:val="2F7A10AB"/>
    <w:rsid w:val="2F7C7D05"/>
    <w:rsid w:val="30123142"/>
    <w:rsid w:val="302169BE"/>
    <w:rsid w:val="304A7E50"/>
    <w:rsid w:val="314B6E80"/>
    <w:rsid w:val="31BF0628"/>
    <w:rsid w:val="32843E96"/>
    <w:rsid w:val="32C93C79"/>
    <w:rsid w:val="32D33460"/>
    <w:rsid w:val="346671FA"/>
    <w:rsid w:val="351F7AFD"/>
    <w:rsid w:val="352F03C1"/>
    <w:rsid w:val="35B75F88"/>
    <w:rsid w:val="36162BCB"/>
    <w:rsid w:val="361749EF"/>
    <w:rsid w:val="363646DC"/>
    <w:rsid w:val="363B4DE8"/>
    <w:rsid w:val="36412810"/>
    <w:rsid w:val="36A32180"/>
    <w:rsid w:val="36BD312A"/>
    <w:rsid w:val="36C96732"/>
    <w:rsid w:val="37396C72"/>
    <w:rsid w:val="37514AF4"/>
    <w:rsid w:val="37626EA4"/>
    <w:rsid w:val="377C0298"/>
    <w:rsid w:val="37F61CA1"/>
    <w:rsid w:val="394A64EB"/>
    <w:rsid w:val="39C31C6C"/>
    <w:rsid w:val="3C283344"/>
    <w:rsid w:val="3C3420E0"/>
    <w:rsid w:val="3C485F9D"/>
    <w:rsid w:val="3C4E2A76"/>
    <w:rsid w:val="3C7C70D7"/>
    <w:rsid w:val="3CB84BBF"/>
    <w:rsid w:val="3D3879AE"/>
    <w:rsid w:val="3D9C32C8"/>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70471FE"/>
    <w:rsid w:val="472961BF"/>
    <w:rsid w:val="472E3564"/>
    <w:rsid w:val="49105C83"/>
    <w:rsid w:val="4992263D"/>
    <w:rsid w:val="499917D4"/>
    <w:rsid w:val="49A53D97"/>
    <w:rsid w:val="4A035B02"/>
    <w:rsid w:val="4AE27CAC"/>
    <w:rsid w:val="4B847BE2"/>
    <w:rsid w:val="4BAC48C9"/>
    <w:rsid w:val="4CAA0A32"/>
    <w:rsid w:val="4D6C64F8"/>
    <w:rsid w:val="4E191EC4"/>
    <w:rsid w:val="4EA9254B"/>
    <w:rsid w:val="4F251D5C"/>
    <w:rsid w:val="4FD65994"/>
    <w:rsid w:val="4FEB08B0"/>
    <w:rsid w:val="50247551"/>
    <w:rsid w:val="50772E11"/>
    <w:rsid w:val="50886E1D"/>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D1252B2"/>
    <w:rsid w:val="5D57437D"/>
    <w:rsid w:val="5EA617F0"/>
    <w:rsid w:val="5EFD2476"/>
    <w:rsid w:val="5F0279C4"/>
    <w:rsid w:val="5F944466"/>
    <w:rsid w:val="6139287F"/>
    <w:rsid w:val="61C61218"/>
    <w:rsid w:val="61F56B7E"/>
    <w:rsid w:val="62121B84"/>
    <w:rsid w:val="62CB7D8B"/>
    <w:rsid w:val="63CF15A0"/>
    <w:rsid w:val="63EE0475"/>
    <w:rsid w:val="64CD2ABF"/>
    <w:rsid w:val="64EF09EB"/>
    <w:rsid w:val="657B7ADB"/>
    <w:rsid w:val="660E4A3F"/>
    <w:rsid w:val="673E5F91"/>
    <w:rsid w:val="679754A0"/>
    <w:rsid w:val="67D649B5"/>
    <w:rsid w:val="689618A9"/>
    <w:rsid w:val="68C66552"/>
    <w:rsid w:val="69345B52"/>
    <w:rsid w:val="697C3173"/>
    <w:rsid w:val="6A4E3ABD"/>
    <w:rsid w:val="6A800FB2"/>
    <w:rsid w:val="6A9D6924"/>
    <w:rsid w:val="6ABD4230"/>
    <w:rsid w:val="6ABF2969"/>
    <w:rsid w:val="6AE63D7E"/>
    <w:rsid w:val="6B462C2B"/>
    <w:rsid w:val="6BD746DF"/>
    <w:rsid w:val="6BDC6E7B"/>
    <w:rsid w:val="6CCE16FF"/>
    <w:rsid w:val="6CEB080D"/>
    <w:rsid w:val="6D893D5F"/>
    <w:rsid w:val="6DA6506A"/>
    <w:rsid w:val="6DD22AEB"/>
    <w:rsid w:val="6DF523F6"/>
    <w:rsid w:val="6EAC75B8"/>
    <w:rsid w:val="6F502166"/>
    <w:rsid w:val="700D088C"/>
    <w:rsid w:val="700E4F44"/>
    <w:rsid w:val="70173239"/>
    <w:rsid w:val="70FC24C5"/>
    <w:rsid w:val="71A36DE5"/>
    <w:rsid w:val="721A5B23"/>
    <w:rsid w:val="72B66A47"/>
    <w:rsid w:val="72B931C1"/>
    <w:rsid w:val="737D3686"/>
    <w:rsid w:val="738D03F5"/>
    <w:rsid w:val="7420296E"/>
    <w:rsid w:val="7431692A"/>
    <w:rsid w:val="74435A84"/>
    <w:rsid w:val="764022FF"/>
    <w:rsid w:val="767E5B01"/>
    <w:rsid w:val="779944AF"/>
    <w:rsid w:val="78160310"/>
    <w:rsid w:val="785A54C0"/>
    <w:rsid w:val="78D32916"/>
    <w:rsid w:val="78FD6DDA"/>
    <w:rsid w:val="79DF4732"/>
    <w:rsid w:val="79EB254B"/>
    <w:rsid w:val="79F044D8"/>
    <w:rsid w:val="7AF4716D"/>
    <w:rsid w:val="7AF75924"/>
    <w:rsid w:val="7B2031F9"/>
    <w:rsid w:val="7B610513"/>
    <w:rsid w:val="7BA82ABD"/>
    <w:rsid w:val="7BB860EE"/>
    <w:rsid w:val="7C662D96"/>
    <w:rsid w:val="7C821F38"/>
    <w:rsid w:val="7CFD5C38"/>
    <w:rsid w:val="7D601AD6"/>
    <w:rsid w:val="7D713C29"/>
    <w:rsid w:val="7D797C2B"/>
    <w:rsid w:val="7D810EAC"/>
    <w:rsid w:val="7D955BFE"/>
    <w:rsid w:val="7DAC6A56"/>
    <w:rsid w:val="7E0230E5"/>
    <w:rsid w:val="7E1A3F8B"/>
    <w:rsid w:val="7E600661"/>
    <w:rsid w:val="7EA13F7B"/>
    <w:rsid w:val="7EC54DFF"/>
    <w:rsid w:val="7F4F181D"/>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toc 8"/>
    <w:basedOn w:val="1"/>
    <w:next w:val="1"/>
    <w:unhideWhenUsed/>
    <w:qFormat/>
    <w:uiPriority w:val="39"/>
    <w:pPr>
      <w:ind w:left="1680"/>
      <w:jc w:val="left"/>
    </w:pPr>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943</Words>
  <Characters>1140</Characters>
  <Lines>0</Lines>
  <Paragraphs>0</Paragraphs>
  <TotalTime>5</TotalTime>
  <ScaleCrop>false</ScaleCrop>
  <LinksUpToDate>false</LinksUpToDate>
  <CharactersWithSpaces>1190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2025-07-18T07:32:25Z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4AA2F08862FA4CE3915A8DBC408A7B67_13</vt:lpwstr>
  </property>
  <property fmtid="{D5CDD505-2E9C-101B-9397-08002B2CF9AE}" pid="4" name="KSOTemplateDocerSaveRecord">
    <vt:lpwstr>eyJoZGlkIjoiZGZjODNjNjE4Y2U2ZWJjYTMzYTk3NGZjY2FkYmE1ZGUiLCJ1c2VySWQiOiI2NjM1OTQ2NjkifQ==</vt:lpwstr>
  </property>
</Properties>
</file>