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8B44B">
      <w:pPr>
        <w:autoSpaceDE w:val="0"/>
        <w:autoSpaceDN w:val="0"/>
        <w:adjustRightInd w:val="0"/>
        <w:snapToGrid w:val="0"/>
        <w:spacing w:line="360" w:lineRule="auto"/>
        <w:jc w:val="center"/>
        <w:rPr>
          <w:rFonts w:hint="eastAsia" w:ascii="宋体" w:hAnsi="宋体" w:eastAsia="宋体" w:cs="宋体"/>
          <w:b/>
          <w:snapToGrid w:val="0"/>
          <w:color w:val="auto"/>
          <w:kern w:val="0"/>
          <w:sz w:val="44"/>
          <w:szCs w:val="44"/>
          <w:highlight w:val="none"/>
          <w:lang w:val="zh-CN"/>
        </w:rPr>
      </w:pPr>
      <w:bookmarkStart w:id="0" w:name="Content"/>
      <w:r>
        <w:rPr>
          <w:rFonts w:hint="eastAsia" w:ascii="宋体" w:hAnsi="宋体" w:eastAsia="宋体" w:cs="宋体"/>
          <w:b/>
          <w:snapToGrid w:val="0"/>
          <w:color w:val="auto"/>
          <w:kern w:val="0"/>
          <w:sz w:val="44"/>
          <w:szCs w:val="44"/>
          <w:highlight w:val="none"/>
          <w:u w:val="single"/>
          <w:lang w:val="zh-CN"/>
        </w:rPr>
        <w:t>杭州临江环境能源有限公司</w:t>
      </w:r>
    </w:p>
    <w:p w14:paraId="6E179BAD">
      <w:pPr>
        <w:autoSpaceDE w:val="0"/>
        <w:autoSpaceDN w:val="0"/>
        <w:adjustRightInd w:val="0"/>
        <w:snapToGrid w:val="0"/>
        <w:spacing w:line="360" w:lineRule="auto"/>
        <w:jc w:val="center"/>
        <w:rPr>
          <w:rFonts w:hint="eastAsia" w:ascii="宋体" w:hAnsi="宋体" w:eastAsia="宋体" w:cs="宋体"/>
          <w:snapToGrid w:val="0"/>
          <w:color w:val="auto"/>
          <w:kern w:val="0"/>
          <w:sz w:val="52"/>
          <w:szCs w:val="52"/>
          <w:highlight w:val="none"/>
        </w:rPr>
      </w:pPr>
      <w:r>
        <w:rPr>
          <w:rFonts w:hint="eastAsia" w:ascii="宋体" w:hAnsi="宋体" w:eastAsia="宋体" w:cs="宋体"/>
          <w:b/>
          <w:snapToGrid w:val="0"/>
          <w:color w:val="auto"/>
          <w:kern w:val="0"/>
          <w:sz w:val="44"/>
          <w:szCs w:val="44"/>
          <w:highlight w:val="none"/>
          <w:u w:val="single"/>
          <w:lang w:val="en-US" w:eastAsia="zh-CN"/>
        </w:rPr>
        <w:t>2025-2026年能源运行中心智能远程水表系统技术服务采购项目</w:t>
      </w:r>
    </w:p>
    <w:p w14:paraId="6AB5A496">
      <w:pPr>
        <w:autoSpaceDE w:val="0"/>
        <w:autoSpaceDN w:val="0"/>
        <w:adjustRightInd w:val="0"/>
        <w:snapToGrid w:val="0"/>
        <w:spacing w:line="360" w:lineRule="auto"/>
        <w:jc w:val="center"/>
        <w:rPr>
          <w:rFonts w:hint="eastAsia" w:ascii="宋体" w:hAnsi="宋体" w:eastAsia="宋体" w:cs="宋体"/>
          <w:bCs/>
          <w:snapToGrid w:val="0"/>
          <w:color w:val="auto"/>
          <w:kern w:val="0"/>
          <w:sz w:val="72"/>
          <w:szCs w:val="72"/>
          <w:highlight w:val="none"/>
        </w:rPr>
      </w:pPr>
      <w:r>
        <w:rPr>
          <w:rFonts w:hint="eastAsia" w:ascii="宋体" w:hAnsi="宋体" w:eastAsia="宋体" w:cs="宋体"/>
          <w:bCs/>
          <w:snapToGrid w:val="0"/>
          <w:color w:val="auto"/>
          <w:kern w:val="0"/>
          <w:sz w:val="72"/>
          <w:szCs w:val="72"/>
          <w:highlight w:val="none"/>
        </w:rPr>
        <w:t>招标文件</w:t>
      </w:r>
    </w:p>
    <w:p w14:paraId="3EB69649">
      <w:pPr>
        <w:autoSpaceDE w:val="0"/>
        <w:autoSpaceDN w:val="0"/>
        <w:adjustRightInd w:val="0"/>
        <w:snapToGrid w:val="0"/>
        <w:spacing w:line="360" w:lineRule="auto"/>
        <w:jc w:val="center"/>
        <w:rPr>
          <w:rFonts w:hint="eastAsia" w:ascii="宋体" w:hAnsi="宋体" w:eastAsia="宋体" w:cs="宋体"/>
          <w:b/>
          <w:snapToGrid w:val="0"/>
          <w:color w:val="auto"/>
          <w:kern w:val="0"/>
          <w:sz w:val="32"/>
          <w:szCs w:val="32"/>
          <w:highlight w:val="none"/>
        </w:rPr>
      </w:pPr>
    </w:p>
    <w:p w14:paraId="6A197B2F">
      <w:pPr>
        <w:autoSpaceDE w:val="0"/>
        <w:autoSpaceDN w:val="0"/>
        <w:adjustRightInd w:val="0"/>
        <w:snapToGrid w:val="0"/>
        <w:spacing w:line="360" w:lineRule="auto"/>
        <w:ind w:firstLine="2184" w:firstLineChars="700"/>
        <w:jc w:val="left"/>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kern w:val="0"/>
          <w:sz w:val="32"/>
          <w:szCs w:val="32"/>
          <w:highlight w:val="none"/>
        </w:rPr>
        <w:t>招标编号:</w:t>
      </w:r>
      <w:r>
        <w:rPr>
          <w:rFonts w:hint="eastAsia" w:ascii="宋体" w:hAnsi="宋体" w:eastAsia="宋体" w:cs="宋体"/>
          <w:b/>
          <w:snapToGrid w:val="0"/>
          <w:color w:val="auto"/>
          <w:kern w:val="0"/>
          <w:sz w:val="32"/>
          <w:szCs w:val="32"/>
          <w:highlight w:val="none"/>
          <w:u w:val="single"/>
        </w:rPr>
        <w:t xml:space="preserve">      </w:t>
      </w:r>
      <w:r>
        <w:rPr>
          <w:rFonts w:hint="eastAsia" w:ascii="宋体" w:hAnsi="宋体" w:eastAsia="宋体" w:cs="宋体"/>
          <w:b/>
          <w:snapToGrid w:val="0"/>
          <w:color w:val="auto"/>
          <w:kern w:val="0"/>
          <w:sz w:val="32"/>
          <w:szCs w:val="32"/>
          <w:highlight w:val="none"/>
          <w:u w:val="single"/>
          <w:lang w:val="en-US" w:eastAsia="zh-CN"/>
        </w:rPr>
        <w:t>NY-4FZB2506010</w:t>
      </w:r>
      <w:r>
        <w:rPr>
          <w:rFonts w:hint="eastAsia" w:ascii="宋体" w:hAnsi="宋体" w:eastAsia="宋体" w:cs="宋体"/>
          <w:b/>
          <w:snapToGrid w:val="0"/>
          <w:color w:val="auto"/>
          <w:kern w:val="0"/>
          <w:sz w:val="32"/>
          <w:szCs w:val="32"/>
          <w:highlight w:val="none"/>
          <w:u w:val="single"/>
        </w:rPr>
        <w:t xml:space="preserve">          </w:t>
      </w:r>
    </w:p>
    <w:p w14:paraId="7C586A7C">
      <w:pPr>
        <w:pStyle w:val="11"/>
        <w:snapToGrid w:val="0"/>
        <w:spacing w:line="360" w:lineRule="auto"/>
        <w:jc w:val="center"/>
        <w:rPr>
          <w:rFonts w:hint="eastAsia" w:ascii="宋体" w:hAnsi="宋体" w:eastAsia="宋体" w:cs="宋体"/>
          <w:snapToGrid w:val="0"/>
          <w:color w:val="auto"/>
          <w:kern w:val="0"/>
          <w:sz w:val="32"/>
          <w:highlight w:val="none"/>
        </w:rPr>
      </w:pPr>
    </w:p>
    <w:p w14:paraId="2E2B35E9">
      <w:pPr>
        <w:pStyle w:val="11"/>
        <w:snapToGrid w:val="0"/>
        <w:spacing w:line="360" w:lineRule="auto"/>
        <w:jc w:val="center"/>
        <w:rPr>
          <w:rFonts w:hint="eastAsia" w:ascii="宋体" w:hAnsi="宋体" w:eastAsia="宋体" w:cs="宋体"/>
          <w:snapToGrid w:val="0"/>
          <w:color w:val="auto"/>
          <w:kern w:val="0"/>
          <w:sz w:val="32"/>
          <w:highlight w:val="none"/>
        </w:rPr>
      </w:pPr>
    </w:p>
    <w:p w14:paraId="5FA64275">
      <w:pPr>
        <w:pStyle w:val="11"/>
        <w:snapToGrid w:val="0"/>
        <w:spacing w:line="360" w:lineRule="auto"/>
        <w:jc w:val="center"/>
        <w:rPr>
          <w:rFonts w:hint="eastAsia" w:ascii="宋体" w:hAnsi="宋体" w:eastAsia="宋体" w:cs="宋体"/>
          <w:snapToGrid w:val="0"/>
          <w:color w:val="auto"/>
          <w:kern w:val="0"/>
          <w:sz w:val="32"/>
          <w:highlight w:val="none"/>
        </w:rPr>
      </w:pPr>
    </w:p>
    <w:p w14:paraId="64318903">
      <w:pPr>
        <w:pStyle w:val="11"/>
        <w:snapToGrid w:val="0"/>
        <w:spacing w:line="360" w:lineRule="auto"/>
        <w:jc w:val="center"/>
        <w:rPr>
          <w:rFonts w:hint="eastAsia" w:ascii="宋体" w:hAnsi="宋体" w:eastAsia="宋体" w:cs="宋体"/>
          <w:snapToGrid w:val="0"/>
          <w:color w:val="auto"/>
          <w:kern w:val="0"/>
          <w:sz w:val="32"/>
          <w:highlight w:val="none"/>
        </w:rPr>
      </w:pPr>
    </w:p>
    <w:p w14:paraId="18B523E7">
      <w:pPr>
        <w:pStyle w:val="11"/>
        <w:snapToGrid w:val="0"/>
        <w:spacing w:line="360" w:lineRule="auto"/>
        <w:jc w:val="center"/>
        <w:rPr>
          <w:rFonts w:hint="eastAsia" w:ascii="宋体" w:hAnsi="宋体" w:eastAsia="宋体" w:cs="宋体"/>
          <w:snapToGrid w:val="0"/>
          <w:color w:val="auto"/>
          <w:kern w:val="0"/>
          <w:sz w:val="32"/>
          <w:highlight w:val="none"/>
        </w:rPr>
      </w:pPr>
    </w:p>
    <w:p w14:paraId="4FCC9C0F">
      <w:pPr>
        <w:pStyle w:val="11"/>
        <w:snapToGrid w:val="0"/>
        <w:spacing w:line="360" w:lineRule="auto"/>
        <w:jc w:val="center"/>
        <w:rPr>
          <w:rFonts w:hint="eastAsia" w:ascii="宋体" w:hAnsi="宋体" w:eastAsia="宋体" w:cs="宋体"/>
          <w:snapToGrid w:val="0"/>
          <w:color w:val="auto"/>
          <w:kern w:val="0"/>
          <w:sz w:val="32"/>
          <w:highlight w:val="none"/>
        </w:rPr>
      </w:pPr>
    </w:p>
    <w:tbl>
      <w:tblPr>
        <w:tblStyle w:val="25"/>
        <w:tblW w:w="9099" w:type="dxa"/>
        <w:jc w:val="center"/>
        <w:tblLayout w:type="fixed"/>
        <w:tblCellMar>
          <w:top w:w="0" w:type="dxa"/>
          <w:left w:w="108" w:type="dxa"/>
          <w:bottom w:w="0" w:type="dxa"/>
          <w:right w:w="108" w:type="dxa"/>
        </w:tblCellMar>
      </w:tblPr>
      <w:tblGrid>
        <w:gridCol w:w="2376"/>
        <w:gridCol w:w="6723"/>
      </w:tblGrid>
      <w:tr w14:paraId="72D45510">
        <w:tblPrEx>
          <w:tblCellMar>
            <w:top w:w="0" w:type="dxa"/>
            <w:left w:w="108" w:type="dxa"/>
            <w:bottom w:w="0" w:type="dxa"/>
            <w:right w:w="108" w:type="dxa"/>
          </w:tblCellMar>
        </w:tblPrEx>
        <w:trPr>
          <w:trHeight w:val="822" w:hRule="atLeast"/>
          <w:jc w:val="center"/>
        </w:trPr>
        <w:tc>
          <w:tcPr>
            <w:tcW w:w="2376" w:type="dxa"/>
            <w:noWrap w:val="0"/>
            <w:vAlign w:val="center"/>
          </w:tcPr>
          <w:p w14:paraId="25F9270B">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rPr>
              <w:t>招 标 人：</w:t>
            </w:r>
          </w:p>
        </w:tc>
        <w:tc>
          <w:tcPr>
            <w:tcW w:w="6723" w:type="dxa"/>
            <w:noWrap w:val="0"/>
            <w:vAlign w:val="center"/>
          </w:tcPr>
          <w:p w14:paraId="7EB0FC7D">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u w:val="single"/>
                <w:lang w:val="en-US" w:eastAsia="zh-CN"/>
              </w:rPr>
              <w:t xml:space="preserve">  </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color w:val="auto"/>
                <w:kern w:val="0"/>
                <w:sz w:val="32"/>
                <w:highlight w:val="none"/>
                <w:u w:val="single"/>
                <w:lang w:val="en-US" w:eastAsia="zh-CN"/>
              </w:rPr>
              <w:t xml:space="preserve">  </w:t>
            </w:r>
            <w:r>
              <w:rPr>
                <w:rFonts w:hint="eastAsia" w:ascii="宋体" w:hAnsi="宋体" w:eastAsia="宋体" w:cs="宋体"/>
                <w:snapToGrid w:val="0"/>
                <w:color w:val="auto"/>
                <w:kern w:val="0"/>
                <w:sz w:val="32"/>
                <w:highlight w:val="none"/>
              </w:rPr>
              <w:t>（盖单位公章）</w:t>
            </w:r>
          </w:p>
        </w:tc>
      </w:tr>
      <w:tr w14:paraId="51639F24">
        <w:tblPrEx>
          <w:tblCellMar>
            <w:top w:w="0" w:type="dxa"/>
            <w:left w:w="108" w:type="dxa"/>
            <w:bottom w:w="0" w:type="dxa"/>
            <w:right w:w="108" w:type="dxa"/>
          </w:tblCellMar>
        </w:tblPrEx>
        <w:trPr>
          <w:trHeight w:val="694" w:hRule="atLeast"/>
          <w:jc w:val="center"/>
        </w:trPr>
        <w:tc>
          <w:tcPr>
            <w:tcW w:w="2376" w:type="dxa"/>
            <w:noWrap w:val="0"/>
            <w:vAlign w:val="center"/>
          </w:tcPr>
          <w:p w14:paraId="03DED919">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rPr>
              <w:t>招标代理：</w:t>
            </w:r>
          </w:p>
        </w:tc>
        <w:tc>
          <w:tcPr>
            <w:tcW w:w="6723" w:type="dxa"/>
            <w:noWrap w:val="0"/>
            <w:vAlign w:val="center"/>
          </w:tcPr>
          <w:p w14:paraId="08144759">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u w:val="single"/>
                <w:lang w:val="en-US" w:eastAsia="zh-CN"/>
              </w:rPr>
              <w:t xml:space="preserve">  浙江建友工程咨询有限公司 </w:t>
            </w:r>
            <w:r>
              <w:rPr>
                <w:rFonts w:hint="eastAsia" w:ascii="宋体" w:hAnsi="宋体" w:eastAsia="宋体" w:cs="宋体"/>
                <w:snapToGrid w:val="0"/>
                <w:color w:val="auto"/>
                <w:kern w:val="0"/>
                <w:sz w:val="32"/>
                <w:highlight w:val="none"/>
              </w:rPr>
              <w:t>（盖单位公章）</w:t>
            </w:r>
          </w:p>
        </w:tc>
      </w:tr>
      <w:tr w14:paraId="7292290E">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6C174F24">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lang w:val="en-US" w:eastAsia="zh-CN"/>
              </w:rPr>
            </w:pPr>
            <w:r>
              <w:rPr>
                <w:rFonts w:hint="eastAsia" w:ascii="宋体" w:hAnsi="宋体" w:eastAsia="宋体" w:cs="宋体"/>
                <w:snapToGrid w:val="0"/>
                <w:color w:val="auto"/>
                <w:sz w:val="32"/>
                <w:highlight w:val="none"/>
              </w:rPr>
              <w:t>日期：</w:t>
            </w:r>
            <w:r>
              <w:rPr>
                <w:rFonts w:hint="eastAsia" w:hAnsi="宋体" w:cs="宋体"/>
                <w:snapToGrid w:val="0"/>
                <w:color w:val="auto"/>
                <w:sz w:val="32"/>
                <w:highlight w:val="none"/>
                <w:lang w:val="en-US" w:eastAsia="zh-CN"/>
              </w:rPr>
              <w:t>2025</w:t>
            </w:r>
            <w:r>
              <w:rPr>
                <w:rFonts w:hint="eastAsia" w:ascii="宋体" w:hAnsi="宋体" w:eastAsia="宋体" w:cs="宋体"/>
                <w:snapToGrid w:val="0"/>
                <w:color w:val="auto"/>
                <w:kern w:val="0"/>
                <w:sz w:val="32"/>
                <w:highlight w:val="none"/>
              </w:rPr>
              <w:t>年</w:t>
            </w:r>
            <w:r>
              <w:rPr>
                <w:rFonts w:hint="eastAsia" w:hAnsi="宋体" w:cs="宋体"/>
                <w:snapToGrid w:val="0"/>
                <w:color w:val="auto"/>
                <w:kern w:val="0"/>
                <w:sz w:val="32"/>
                <w:highlight w:val="none"/>
                <w:lang w:val="en-US" w:eastAsia="zh-CN"/>
              </w:rPr>
              <w:t>6</w:t>
            </w:r>
            <w:r>
              <w:rPr>
                <w:rFonts w:hint="eastAsia" w:ascii="宋体" w:hAnsi="宋体" w:eastAsia="宋体" w:cs="宋体"/>
                <w:snapToGrid w:val="0"/>
                <w:color w:val="auto"/>
                <w:kern w:val="0"/>
                <w:sz w:val="32"/>
                <w:highlight w:val="none"/>
              </w:rPr>
              <w:t>月</w:t>
            </w:r>
            <w:r>
              <w:rPr>
                <w:rFonts w:hint="eastAsia" w:hAnsi="宋体" w:cs="宋体"/>
                <w:snapToGrid w:val="0"/>
                <w:color w:val="auto"/>
                <w:kern w:val="0"/>
                <w:sz w:val="32"/>
                <w:highlight w:val="none"/>
                <w:lang w:val="en-US" w:eastAsia="zh-CN"/>
              </w:rPr>
              <w:t>23</w:t>
            </w:r>
            <w:r>
              <w:rPr>
                <w:rFonts w:hint="eastAsia" w:ascii="宋体" w:hAnsi="宋体" w:eastAsia="宋体" w:cs="宋体"/>
                <w:snapToGrid w:val="0"/>
                <w:color w:val="auto"/>
                <w:kern w:val="0"/>
                <w:sz w:val="32"/>
                <w:highlight w:val="none"/>
                <w:lang w:val="en-US" w:eastAsia="zh-CN"/>
              </w:rPr>
              <w:t>日</w:t>
            </w:r>
          </w:p>
        </w:tc>
      </w:tr>
    </w:tbl>
    <w:p w14:paraId="3F212ADA">
      <w:pPr>
        <w:spacing w:line="560" w:lineRule="exact"/>
        <w:jc w:val="center"/>
        <w:rPr>
          <w:rFonts w:hint="eastAsia" w:ascii="宋体" w:hAnsi="宋体" w:eastAsia="宋体" w:cs="宋体"/>
          <w:b/>
          <w:bCs/>
          <w:i w:val="0"/>
          <w:iCs w:val="0"/>
          <w:color w:val="auto"/>
          <w:sz w:val="44"/>
          <w:szCs w:val="44"/>
          <w:highlight w:val="none"/>
        </w:rPr>
      </w:pPr>
    </w:p>
    <w:p w14:paraId="3ACD9B04">
      <w:pPr>
        <w:widowControl/>
        <w:jc w:val="left"/>
        <w:rPr>
          <w:rFonts w:hint="eastAsia" w:ascii="宋体" w:hAnsi="宋体" w:eastAsia="宋体" w:cs="宋体"/>
          <w:b/>
          <w:bCs/>
          <w:color w:val="auto"/>
          <w:sz w:val="32"/>
          <w:szCs w:val="32"/>
          <w:highlight w:val="none"/>
        </w:rPr>
        <w:sectPr>
          <w:pgSz w:w="11906" w:h="16838"/>
          <w:pgMar w:top="2098" w:right="1474" w:bottom="1985" w:left="1588" w:header="851" w:footer="737" w:gutter="0"/>
          <w:cols w:space="720" w:num="1"/>
          <w:docGrid w:type="linesAndChars" w:linePitch="579" w:charSpace="-1683"/>
        </w:sectPr>
      </w:pPr>
    </w:p>
    <w:p w14:paraId="3CD5AF27">
      <w:pPr>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14:paraId="670E955D">
      <w:pPr>
        <w:rPr>
          <w:rFonts w:hint="eastAsia" w:ascii="宋体" w:hAnsi="宋体" w:eastAsia="宋体" w:cs="宋体"/>
          <w:color w:val="auto"/>
          <w:highlight w:val="none"/>
        </w:rPr>
      </w:pPr>
    </w:p>
    <w:p w14:paraId="5903018D">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36"/>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 w:val="28"/>
          <w:szCs w:val="36"/>
          <w:highlight w:val="none"/>
        </w:rPr>
        <w:fldChar w:fldCharType="begin"/>
      </w:r>
      <w:r>
        <w:rPr>
          <w:rFonts w:hint="eastAsia" w:ascii="宋体" w:hAnsi="宋体" w:eastAsia="宋体" w:cs="宋体"/>
          <w:bCs w:val="0"/>
          <w:color w:val="auto"/>
          <w:sz w:val="28"/>
          <w:szCs w:val="36"/>
          <w:highlight w:val="none"/>
        </w:rPr>
        <w:instrText xml:space="preserve"> HYPERLINK \l _Toc23720 </w:instrText>
      </w:r>
      <w:r>
        <w:rPr>
          <w:rFonts w:hint="eastAsia" w:ascii="宋体" w:hAnsi="宋体" w:eastAsia="宋体" w:cs="宋体"/>
          <w:bCs w:val="0"/>
          <w:color w:val="auto"/>
          <w:sz w:val="28"/>
          <w:szCs w:val="36"/>
          <w:highlight w:val="none"/>
        </w:rPr>
        <w:fldChar w:fldCharType="separate"/>
      </w:r>
      <w:r>
        <w:rPr>
          <w:rFonts w:hint="eastAsia" w:ascii="宋体" w:hAnsi="宋体" w:eastAsia="宋体" w:cs="宋体"/>
          <w:bCs w:val="0"/>
          <w:color w:val="auto"/>
          <w:kern w:val="0"/>
          <w:sz w:val="28"/>
          <w:szCs w:val="44"/>
          <w:highlight w:val="none"/>
        </w:rPr>
        <w:t xml:space="preserve">第一章 </w:t>
      </w:r>
      <w:r>
        <w:rPr>
          <w:rFonts w:hint="eastAsia" w:ascii="宋体" w:hAnsi="宋体" w:eastAsia="宋体" w:cs="宋体"/>
          <w:bCs w:val="0"/>
          <w:color w:val="auto"/>
          <w:kern w:val="0"/>
          <w:sz w:val="28"/>
          <w:szCs w:val="44"/>
          <w:highlight w:val="none"/>
          <w:lang w:val="en-US" w:eastAsia="zh-CN"/>
        </w:rPr>
        <w:t xml:space="preserve"> </w:t>
      </w:r>
      <w:r>
        <w:rPr>
          <w:rFonts w:hint="eastAsia" w:ascii="宋体" w:hAnsi="宋体" w:eastAsia="宋体" w:cs="宋体"/>
          <w:bCs w:val="0"/>
          <w:color w:val="auto"/>
          <w:kern w:val="0"/>
          <w:sz w:val="28"/>
          <w:szCs w:val="44"/>
          <w:highlight w:val="none"/>
        </w:rPr>
        <w:t>招标公告</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_Toc23720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2</w:t>
      </w:r>
      <w:r>
        <w:rPr>
          <w:rFonts w:hint="eastAsia" w:ascii="宋体" w:hAnsi="宋体" w:eastAsia="宋体" w:cs="宋体"/>
          <w:color w:val="auto"/>
          <w:sz w:val="28"/>
          <w:szCs w:val="36"/>
          <w:highlight w:val="none"/>
        </w:rPr>
        <w:fldChar w:fldCharType="end"/>
      </w:r>
      <w:r>
        <w:rPr>
          <w:rFonts w:hint="eastAsia" w:ascii="宋体" w:hAnsi="宋体" w:eastAsia="宋体" w:cs="宋体"/>
          <w:bCs w:val="0"/>
          <w:color w:val="auto"/>
          <w:sz w:val="28"/>
          <w:szCs w:val="36"/>
          <w:highlight w:val="none"/>
        </w:rPr>
        <w:fldChar w:fldCharType="end"/>
      </w:r>
    </w:p>
    <w:p w14:paraId="7C0BE963">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_Toc4456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val="0"/>
          <w:color w:val="auto"/>
          <w:kern w:val="0"/>
          <w:sz w:val="28"/>
          <w:szCs w:val="44"/>
          <w:highlight w:val="none"/>
        </w:rPr>
        <w:t>第二章</w:t>
      </w:r>
      <w:r>
        <w:rPr>
          <w:rFonts w:hint="eastAsia" w:ascii="宋体" w:hAnsi="宋体" w:eastAsia="宋体" w:cs="宋体"/>
          <w:bCs w:val="0"/>
          <w:color w:val="auto"/>
          <w:kern w:val="0"/>
          <w:sz w:val="28"/>
          <w:szCs w:val="44"/>
          <w:highlight w:val="none"/>
          <w:lang w:val="en-US" w:eastAsia="zh-CN"/>
        </w:rPr>
        <w:t xml:space="preserve"> </w:t>
      </w:r>
      <w:r>
        <w:rPr>
          <w:rFonts w:hint="eastAsia" w:ascii="宋体" w:hAnsi="宋体" w:eastAsia="宋体" w:cs="宋体"/>
          <w:bCs w:val="0"/>
          <w:color w:val="auto"/>
          <w:kern w:val="0"/>
          <w:sz w:val="28"/>
          <w:szCs w:val="44"/>
          <w:highlight w:val="none"/>
        </w:rPr>
        <w:t xml:space="preserve"> 投标人须知</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_Toc4456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6</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02D6FA31">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_Toc5721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z w:val="28"/>
          <w:szCs w:val="36"/>
          <w:highlight w:val="none"/>
        </w:rPr>
        <w:t xml:space="preserve">第三章 </w:t>
      </w:r>
      <w:r>
        <w:rPr>
          <w:rFonts w:hint="eastAsia" w:ascii="宋体" w:hAnsi="宋体" w:eastAsia="宋体" w:cs="宋体"/>
          <w:bCs/>
          <w:color w:val="auto"/>
          <w:sz w:val="28"/>
          <w:szCs w:val="36"/>
          <w:highlight w:val="none"/>
          <w:lang w:val="en-US" w:eastAsia="zh-CN"/>
        </w:rPr>
        <w:t xml:space="preserve"> </w:t>
      </w:r>
      <w:r>
        <w:rPr>
          <w:rFonts w:hint="eastAsia" w:ascii="宋体" w:hAnsi="宋体" w:eastAsia="宋体" w:cs="宋体"/>
          <w:bCs/>
          <w:color w:val="auto"/>
          <w:sz w:val="28"/>
          <w:szCs w:val="36"/>
          <w:highlight w:val="none"/>
        </w:rPr>
        <w:t>用户需求</w:t>
      </w:r>
      <w:r>
        <w:rPr>
          <w:rFonts w:hint="eastAsia" w:ascii="宋体" w:hAnsi="宋体" w:eastAsia="宋体" w:cs="宋体"/>
          <w:bCs/>
          <w:color w:val="auto"/>
          <w:sz w:val="28"/>
          <w:szCs w:val="36"/>
          <w:highlight w:val="none"/>
          <w:lang w:val="en-US" w:eastAsia="zh-CN"/>
        </w:rPr>
        <w:t>及技术要求</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_Toc5721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24</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2F6F1280">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_Toc3768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kern w:val="44"/>
          <w:sz w:val="28"/>
          <w:szCs w:val="56"/>
          <w:highlight w:val="none"/>
        </w:rPr>
        <w:t xml:space="preserve">第四章 </w:t>
      </w:r>
      <w:r>
        <w:rPr>
          <w:rFonts w:hint="eastAsia" w:ascii="宋体" w:hAnsi="宋体" w:eastAsia="宋体" w:cs="宋体"/>
          <w:bCs/>
          <w:color w:val="auto"/>
          <w:kern w:val="44"/>
          <w:sz w:val="28"/>
          <w:szCs w:val="56"/>
          <w:highlight w:val="none"/>
          <w:lang w:val="en-US" w:eastAsia="zh-CN"/>
        </w:rPr>
        <w:t xml:space="preserve"> </w:t>
      </w:r>
      <w:r>
        <w:rPr>
          <w:rFonts w:hint="eastAsia" w:ascii="宋体" w:hAnsi="宋体" w:eastAsia="宋体" w:cs="宋体"/>
          <w:bCs/>
          <w:color w:val="auto"/>
          <w:kern w:val="44"/>
          <w:sz w:val="28"/>
          <w:szCs w:val="56"/>
          <w:highlight w:val="none"/>
        </w:rPr>
        <w:t>评标方法及评价标准</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_Toc3768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33</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0B5CD5C4">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_Toc21192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kern w:val="44"/>
          <w:sz w:val="28"/>
          <w:szCs w:val="56"/>
          <w:highlight w:val="none"/>
        </w:rPr>
        <w:t>第五章 投标文件格式</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_Toc21192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38</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6EC54C9C">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_Toc22500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kern w:val="44"/>
          <w:sz w:val="28"/>
          <w:szCs w:val="44"/>
          <w:highlight w:val="none"/>
        </w:rPr>
        <w:t>第六章  合同条款及格式（仅供参考，以实际签订为准）</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_Toc22500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61</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1F0FE30F">
      <w:pPr>
        <w:pStyle w:val="16"/>
        <w:tabs>
          <w:tab w:val="right" w:leader="dot" w:pos="9746"/>
        </w:tabs>
        <w:rPr>
          <w:rFonts w:hint="eastAsia" w:ascii="宋体" w:hAnsi="宋体" w:eastAsia="宋体" w:cs="宋体"/>
          <w:color w:val="auto"/>
          <w:highlight w:val="none"/>
        </w:rPr>
      </w:pPr>
    </w:p>
    <w:p w14:paraId="3C6E9148">
      <w:pPr>
        <w:widowControl/>
        <w:spacing w:line="480" w:lineRule="exact"/>
        <w:jc w:val="center"/>
        <w:outlineLvl w:val="9"/>
        <w:rPr>
          <w:rFonts w:hint="eastAsia" w:ascii="宋体" w:hAnsi="宋体" w:eastAsia="宋体" w:cs="宋体"/>
          <w:color w:val="auto"/>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color w:val="auto"/>
          <w:highlight w:val="none"/>
        </w:rPr>
        <w:fldChar w:fldCharType="end"/>
      </w:r>
    </w:p>
    <w:p w14:paraId="0428E252">
      <w:pPr>
        <w:widowControl/>
        <w:spacing w:line="480" w:lineRule="exact"/>
        <w:jc w:val="center"/>
        <w:outlineLvl w:val="0"/>
        <w:rPr>
          <w:rFonts w:hint="eastAsia" w:ascii="宋体" w:hAnsi="宋体" w:eastAsia="宋体" w:cs="宋体"/>
          <w:b/>
          <w:bCs/>
          <w:color w:val="auto"/>
          <w:kern w:val="0"/>
          <w:sz w:val="32"/>
          <w:szCs w:val="32"/>
          <w:highlight w:val="none"/>
        </w:rPr>
      </w:pPr>
      <w:bookmarkStart w:id="1" w:name="_Toc23720"/>
      <w:r>
        <w:rPr>
          <w:rFonts w:hint="eastAsia" w:ascii="宋体" w:hAnsi="宋体" w:eastAsia="宋体" w:cs="宋体"/>
          <w:b/>
          <w:bCs/>
          <w:color w:val="auto"/>
          <w:kern w:val="0"/>
          <w:sz w:val="32"/>
          <w:szCs w:val="32"/>
          <w:highlight w:val="none"/>
        </w:rPr>
        <w:t>第一章 招标公告</w:t>
      </w:r>
      <w:bookmarkEnd w:id="1"/>
    </w:p>
    <w:p w14:paraId="6DF7D71A">
      <w:pPr>
        <w:pStyle w:val="20"/>
        <w:adjustRightInd w:val="0"/>
        <w:snapToGrid w:val="0"/>
        <w:spacing w:before="0" w:beforeAutospacing="0" w:after="0" w:afterAutospacing="0"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lang w:val="en-US" w:eastAsia="zh-CN"/>
        </w:rPr>
        <w:t xml:space="preserve">杭州临江环境能源有限公司  </w:t>
      </w:r>
      <w:r>
        <w:rPr>
          <w:rFonts w:hint="eastAsia" w:ascii="宋体" w:hAnsi="宋体" w:eastAsia="宋体" w:cs="宋体"/>
          <w:color w:val="auto"/>
          <w:sz w:val="22"/>
          <w:szCs w:val="22"/>
          <w:highlight w:val="none"/>
          <w:lang w:val="zh-CN"/>
        </w:rPr>
        <w:t>委托</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lang w:val="zh-CN" w:eastAsia="zh-CN"/>
        </w:rPr>
        <w:t>浙江建友工程咨询有限公司</w:t>
      </w:r>
      <w:r>
        <w:rPr>
          <w:rFonts w:hint="eastAsia" w:ascii="宋体" w:hAnsi="宋体" w:eastAsia="宋体" w:cs="宋体"/>
          <w:color w:val="auto"/>
          <w:sz w:val="22"/>
          <w:szCs w:val="22"/>
          <w:highlight w:val="none"/>
          <w:lang w:val="zh-CN"/>
        </w:rPr>
        <w:t>，对</w:t>
      </w:r>
      <w:r>
        <w:rPr>
          <w:rFonts w:hint="eastAsia" w:ascii="宋体" w:hAnsi="宋体" w:eastAsia="宋体" w:cs="宋体"/>
          <w:color w:val="auto"/>
          <w:sz w:val="22"/>
          <w:szCs w:val="22"/>
          <w:highlight w:val="none"/>
          <w:u w:val="single"/>
          <w:lang w:val="zh-CN"/>
        </w:rPr>
        <w:t xml:space="preserve"> </w:t>
      </w:r>
      <w:r>
        <w:rPr>
          <w:rFonts w:hint="eastAsia" w:cs="宋体"/>
          <w:color w:val="auto"/>
          <w:sz w:val="22"/>
          <w:szCs w:val="22"/>
          <w:highlight w:val="none"/>
          <w:u w:val="single"/>
          <w:lang w:val="zh-CN"/>
        </w:rPr>
        <w:t>2025-2026年能源运行中心智能远程水表系统技术服务采购项目</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zh-CN"/>
        </w:rPr>
        <w:t>进行</w:t>
      </w:r>
      <w:r>
        <w:rPr>
          <w:rFonts w:hint="eastAsia" w:ascii="宋体" w:hAnsi="宋体" w:eastAsia="宋体" w:cs="宋体"/>
          <w:color w:val="auto"/>
          <w:sz w:val="22"/>
          <w:szCs w:val="22"/>
          <w:highlight w:val="none"/>
          <w:u w:val="single"/>
          <w:lang w:val="zh-CN"/>
        </w:rPr>
        <w:t>公开招标</w:t>
      </w:r>
      <w:r>
        <w:rPr>
          <w:rFonts w:hint="eastAsia" w:ascii="宋体" w:hAnsi="宋体" w:eastAsia="宋体" w:cs="宋体"/>
          <w:color w:val="auto"/>
          <w:sz w:val="22"/>
          <w:szCs w:val="22"/>
          <w:highlight w:val="none"/>
          <w:lang w:val="zh-CN"/>
        </w:rPr>
        <w:t>，欢迎对本项目有兴趣并</w:t>
      </w:r>
      <w:r>
        <w:rPr>
          <w:rFonts w:hint="eastAsia" w:ascii="宋体" w:hAnsi="宋体" w:eastAsia="宋体" w:cs="宋体"/>
          <w:color w:val="auto"/>
          <w:sz w:val="22"/>
          <w:szCs w:val="22"/>
          <w:highlight w:val="none"/>
          <w:lang w:val="en-US" w:eastAsia="zh-CN"/>
        </w:rPr>
        <w:t>符合投标人资格条件</w:t>
      </w:r>
      <w:r>
        <w:rPr>
          <w:rFonts w:hint="eastAsia" w:ascii="宋体" w:hAnsi="宋体" w:eastAsia="宋体" w:cs="宋体"/>
          <w:color w:val="auto"/>
          <w:sz w:val="22"/>
          <w:szCs w:val="22"/>
          <w:highlight w:val="none"/>
          <w:lang w:val="zh-CN"/>
        </w:rPr>
        <w:t>的</w:t>
      </w:r>
      <w:r>
        <w:rPr>
          <w:rFonts w:hint="eastAsia" w:ascii="宋体" w:hAnsi="宋体" w:eastAsia="宋体" w:cs="宋体"/>
          <w:color w:val="auto"/>
          <w:sz w:val="22"/>
          <w:szCs w:val="22"/>
          <w:highlight w:val="none"/>
          <w:lang w:val="zh-CN" w:eastAsia="zh-CN"/>
        </w:rPr>
        <w:t>投标人</w:t>
      </w:r>
      <w:r>
        <w:rPr>
          <w:rFonts w:hint="eastAsia" w:ascii="宋体" w:hAnsi="宋体" w:eastAsia="宋体" w:cs="宋体"/>
          <w:color w:val="auto"/>
          <w:sz w:val="22"/>
          <w:szCs w:val="22"/>
          <w:highlight w:val="none"/>
          <w:lang w:val="zh-CN"/>
        </w:rPr>
        <w:t>参加投标。具体如下：</w:t>
      </w:r>
    </w:p>
    <w:p w14:paraId="28002CD4">
      <w:pPr>
        <w:pStyle w:val="20"/>
        <w:adjustRightInd w:val="0"/>
        <w:snapToGrid w:val="0"/>
        <w:spacing w:before="0" w:beforeAutospacing="0" w:after="0" w:afterAutospacing="0" w:line="360" w:lineRule="auto"/>
        <w:ind w:firstLine="442"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en-US" w:eastAsia="zh-CN"/>
        </w:rPr>
        <w:t>招标编号</w:t>
      </w:r>
      <w:r>
        <w:rPr>
          <w:rFonts w:hint="eastAsia" w:ascii="宋体" w:hAnsi="宋体" w:eastAsia="宋体" w:cs="宋体"/>
          <w:b/>
          <w:bCs/>
          <w:color w:val="auto"/>
          <w:sz w:val="22"/>
          <w:szCs w:val="22"/>
          <w:highlight w:val="none"/>
        </w:rPr>
        <w:t>：</w:t>
      </w:r>
      <w:r>
        <w:rPr>
          <w:rFonts w:hint="eastAsia" w:ascii="宋体" w:hAnsi="宋体" w:eastAsia="宋体" w:cs="宋体"/>
          <w:bCs/>
          <w:color w:val="auto"/>
          <w:sz w:val="22"/>
          <w:szCs w:val="22"/>
          <w:highlight w:val="none"/>
          <w:u w:val="single"/>
        </w:rPr>
        <w:t xml:space="preserve">   </w:t>
      </w:r>
      <w:r>
        <w:rPr>
          <w:rFonts w:hint="eastAsia" w:cs="宋体"/>
          <w:bCs/>
          <w:color w:val="auto"/>
          <w:sz w:val="22"/>
          <w:szCs w:val="22"/>
          <w:highlight w:val="none"/>
          <w:u w:val="single"/>
          <w:lang w:eastAsia="zh-CN"/>
        </w:rPr>
        <w:t>NY-4FZB2506010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u w:val="none"/>
          <w:lang w:eastAsia="zh-CN"/>
        </w:rPr>
        <w:t>。</w:t>
      </w:r>
    </w:p>
    <w:p w14:paraId="4BE20929">
      <w:pPr>
        <w:pStyle w:val="20"/>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highlight w:val="none"/>
          <w:u w:val="single"/>
          <w:lang w:eastAsia="zh-CN"/>
        </w:rPr>
      </w:pPr>
      <w:r>
        <w:rPr>
          <w:rFonts w:hint="eastAsia" w:ascii="宋体" w:hAnsi="宋体" w:eastAsia="宋体" w:cs="宋体"/>
          <w:b/>
          <w:bCs/>
          <w:color w:val="auto"/>
          <w:sz w:val="22"/>
          <w:szCs w:val="22"/>
          <w:highlight w:val="none"/>
        </w:rPr>
        <w:t>2、项目</w:t>
      </w:r>
      <w:r>
        <w:rPr>
          <w:rFonts w:hint="eastAsia" w:ascii="宋体" w:hAnsi="宋体" w:eastAsia="宋体" w:cs="宋体"/>
          <w:b/>
          <w:bCs/>
          <w:color w:val="auto"/>
          <w:sz w:val="22"/>
          <w:szCs w:val="22"/>
          <w:highlight w:val="none"/>
          <w:lang w:val="en-US" w:eastAsia="zh-CN"/>
        </w:rPr>
        <w:t>名称</w:t>
      </w:r>
      <w:r>
        <w:rPr>
          <w:rFonts w:hint="eastAsia" w:ascii="宋体" w:hAnsi="宋体" w:eastAsia="宋体" w:cs="宋体"/>
          <w:b/>
          <w:bCs/>
          <w:color w:val="auto"/>
          <w:sz w:val="22"/>
          <w:szCs w:val="22"/>
          <w:highlight w:val="none"/>
        </w:rPr>
        <w:t>：</w:t>
      </w:r>
      <w:r>
        <w:rPr>
          <w:rFonts w:hint="eastAsia" w:ascii="宋体" w:hAnsi="宋体" w:eastAsia="宋体" w:cs="宋体"/>
          <w:bCs/>
          <w:color w:val="auto"/>
          <w:sz w:val="22"/>
          <w:szCs w:val="22"/>
          <w:highlight w:val="none"/>
          <w:u w:val="single"/>
        </w:rPr>
        <w:t xml:space="preserve"> </w:t>
      </w:r>
      <w:r>
        <w:rPr>
          <w:rFonts w:hint="eastAsia" w:cs="宋体"/>
          <w:bCs/>
          <w:color w:val="auto"/>
          <w:sz w:val="22"/>
          <w:szCs w:val="22"/>
          <w:highlight w:val="none"/>
          <w:u w:val="single"/>
          <w:lang w:eastAsia="zh-CN"/>
        </w:rPr>
        <w:t>2025-2026年能源运行中心智能远程水表系统技术服务采购项目</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none"/>
          <w:lang w:eastAsia="zh-CN"/>
        </w:rPr>
        <w:t>。</w:t>
      </w:r>
    </w:p>
    <w:p w14:paraId="307F60BB">
      <w:pPr>
        <w:pStyle w:val="20"/>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highlight w:val="none"/>
          <w:u w:val="singl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、项目</w:t>
      </w:r>
      <w:r>
        <w:rPr>
          <w:rFonts w:hint="eastAsia" w:ascii="宋体" w:hAnsi="宋体" w:eastAsia="宋体" w:cs="宋体"/>
          <w:b/>
          <w:bCs/>
          <w:color w:val="auto"/>
          <w:sz w:val="22"/>
          <w:szCs w:val="22"/>
          <w:highlight w:val="none"/>
          <w:lang w:val="en-US" w:eastAsia="zh-CN"/>
        </w:rPr>
        <w:t>地点</w:t>
      </w:r>
      <w:r>
        <w:rPr>
          <w:rFonts w:hint="eastAsia" w:ascii="宋体" w:hAnsi="宋体" w:eastAsia="宋体" w:cs="宋体"/>
          <w:b/>
          <w:bCs/>
          <w:color w:val="auto"/>
          <w:sz w:val="22"/>
          <w:szCs w:val="22"/>
          <w:highlight w:val="none"/>
        </w:rPr>
        <w:t>：</w:t>
      </w:r>
      <w:r>
        <w:rPr>
          <w:rFonts w:hint="eastAsia" w:ascii="宋体" w:hAnsi="宋体" w:eastAsia="宋体" w:cs="宋体"/>
          <w:bCs/>
          <w:color w:val="auto"/>
          <w:sz w:val="22"/>
          <w:szCs w:val="22"/>
          <w:highlight w:val="none"/>
          <w:u w:val="single"/>
        </w:rPr>
        <w:t xml:space="preserve">  杭州市钱塘区临江街道临江循环经济产业园内</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u w:val="none"/>
          <w:lang w:eastAsia="zh-CN"/>
        </w:rPr>
        <w:t>。</w:t>
      </w:r>
    </w:p>
    <w:p w14:paraId="60F1C843">
      <w:pPr>
        <w:pStyle w:val="20"/>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highlight w:val="none"/>
          <w:u w:val="single"/>
          <w:lang w:val="en-US" w:eastAsia="zh-CN"/>
        </w:rPr>
      </w:pP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、项目</w:t>
      </w:r>
      <w:r>
        <w:rPr>
          <w:rFonts w:hint="eastAsia" w:ascii="宋体" w:hAnsi="宋体" w:eastAsia="宋体" w:cs="宋体"/>
          <w:b/>
          <w:bCs w:val="0"/>
          <w:color w:val="auto"/>
          <w:sz w:val="22"/>
          <w:szCs w:val="22"/>
          <w:highlight w:val="none"/>
          <w:u w:val="none"/>
          <w:lang w:val="en-US" w:eastAsia="zh-CN"/>
        </w:rPr>
        <w:t>最高限价</w:t>
      </w:r>
      <w:r>
        <w:rPr>
          <w:rFonts w:hint="eastAsia" w:ascii="宋体" w:hAnsi="宋体" w:eastAsia="宋体" w:cs="宋体"/>
          <w:bCs/>
          <w:color w:val="auto"/>
          <w:sz w:val="22"/>
          <w:szCs w:val="22"/>
          <w:highlight w:val="none"/>
          <w:u w:val="none"/>
          <w:lang w:val="en-US" w:eastAsia="zh-CN"/>
        </w:rPr>
        <w:t>：</w:t>
      </w:r>
      <w:r>
        <w:rPr>
          <w:rFonts w:hint="eastAsia" w:ascii="宋体" w:hAnsi="宋体" w:eastAsia="宋体" w:cs="宋体"/>
          <w:bCs/>
          <w:color w:val="auto"/>
          <w:sz w:val="22"/>
          <w:szCs w:val="22"/>
          <w:highlight w:val="none"/>
          <w:u w:val="single"/>
        </w:rPr>
        <w:t xml:space="preserve">  </w:t>
      </w:r>
      <w:r>
        <w:rPr>
          <w:rFonts w:hint="eastAsia" w:cs="宋体"/>
          <w:bCs/>
          <w:color w:val="auto"/>
          <w:sz w:val="22"/>
          <w:szCs w:val="22"/>
          <w:highlight w:val="none"/>
          <w:u w:val="single"/>
          <w:lang w:val="en-US" w:eastAsia="zh-CN"/>
        </w:rPr>
        <w:t>68万</w:t>
      </w:r>
      <w:r>
        <w:rPr>
          <w:rFonts w:hint="eastAsia" w:ascii="宋体" w:hAnsi="宋体" w:eastAsia="宋体" w:cs="宋体"/>
          <w:bCs/>
          <w:color w:val="auto"/>
          <w:sz w:val="22"/>
          <w:szCs w:val="22"/>
          <w:highlight w:val="none"/>
          <w:u w:val="single"/>
          <w:lang w:val="en-US" w:eastAsia="zh-CN"/>
        </w:rPr>
        <w:t>元</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rPr>
        <w:t>资金来源：</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 xml:space="preserve"> 自筹  </w:t>
      </w:r>
      <w:r>
        <w:rPr>
          <w:rFonts w:hint="eastAsia" w:ascii="宋体" w:hAnsi="宋体" w:eastAsia="宋体" w:cs="宋体"/>
          <w:bCs/>
          <w:color w:val="auto"/>
          <w:sz w:val="22"/>
          <w:szCs w:val="22"/>
          <w:highlight w:val="none"/>
          <w:u w:val="none"/>
          <w:lang w:eastAsia="zh-CN"/>
        </w:rPr>
        <w:t>。</w:t>
      </w:r>
    </w:p>
    <w:p w14:paraId="62F84557">
      <w:pPr>
        <w:pStyle w:val="20"/>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5、招标人：</w:t>
      </w:r>
      <w:r>
        <w:rPr>
          <w:rFonts w:hint="eastAsia" w:ascii="宋体" w:hAnsi="宋体" w:eastAsia="宋体" w:cs="宋体"/>
          <w:bCs/>
          <w:color w:val="auto"/>
          <w:sz w:val="22"/>
          <w:szCs w:val="22"/>
          <w:highlight w:val="none"/>
          <w:u w:val="single"/>
          <w:lang w:val="en-US" w:eastAsia="zh-CN"/>
        </w:rPr>
        <w:t xml:space="preserve">  杭州临江环境能源有限公司      </w:t>
      </w:r>
      <w:r>
        <w:rPr>
          <w:rFonts w:hint="eastAsia" w:ascii="宋体" w:hAnsi="宋体" w:eastAsia="宋体" w:cs="宋体"/>
          <w:bCs/>
          <w:color w:val="auto"/>
          <w:sz w:val="22"/>
          <w:szCs w:val="22"/>
          <w:highlight w:val="none"/>
          <w:u w:val="none"/>
          <w:lang w:eastAsia="zh-CN"/>
        </w:rPr>
        <w:t>。</w:t>
      </w:r>
    </w:p>
    <w:p w14:paraId="0931CF18">
      <w:pPr>
        <w:pStyle w:val="20"/>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6、采购人：</w:t>
      </w:r>
      <w:r>
        <w:rPr>
          <w:rFonts w:hint="eastAsia" w:ascii="宋体" w:hAnsi="宋体" w:eastAsia="宋体" w:cs="宋体"/>
          <w:bCs/>
          <w:color w:val="auto"/>
          <w:sz w:val="22"/>
          <w:szCs w:val="22"/>
          <w:highlight w:val="none"/>
          <w:u w:val="single"/>
          <w:lang w:val="en-US" w:eastAsia="zh-CN"/>
        </w:rPr>
        <w:t xml:space="preserve">  杭州临江环境能源有限公司      </w:t>
      </w:r>
      <w:r>
        <w:rPr>
          <w:rFonts w:hint="eastAsia" w:ascii="宋体" w:hAnsi="宋体" w:eastAsia="宋体" w:cs="宋体"/>
          <w:bCs/>
          <w:color w:val="auto"/>
          <w:sz w:val="22"/>
          <w:szCs w:val="22"/>
          <w:highlight w:val="none"/>
          <w:u w:val="none"/>
          <w:lang w:eastAsia="zh-CN"/>
        </w:rPr>
        <w:t>。</w:t>
      </w:r>
    </w:p>
    <w:p w14:paraId="0D70E0E7">
      <w:pPr>
        <w:pStyle w:val="20"/>
        <w:adjustRightInd w:val="0"/>
        <w:snapToGrid w:val="0"/>
        <w:spacing w:before="0" w:beforeAutospacing="0" w:after="0" w:afterAutospacing="0"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招标范围及内容</w:t>
      </w:r>
      <w:r>
        <w:rPr>
          <w:rFonts w:hint="eastAsia" w:ascii="宋体" w:hAnsi="宋体" w:eastAsia="宋体" w:cs="宋体"/>
          <w:b/>
          <w:bCs/>
          <w:color w:val="auto"/>
          <w:sz w:val="22"/>
          <w:szCs w:val="22"/>
          <w:highlight w:val="none"/>
        </w:rPr>
        <w:t>：</w:t>
      </w:r>
    </w:p>
    <w:p w14:paraId="28611A15">
      <w:pPr>
        <w:pStyle w:val="20"/>
        <w:adjustRightInd w:val="0"/>
        <w:snapToGrid w:val="0"/>
        <w:spacing w:before="0" w:beforeAutospacing="0" w:after="0" w:afterAutospacing="0" w:line="360" w:lineRule="auto"/>
        <w:ind w:firstLine="440" w:firstLineChars="200"/>
        <w:rPr>
          <w:rFonts w:hint="eastAsia" w:ascii="宋体" w:hAnsi="宋体" w:eastAsia="宋体" w:cs="宋体"/>
          <w:color w:val="auto"/>
          <w:sz w:val="22"/>
          <w:szCs w:val="22"/>
          <w:highlight w:val="none"/>
          <w:u w:val="none"/>
          <w:lang w:val="zh-CN" w:eastAsia="zh-CN"/>
        </w:rPr>
      </w:pPr>
      <w:r>
        <w:rPr>
          <w:rFonts w:hint="eastAsia" w:ascii="宋体" w:hAnsi="宋体" w:eastAsia="宋体" w:cs="宋体"/>
          <w:color w:val="auto"/>
          <w:sz w:val="22"/>
          <w:szCs w:val="22"/>
          <w:highlight w:val="none"/>
          <w:u w:val="none"/>
          <w:lang w:val="en-US" w:eastAsia="zh-CN"/>
        </w:rPr>
        <w:t>对能源运行中心水表进行改造</w:t>
      </w:r>
      <w:r>
        <w:rPr>
          <w:rFonts w:hint="eastAsia" w:ascii="宋体" w:hAnsi="宋体" w:eastAsia="宋体" w:cs="宋体"/>
          <w:color w:val="auto"/>
          <w:sz w:val="22"/>
          <w:szCs w:val="22"/>
          <w:highlight w:val="none"/>
          <w:u w:val="none"/>
          <w:lang w:val="zh-CN" w:eastAsia="zh-CN"/>
        </w:rPr>
        <w:t>，</w:t>
      </w:r>
      <w:r>
        <w:rPr>
          <w:rFonts w:hint="eastAsia" w:ascii="宋体" w:hAnsi="宋体" w:eastAsia="宋体" w:cs="宋体"/>
          <w:color w:val="auto"/>
          <w:sz w:val="22"/>
          <w:szCs w:val="22"/>
          <w:highlight w:val="none"/>
          <w:u w:val="none"/>
          <w:lang w:val="en-US" w:eastAsia="zh-CN"/>
        </w:rPr>
        <w:t>主要改造内容有</w:t>
      </w:r>
      <w:r>
        <w:rPr>
          <w:rFonts w:hint="eastAsia" w:ascii="宋体" w:hAnsi="宋体" w:eastAsia="宋体" w:cs="宋体"/>
          <w:color w:val="auto"/>
          <w:sz w:val="22"/>
          <w:szCs w:val="22"/>
          <w:highlight w:val="none"/>
          <w:u w:val="none"/>
          <w:lang w:val="zh-CN" w:eastAsia="zh-CN"/>
        </w:rPr>
        <w:t>对厂内水表进行更换，</w:t>
      </w:r>
      <w:r>
        <w:rPr>
          <w:rFonts w:hint="eastAsia" w:ascii="宋体" w:hAnsi="宋体" w:eastAsia="宋体" w:cs="宋体"/>
          <w:color w:val="auto"/>
          <w:sz w:val="22"/>
          <w:szCs w:val="22"/>
          <w:highlight w:val="none"/>
          <w:u w:val="none"/>
          <w:lang w:val="en-US" w:eastAsia="zh-CN"/>
        </w:rPr>
        <w:t>新增</w:t>
      </w:r>
      <w:r>
        <w:rPr>
          <w:rFonts w:hint="eastAsia" w:ascii="宋体" w:hAnsi="宋体" w:eastAsia="宋体" w:cs="宋体"/>
          <w:color w:val="auto"/>
          <w:sz w:val="22"/>
          <w:szCs w:val="22"/>
          <w:highlight w:val="none"/>
          <w:u w:val="none"/>
          <w:lang w:val="zh-CN" w:eastAsia="zh-CN"/>
        </w:rPr>
        <w:t>支持通讯的智能化水表</w:t>
      </w:r>
      <w:r>
        <w:rPr>
          <w:rFonts w:hint="eastAsia" w:ascii="宋体" w:hAnsi="宋体" w:eastAsia="宋体" w:cs="宋体"/>
          <w:color w:val="auto"/>
          <w:sz w:val="22"/>
          <w:szCs w:val="22"/>
          <w:highlight w:val="none"/>
          <w:u w:val="none"/>
          <w:lang w:val="en-US" w:eastAsia="zh-CN"/>
        </w:rPr>
        <w:t>以及</w:t>
      </w:r>
      <w:r>
        <w:rPr>
          <w:rFonts w:hint="eastAsia" w:ascii="宋体" w:hAnsi="宋体" w:eastAsia="宋体" w:cs="宋体"/>
          <w:color w:val="auto"/>
          <w:sz w:val="22"/>
          <w:szCs w:val="22"/>
          <w:highlight w:val="none"/>
          <w:u w:val="none"/>
          <w:lang w:val="zh-CN" w:eastAsia="zh-CN"/>
        </w:rPr>
        <w:t>一体化智能抄表终端，实时上传每户用水信息数据至管理处的水量实时监测系统软件，实现厂内人员实时查看用水信息数据</w:t>
      </w:r>
      <w:r>
        <w:rPr>
          <w:rFonts w:hint="eastAsia" w:ascii="宋体" w:hAnsi="宋体" w:eastAsia="宋体" w:cs="宋体"/>
          <w:color w:val="auto"/>
          <w:sz w:val="22"/>
          <w:szCs w:val="22"/>
          <w:highlight w:val="none"/>
          <w:u w:val="none"/>
          <w:lang w:val="en-US" w:eastAsia="zh-CN"/>
        </w:rPr>
        <w:t>和</w:t>
      </w:r>
      <w:r>
        <w:rPr>
          <w:rFonts w:hint="eastAsia" w:ascii="宋体" w:hAnsi="宋体" w:eastAsia="宋体" w:cs="宋体"/>
          <w:color w:val="auto"/>
          <w:sz w:val="22"/>
          <w:szCs w:val="22"/>
          <w:highlight w:val="none"/>
          <w:u w:val="none"/>
          <w:lang w:val="zh-CN" w:eastAsia="zh-CN"/>
        </w:rPr>
        <w:t>远程智能抄表功能，中标人在接到招标人</w:t>
      </w:r>
      <w:r>
        <w:rPr>
          <w:rFonts w:hint="eastAsia" w:cs="宋体"/>
          <w:color w:val="auto"/>
          <w:sz w:val="22"/>
          <w:szCs w:val="22"/>
          <w:highlight w:val="none"/>
          <w:u w:val="none"/>
          <w:lang w:val="en-US" w:eastAsia="zh-CN"/>
        </w:rPr>
        <w:t>确认方案</w:t>
      </w:r>
      <w:r>
        <w:rPr>
          <w:rFonts w:hint="eastAsia" w:ascii="宋体" w:hAnsi="宋体" w:eastAsia="宋体" w:cs="宋体"/>
          <w:color w:val="auto"/>
          <w:sz w:val="22"/>
          <w:szCs w:val="22"/>
          <w:highlight w:val="none"/>
          <w:u w:val="none"/>
          <w:lang w:val="en-US" w:eastAsia="zh-CN"/>
        </w:rPr>
        <w:t>后90天内完成</w:t>
      </w:r>
      <w:r>
        <w:rPr>
          <w:rFonts w:hint="eastAsia" w:ascii="宋体" w:hAnsi="宋体" w:eastAsia="宋体" w:cs="宋体"/>
          <w:color w:val="auto"/>
          <w:sz w:val="22"/>
          <w:szCs w:val="22"/>
          <w:highlight w:val="none"/>
          <w:u w:val="none"/>
          <w:lang w:val="zh-CN"/>
        </w:rPr>
        <w:t>智能远程水表系统</w:t>
      </w:r>
      <w:r>
        <w:rPr>
          <w:rFonts w:hint="eastAsia" w:ascii="宋体" w:hAnsi="宋体" w:eastAsia="宋体" w:cs="宋体"/>
          <w:color w:val="auto"/>
          <w:sz w:val="22"/>
          <w:szCs w:val="22"/>
          <w:highlight w:val="none"/>
          <w:u w:val="none"/>
          <w:lang w:val="en-US" w:eastAsia="zh-CN"/>
        </w:rPr>
        <w:t>改造</w:t>
      </w:r>
      <w:r>
        <w:rPr>
          <w:rFonts w:hint="eastAsia" w:ascii="宋体" w:hAnsi="宋体" w:eastAsia="宋体" w:cs="宋体"/>
          <w:color w:val="auto"/>
          <w:sz w:val="22"/>
          <w:szCs w:val="22"/>
          <w:highlight w:val="none"/>
          <w:u w:val="none"/>
          <w:lang w:val="zh-CN" w:eastAsia="zh-CN"/>
        </w:rPr>
        <w:t>。详见招标文件第三章“用户需求书”。</w:t>
      </w:r>
    </w:p>
    <w:p w14:paraId="2E724C02">
      <w:pPr>
        <w:pStyle w:val="20"/>
        <w:adjustRightInd w:val="0"/>
        <w:snapToGrid w:val="0"/>
        <w:spacing w:before="0" w:beforeAutospacing="0" w:after="0" w:afterAutospacing="0"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8</w:t>
      </w:r>
      <w:r>
        <w:rPr>
          <w:rFonts w:hint="eastAsia" w:ascii="宋体" w:hAnsi="宋体" w:eastAsia="宋体" w:cs="宋体"/>
          <w:b/>
          <w:bCs/>
          <w:color w:val="auto"/>
          <w:sz w:val="22"/>
          <w:szCs w:val="22"/>
          <w:highlight w:val="none"/>
        </w:rPr>
        <w:t>、投标人资格条件</w:t>
      </w:r>
    </w:p>
    <w:p w14:paraId="6217D8A4">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color w:val="auto"/>
          <w:kern w:val="2"/>
          <w:sz w:val="22"/>
          <w:szCs w:val="22"/>
          <w:highlight w:val="none"/>
          <w:lang w:val="en-US" w:eastAsia="zh-CN"/>
        </w:rPr>
      </w:pPr>
      <w:r>
        <w:rPr>
          <w:rFonts w:hint="eastAsia" w:ascii="宋体" w:hAnsi="宋体" w:eastAsia="宋体" w:cs="宋体"/>
          <w:bCs/>
          <w:color w:val="auto"/>
          <w:sz w:val="22"/>
          <w:szCs w:val="22"/>
          <w:highlight w:val="none"/>
        </w:rPr>
        <w:t>（</w:t>
      </w:r>
      <w:r>
        <w:rPr>
          <w:rFonts w:hint="eastAsia" w:ascii="宋体" w:hAnsi="宋体" w:eastAsia="宋体" w:cs="宋体"/>
          <w:color w:val="auto"/>
          <w:kern w:val="2"/>
          <w:sz w:val="22"/>
          <w:szCs w:val="22"/>
          <w:highlight w:val="none"/>
        </w:rPr>
        <w:t>1）在中华人民共和国境内注册（</w:t>
      </w:r>
      <w:r>
        <w:rPr>
          <w:rFonts w:hint="eastAsia" w:ascii="宋体" w:hAnsi="宋体" w:eastAsia="宋体" w:cs="宋体"/>
          <w:color w:val="auto"/>
          <w:kern w:val="2"/>
          <w:sz w:val="22"/>
          <w:szCs w:val="22"/>
          <w:highlight w:val="none"/>
          <w:u w:val="single"/>
        </w:rPr>
        <w:t>不含港、澳、台地区</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u w:val="single"/>
        </w:rPr>
        <w:t>具有独立法人资格</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lang w:val="en-US" w:eastAsia="zh-CN"/>
        </w:rPr>
        <w:t>/</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u w:val="single"/>
        </w:rPr>
        <w:t>具有独立承担民事责任的能力</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提供</w:t>
      </w:r>
      <w:r>
        <w:rPr>
          <w:rFonts w:hint="eastAsia" w:ascii="宋体" w:hAnsi="宋体" w:eastAsia="宋体" w:cs="宋体"/>
          <w:color w:val="auto"/>
          <w:kern w:val="2"/>
          <w:sz w:val="22"/>
          <w:szCs w:val="22"/>
          <w:highlight w:val="none"/>
          <w:lang w:val="en-US" w:eastAsia="zh-CN"/>
        </w:rPr>
        <w:t>有效期内的</w:t>
      </w:r>
      <w:r>
        <w:rPr>
          <w:rFonts w:hint="eastAsia" w:ascii="宋体" w:hAnsi="宋体" w:eastAsia="宋体" w:cs="宋体"/>
          <w:color w:val="auto"/>
          <w:kern w:val="2"/>
          <w:sz w:val="22"/>
          <w:szCs w:val="22"/>
          <w:highlight w:val="none"/>
        </w:rPr>
        <w:t>营业执照</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或者</w:t>
      </w:r>
      <w:r>
        <w:rPr>
          <w:rFonts w:hint="eastAsia" w:ascii="宋体" w:hAnsi="宋体" w:eastAsia="宋体" w:cs="宋体"/>
          <w:color w:val="auto"/>
          <w:kern w:val="2"/>
          <w:sz w:val="22"/>
          <w:szCs w:val="22"/>
          <w:highlight w:val="none"/>
        </w:rPr>
        <w:t>事业单位法人证书</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社会团体法人登记证书</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其他组织登记证明文件</w:t>
      </w:r>
      <w:r>
        <w:rPr>
          <w:rFonts w:hint="eastAsia" w:ascii="宋体" w:hAnsi="宋体" w:eastAsia="宋体" w:cs="宋体"/>
          <w:color w:val="auto"/>
          <w:kern w:val="2"/>
          <w:sz w:val="22"/>
          <w:szCs w:val="22"/>
          <w:highlight w:val="none"/>
          <w:lang w:eastAsia="zh-CN"/>
        </w:rPr>
        <w:t>，下同）副本</w:t>
      </w:r>
      <w:r>
        <w:rPr>
          <w:rFonts w:hint="eastAsia" w:ascii="宋体" w:hAnsi="宋体" w:eastAsia="宋体" w:cs="宋体"/>
          <w:color w:val="auto"/>
          <w:kern w:val="2"/>
          <w:sz w:val="22"/>
          <w:szCs w:val="22"/>
          <w:highlight w:val="none"/>
        </w:rPr>
        <w:t>复印件</w:t>
      </w:r>
      <w:r>
        <w:rPr>
          <w:rFonts w:hint="eastAsia" w:ascii="宋体" w:hAnsi="宋体" w:eastAsia="宋体" w:cs="宋体"/>
          <w:color w:val="auto"/>
          <w:kern w:val="2"/>
          <w:sz w:val="22"/>
          <w:szCs w:val="22"/>
          <w:highlight w:val="none"/>
          <w:lang w:eastAsia="zh-CN"/>
        </w:rPr>
        <w:t>（加盖公章）；</w:t>
      </w:r>
    </w:p>
    <w:p w14:paraId="31C59C31">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u w:val="single"/>
          <w:lang w:eastAsia="zh-CN"/>
        </w:rPr>
        <w:t>与招标人存在利害关系可能影响招标公正性</w:t>
      </w:r>
      <w:r>
        <w:rPr>
          <w:rFonts w:hint="eastAsia" w:ascii="宋体" w:hAnsi="宋体" w:eastAsia="宋体" w:cs="宋体"/>
          <w:color w:val="auto"/>
          <w:kern w:val="2"/>
          <w:sz w:val="22"/>
          <w:szCs w:val="22"/>
          <w:highlight w:val="none"/>
          <w:u w:val="single"/>
        </w:rPr>
        <w:t>的</w:t>
      </w:r>
      <w:r>
        <w:rPr>
          <w:rFonts w:hint="eastAsia" w:ascii="宋体" w:hAnsi="宋体" w:eastAsia="宋体" w:cs="宋体"/>
          <w:color w:val="auto"/>
          <w:kern w:val="2"/>
          <w:sz w:val="22"/>
          <w:szCs w:val="22"/>
          <w:highlight w:val="none"/>
          <w:u w:val="single"/>
          <w:lang w:eastAsia="zh-CN"/>
        </w:rPr>
        <w:t>单位</w:t>
      </w:r>
      <w:r>
        <w:rPr>
          <w:rFonts w:hint="eastAsia" w:ascii="宋体" w:hAnsi="宋体" w:eastAsia="宋体" w:cs="宋体"/>
          <w:color w:val="auto"/>
          <w:kern w:val="2"/>
          <w:sz w:val="22"/>
          <w:szCs w:val="22"/>
          <w:highlight w:val="none"/>
          <w:u w:val="single"/>
        </w:rPr>
        <w:t>，不得参加本项目投标</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u w:val="none"/>
          <w:lang w:val="en-US" w:eastAsia="zh-CN"/>
        </w:rPr>
        <w:t>。</w:t>
      </w:r>
      <w:r>
        <w:rPr>
          <w:rFonts w:hint="eastAsia" w:ascii="宋体" w:hAnsi="宋体" w:eastAsia="宋体" w:cs="宋体"/>
          <w:color w:val="auto"/>
          <w:kern w:val="2"/>
          <w:sz w:val="22"/>
          <w:szCs w:val="22"/>
          <w:highlight w:val="none"/>
        </w:rPr>
        <w:t>单位负责人为同一人或者存在控股、管理关系的不同单位，</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u w:val="single"/>
        </w:rPr>
        <w:t>不得同时参加本招标项目投标</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u w:val="single"/>
        </w:rPr>
        <w:t>不得参加本招标项目同一标段</w:t>
      </w:r>
      <w:r>
        <w:rPr>
          <w:rFonts w:hint="eastAsia" w:ascii="宋体" w:hAnsi="宋体" w:eastAsia="宋体" w:cs="宋体"/>
          <w:color w:val="auto"/>
          <w:kern w:val="2"/>
          <w:sz w:val="22"/>
          <w:szCs w:val="22"/>
          <w:highlight w:val="none"/>
          <w:u w:val="single"/>
          <w:lang w:val="en-US" w:eastAsia="zh-CN"/>
        </w:rPr>
        <w:t xml:space="preserve">投标 </w:t>
      </w:r>
      <w:r>
        <w:rPr>
          <w:rFonts w:hint="eastAsia" w:ascii="宋体" w:hAnsi="宋体" w:eastAsia="宋体" w:cs="宋体"/>
          <w:color w:val="auto"/>
          <w:kern w:val="2"/>
          <w:sz w:val="21"/>
          <w:szCs w:val="21"/>
          <w:highlight w:val="none"/>
          <w:u w:val="none"/>
          <w:lang w:eastAsia="zh-CN"/>
        </w:rPr>
        <w:t>；</w:t>
      </w:r>
    </w:p>
    <w:p w14:paraId="7F2ABCF9">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近三年内，未被“信用中国”（www.credi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14:paraId="571B11C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4</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 xml:space="preserve">本项目 </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接受/</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 xml:space="preserve">不接受 </w:t>
      </w:r>
      <w:r>
        <w:rPr>
          <w:rFonts w:hint="eastAsia" w:ascii="宋体" w:hAnsi="宋体" w:eastAsia="宋体" w:cs="宋体"/>
          <w:snapToGrid w:val="0"/>
          <w:color w:val="auto"/>
          <w:sz w:val="22"/>
          <w:szCs w:val="22"/>
          <w:highlight w:val="none"/>
          <w:lang w:val="zh-CN"/>
        </w:rPr>
        <w:t>联合体投标。联合体投标的，应满足下列要求</w:t>
      </w:r>
      <w:r>
        <w:rPr>
          <w:rFonts w:hint="eastAsia" w:ascii="宋体" w:hAnsi="宋体" w:eastAsia="宋体" w:cs="宋体"/>
          <w:snapToGrid w:val="0"/>
          <w:color w:val="auto"/>
          <w:sz w:val="22"/>
          <w:szCs w:val="22"/>
          <w:highlight w:val="none"/>
          <w:u w:val="single"/>
          <w:lang w:val="zh-CN"/>
        </w:rPr>
        <w:t>：</w:t>
      </w:r>
      <w:r>
        <w:rPr>
          <w:rFonts w:hint="eastAsia" w:ascii="宋体" w:hAnsi="宋体" w:eastAsia="宋体" w:cs="宋体"/>
          <w:snapToGrid w:val="0"/>
          <w:color w:val="auto"/>
          <w:sz w:val="22"/>
          <w:szCs w:val="22"/>
          <w:highlight w:val="none"/>
          <w:u w:val="single"/>
          <w:lang w:val="en-US" w:eastAsia="zh-CN"/>
        </w:rPr>
        <w:t>/</w:t>
      </w:r>
      <w:r>
        <w:rPr>
          <w:rFonts w:hint="eastAsia" w:ascii="宋体" w:hAnsi="宋体" w:eastAsia="宋体" w:cs="宋体"/>
          <w:snapToGrid w:val="0"/>
          <w:color w:val="auto"/>
          <w:sz w:val="22"/>
          <w:szCs w:val="22"/>
          <w:highlight w:val="none"/>
          <w:u w:val="single"/>
          <w:lang w:val="zh-CN"/>
        </w:rPr>
        <w:t xml:space="preserve"> 。</w:t>
      </w:r>
    </w:p>
    <w:p w14:paraId="4C28E30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u w:val="single"/>
          <w:lang w:val="zh-CN" w:eastAsia="zh-CN"/>
        </w:rPr>
      </w:pPr>
      <w:r>
        <w:rPr>
          <w:rFonts w:hint="eastAsia" w:ascii="宋体" w:hAnsi="宋体" w:eastAsia="宋体" w:cs="宋体"/>
          <w:snapToGrid w:val="0"/>
          <w:color w:val="auto"/>
          <w:sz w:val="22"/>
          <w:szCs w:val="22"/>
          <w:highlight w:val="none"/>
          <w:lang w:val="zh-CN"/>
        </w:rPr>
        <w:t>（5）业绩证明：</w:t>
      </w:r>
      <w:r>
        <w:rPr>
          <w:rFonts w:hint="eastAsia" w:cs="宋体"/>
          <w:snapToGrid w:val="0"/>
          <w:color w:val="auto"/>
          <w:sz w:val="22"/>
          <w:szCs w:val="22"/>
          <w:highlight w:val="none"/>
          <w:u w:val="single"/>
          <w:lang w:val="en-US" w:eastAsia="zh-CN"/>
        </w:rPr>
        <w:t>无</w:t>
      </w:r>
      <w:r>
        <w:rPr>
          <w:rFonts w:hint="eastAsia" w:ascii="宋体" w:hAnsi="宋体" w:eastAsia="宋体" w:cs="宋体"/>
          <w:snapToGrid w:val="0"/>
          <w:color w:val="auto"/>
          <w:sz w:val="22"/>
          <w:szCs w:val="22"/>
          <w:highlight w:val="none"/>
          <w:u w:val="single"/>
          <w:lang w:val="zh-CN" w:eastAsia="zh-CN"/>
        </w:rPr>
        <w:t>。</w:t>
      </w:r>
    </w:p>
    <w:p w14:paraId="5D877B4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（6）近两年内未被列入杭州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14:paraId="30299DEC">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注：上述</w:t>
      </w:r>
      <w:r>
        <w:rPr>
          <w:rFonts w:hint="eastAsia" w:ascii="宋体" w:hAnsi="宋体" w:eastAsia="宋体" w:cs="宋体"/>
          <w:color w:val="auto"/>
          <w:kern w:val="2"/>
          <w:sz w:val="21"/>
          <w:szCs w:val="21"/>
          <w:highlight w:val="none"/>
          <w:lang w:eastAsia="zh-CN"/>
        </w:rPr>
        <w:t>证明</w:t>
      </w:r>
      <w:r>
        <w:rPr>
          <w:rFonts w:hint="eastAsia" w:ascii="宋体" w:hAnsi="宋体" w:eastAsia="宋体" w:cs="宋体"/>
          <w:color w:val="auto"/>
          <w:kern w:val="2"/>
          <w:sz w:val="21"/>
          <w:szCs w:val="21"/>
          <w:highlight w:val="none"/>
        </w:rPr>
        <w:t>资料</w:t>
      </w:r>
      <w:r>
        <w:rPr>
          <w:rFonts w:hint="eastAsia" w:ascii="宋体" w:hAnsi="宋体" w:eastAsia="宋体" w:cs="宋体"/>
          <w:color w:val="auto"/>
          <w:kern w:val="2"/>
          <w:sz w:val="21"/>
          <w:szCs w:val="21"/>
          <w:highlight w:val="none"/>
          <w:lang w:eastAsia="zh-CN"/>
        </w:rPr>
        <w:t>须</w:t>
      </w:r>
      <w:r>
        <w:rPr>
          <w:rFonts w:hint="eastAsia" w:ascii="宋体" w:hAnsi="宋体" w:eastAsia="宋体" w:cs="宋体"/>
          <w:color w:val="auto"/>
          <w:kern w:val="2"/>
          <w:sz w:val="21"/>
          <w:szCs w:val="21"/>
          <w:highlight w:val="none"/>
        </w:rPr>
        <w:t>齐全、有效，复印件应加盖</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单位公章</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采用非电子招投标方式的，</w:t>
      </w:r>
      <w:r>
        <w:rPr>
          <w:rFonts w:hint="eastAsia" w:ascii="宋体" w:hAnsi="宋体" w:eastAsia="宋体" w:cs="宋体"/>
          <w:b/>
          <w:bCs/>
          <w:color w:val="auto"/>
          <w:kern w:val="2"/>
          <w:sz w:val="21"/>
          <w:szCs w:val="21"/>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color w:val="auto"/>
          <w:kern w:val="2"/>
          <w:sz w:val="21"/>
          <w:szCs w:val="21"/>
          <w:highlight w:val="none"/>
        </w:rPr>
        <w:t>，并在投标</w:t>
      </w:r>
      <w:r>
        <w:rPr>
          <w:rFonts w:hint="eastAsia" w:ascii="宋体" w:hAnsi="宋体" w:eastAsia="宋体" w:cs="宋体"/>
          <w:color w:val="auto"/>
          <w:kern w:val="2"/>
          <w:sz w:val="21"/>
          <w:szCs w:val="21"/>
          <w:highlight w:val="none"/>
          <w:lang w:eastAsia="zh-CN"/>
        </w:rPr>
        <w:t>文件中</w:t>
      </w:r>
      <w:r>
        <w:rPr>
          <w:rFonts w:hint="eastAsia" w:ascii="宋体" w:hAnsi="宋体" w:eastAsia="宋体" w:cs="宋体"/>
          <w:color w:val="auto"/>
          <w:kern w:val="2"/>
          <w:sz w:val="21"/>
          <w:szCs w:val="21"/>
          <w:highlight w:val="none"/>
        </w:rPr>
        <w:t>提供。</w:t>
      </w:r>
    </w:p>
    <w:p w14:paraId="168329BD">
      <w:pPr>
        <w:tabs>
          <w:tab w:val="left" w:pos="360"/>
          <w:tab w:val="left" w:pos="540"/>
        </w:tabs>
        <w:snapToGrid w:val="0"/>
        <w:spacing w:line="360" w:lineRule="auto"/>
        <w:ind w:firstLine="442" w:firstLineChars="200"/>
        <w:rPr>
          <w:rFonts w:hint="eastAsia" w:ascii="宋体" w:hAnsi="宋体" w:eastAsia="宋体" w:cs="宋体"/>
          <w:b/>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lang w:val="en-US" w:eastAsia="zh-CN"/>
        </w:rPr>
        <w:t>9</w:t>
      </w:r>
      <w:r>
        <w:rPr>
          <w:rFonts w:hint="eastAsia" w:ascii="宋体" w:hAnsi="宋体" w:eastAsia="宋体" w:cs="宋体"/>
          <w:b/>
          <w:bCs/>
          <w:snapToGrid w:val="0"/>
          <w:color w:val="auto"/>
          <w:kern w:val="0"/>
          <w:sz w:val="22"/>
          <w:szCs w:val="22"/>
          <w:highlight w:val="none"/>
        </w:rPr>
        <w:t>、</w:t>
      </w:r>
      <w:r>
        <w:rPr>
          <w:rFonts w:hint="eastAsia" w:ascii="宋体" w:hAnsi="宋体" w:eastAsia="宋体" w:cs="宋体"/>
          <w:b/>
          <w:bCs/>
          <w:snapToGrid w:val="0"/>
          <w:color w:val="auto"/>
          <w:kern w:val="0"/>
          <w:sz w:val="22"/>
          <w:szCs w:val="22"/>
          <w:highlight w:val="none"/>
          <w:lang w:val="en-US" w:eastAsia="zh-CN"/>
        </w:rPr>
        <w:t>投标人</w:t>
      </w:r>
      <w:r>
        <w:rPr>
          <w:rFonts w:hint="eastAsia" w:ascii="宋体" w:hAnsi="宋体" w:eastAsia="宋体" w:cs="宋体"/>
          <w:b/>
          <w:bCs/>
          <w:snapToGrid w:val="0"/>
          <w:color w:val="auto"/>
          <w:kern w:val="0"/>
          <w:sz w:val="22"/>
          <w:szCs w:val="22"/>
          <w:highlight w:val="none"/>
        </w:rPr>
        <w:t>登记</w:t>
      </w:r>
      <w:r>
        <w:rPr>
          <w:rFonts w:hint="eastAsia" w:ascii="宋体" w:hAnsi="宋体" w:eastAsia="宋体" w:cs="宋体"/>
          <w:b/>
          <w:bCs/>
          <w:snapToGrid w:val="0"/>
          <w:color w:val="auto"/>
          <w:kern w:val="0"/>
          <w:sz w:val="22"/>
          <w:szCs w:val="22"/>
          <w:highlight w:val="none"/>
          <w:lang w:val="en-US" w:eastAsia="zh-CN"/>
        </w:rPr>
        <w:t>认证</w:t>
      </w:r>
    </w:p>
    <w:p w14:paraId="6DCEA741">
      <w:pPr>
        <w:pStyle w:val="53"/>
        <w:adjustRightInd w:val="0"/>
        <w:snapToGrid w:val="0"/>
        <w:spacing w:before="0" w:beforeLines="0" w:beforeAutospacing="0" w:after="0" w:afterLines="0" w:afterAutospacing="0" w:line="360" w:lineRule="auto"/>
        <w:ind w:firstLine="440" w:firstLineChars="200"/>
        <w:jc w:val="both"/>
        <w:rPr>
          <w:rFonts w:hint="eastAsia" w:ascii="宋体" w:hAnsi="宋体" w:eastAsia="宋体" w:cs="宋体"/>
          <w:b/>
          <w:bCs/>
          <w:snapToGrid w:val="0"/>
          <w:color w:val="auto"/>
          <w:kern w:val="0"/>
          <w:sz w:val="22"/>
          <w:szCs w:val="22"/>
          <w:highlight w:val="none"/>
          <w:lang w:val="zh-CN" w:eastAsia="zh-CN" w:bidi="ar-SA"/>
        </w:rPr>
      </w:pP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1</w:t>
      </w:r>
      <w:r>
        <w:rPr>
          <w:rFonts w:hint="eastAsia" w:ascii="宋体" w:hAnsi="宋体" w:eastAsia="宋体" w:cs="宋体"/>
          <w:snapToGrid w:val="0"/>
          <w:color w:val="auto"/>
          <w:kern w:val="0"/>
          <w:sz w:val="22"/>
          <w:szCs w:val="22"/>
          <w:highlight w:val="none"/>
          <w:lang w:val="zh-CN" w:eastAsia="zh-CN" w:bidi="ar-SA"/>
        </w:rPr>
        <w:t>）凡首次参加</w:t>
      </w:r>
      <w:r>
        <w:rPr>
          <w:rFonts w:hint="eastAsia" w:ascii="宋体" w:hAnsi="宋体" w:eastAsia="宋体" w:cs="宋体"/>
          <w:snapToGrid w:val="0"/>
          <w:color w:val="auto"/>
          <w:kern w:val="0"/>
          <w:sz w:val="22"/>
          <w:szCs w:val="22"/>
          <w:highlight w:val="none"/>
          <w:lang w:val="en-US" w:eastAsia="zh-CN" w:bidi="ar-SA"/>
        </w:rPr>
        <w:t>城投采购平台投标</w:t>
      </w:r>
      <w:r>
        <w:rPr>
          <w:rFonts w:hint="eastAsia" w:ascii="宋体" w:hAnsi="宋体" w:eastAsia="宋体" w:cs="宋体"/>
          <w:snapToGrid w:val="0"/>
          <w:color w:val="auto"/>
          <w:kern w:val="0"/>
          <w:sz w:val="22"/>
          <w:szCs w:val="22"/>
          <w:highlight w:val="none"/>
          <w:lang w:val="zh-CN" w:eastAsia="zh-CN" w:bidi="ar-SA"/>
        </w:rPr>
        <w:t>的投标人，</w:t>
      </w:r>
      <w:r>
        <w:rPr>
          <w:rFonts w:hint="eastAsia" w:ascii="宋体" w:hAnsi="宋体" w:eastAsia="宋体" w:cs="宋体"/>
          <w:b/>
          <w:bCs/>
          <w:snapToGrid w:val="0"/>
          <w:color w:val="auto"/>
          <w:kern w:val="0"/>
          <w:sz w:val="22"/>
          <w:szCs w:val="22"/>
          <w:highlight w:val="none"/>
          <w:u w:val="single"/>
          <w:lang w:val="zh-CN" w:eastAsia="zh-CN" w:bidi="ar-SA"/>
        </w:rPr>
        <w:t>应于</w:t>
      </w:r>
      <w:r>
        <w:rPr>
          <w:rFonts w:hint="eastAsia" w:ascii="宋体" w:hAnsi="宋体" w:eastAsia="宋体" w:cs="宋体"/>
          <w:b/>
          <w:bCs/>
          <w:strike w:val="0"/>
          <w:dstrike w:val="0"/>
          <w:snapToGrid w:val="0"/>
          <w:color w:val="auto"/>
          <w:kern w:val="0"/>
          <w:sz w:val="22"/>
          <w:szCs w:val="22"/>
          <w:highlight w:val="none"/>
          <w:u w:val="single"/>
          <w:lang w:val="en-US" w:eastAsia="zh-CN" w:bidi="ar-SA"/>
        </w:rPr>
        <w:t>报名截止日</w:t>
      </w:r>
      <w:r>
        <w:rPr>
          <w:rFonts w:hint="eastAsia" w:ascii="宋体" w:hAnsi="宋体" w:eastAsia="宋体" w:cs="宋体"/>
          <w:b/>
          <w:bCs/>
          <w:snapToGrid w:val="0"/>
          <w:color w:val="auto"/>
          <w:kern w:val="0"/>
          <w:sz w:val="22"/>
          <w:szCs w:val="22"/>
          <w:highlight w:val="none"/>
          <w:u w:val="single"/>
          <w:lang w:val="zh-CN" w:eastAsia="zh-CN" w:bidi="ar-SA"/>
        </w:rPr>
        <w:t>前</w:t>
      </w:r>
      <w:r>
        <w:rPr>
          <w:rFonts w:hint="eastAsia" w:ascii="宋体" w:hAnsi="宋体" w:eastAsia="宋体" w:cs="宋体"/>
          <w:snapToGrid w:val="0"/>
          <w:color w:val="auto"/>
          <w:kern w:val="0"/>
          <w:sz w:val="22"/>
          <w:szCs w:val="22"/>
          <w:highlight w:val="none"/>
          <w:lang w:val="zh-CN" w:eastAsia="zh-CN" w:bidi="ar-SA"/>
        </w:rPr>
        <w:t>（法定公休日、法定节假日除外）完成“</w:t>
      </w:r>
      <w:r>
        <w:rPr>
          <w:rFonts w:hint="eastAsia" w:ascii="宋体" w:hAnsi="宋体" w:eastAsia="宋体" w:cs="宋体"/>
          <w:snapToGrid w:val="0"/>
          <w:color w:val="auto"/>
          <w:kern w:val="0"/>
          <w:sz w:val="22"/>
          <w:szCs w:val="22"/>
          <w:highlight w:val="none"/>
          <w:lang w:val="en-US" w:eastAsia="zh-CN" w:bidi="ar-SA"/>
        </w:rPr>
        <w:t>杭州城投采购平台</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注册登记和企业信息认证</w:t>
      </w:r>
      <w:r>
        <w:rPr>
          <w:rFonts w:hint="eastAsia" w:ascii="宋体" w:hAnsi="宋体" w:eastAsia="宋体" w:cs="宋体"/>
          <w:b w:val="0"/>
          <w:bCs w:val="0"/>
          <w:snapToGrid w:val="0"/>
          <w:color w:val="auto"/>
          <w:kern w:val="0"/>
          <w:sz w:val="22"/>
          <w:szCs w:val="22"/>
          <w:highlight w:val="none"/>
          <w:lang w:val="zh-CN" w:eastAsia="zh-CN" w:bidi="ar-SA"/>
        </w:rPr>
        <w:t>。</w:t>
      </w:r>
    </w:p>
    <w:p w14:paraId="07281A8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2</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杭州城投采购平台</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注册登记办理</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sz w:val="22"/>
          <w:szCs w:val="22"/>
          <w:highlight w:val="none"/>
          <w:lang w:val="zh-CN"/>
        </w:rPr>
        <w:t>在杭州城投采购平台网站首页（https://jczx.hzcjtz.com）“平台登录”栏目点击“立即注册”完成企业信息注册登记。咨询电话：400-0666-571。</w:t>
      </w:r>
    </w:p>
    <w:p w14:paraId="3D029FBE">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bCs/>
          <w:snapToGrid w:val="0"/>
          <w:color w:val="auto"/>
          <w:kern w:val="0"/>
          <w:sz w:val="28"/>
          <w:szCs w:val="22"/>
          <w:highlight w:val="none"/>
          <w:lang w:val="en-US" w:eastAsia="zh-CN"/>
        </w:rPr>
      </w:pPr>
      <w:r>
        <w:rPr>
          <w:rFonts w:hint="eastAsia" w:ascii="宋体" w:hAnsi="宋体" w:eastAsia="宋体" w:cs="宋体"/>
          <w:snapToGrid w:val="0"/>
          <w:color w:val="auto"/>
          <w:sz w:val="22"/>
          <w:szCs w:val="22"/>
          <w:highlight w:val="none"/>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5754B95F">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lang w:val="en-US" w:eastAsia="zh-CN"/>
        </w:rPr>
      </w:pPr>
      <w:r>
        <w:rPr>
          <w:rFonts w:hint="eastAsia" w:ascii="宋体" w:hAnsi="宋体" w:eastAsia="宋体" w:cs="宋体"/>
          <w:b/>
          <w:bCs/>
          <w:snapToGrid w:val="0"/>
          <w:color w:val="auto"/>
          <w:kern w:val="0"/>
          <w:sz w:val="22"/>
          <w:szCs w:val="22"/>
          <w:highlight w:val="none"/>
          <w:lang w:val="en-US" w:eastAsia="zh-CN"/>
        </w:rPr>
        <w:t>10、投标报名方式</w:t>
      </w:r>
    </w:p>
    <w:p w14:paraId="2C0A89AF">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14:paraId="1479669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trike w:val="0"/>
          <w:dstrike w:val="0"/>
          <w:color w:val="auto"/>
          <w:sz w:val="22"/>
          <w:szCs w:val="22"/>
          <w:highlight w:val="none"/>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6</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23</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13</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分至</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7</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14</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17</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color w:val="auto"/>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14:paraId="137D7EB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2780B3F5">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14:paraId="46EF49C0">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eastAsia="zh-CN"/>
        </w:rPr>
        <w:t>（</w:t>
      </w:r>
      <w:r>
        <w:rPr>
          <w:rFonts w:hint="eastAsia" w:ascii="宋体" w:hAnsi="宋体" w:eastAsia="宋体" w:cs="宋体"/>
          <w:snapToGrid w:val="0"/>
          <w:color w:val="auto"/>
          <w:sz w:val="22"/>
          <w:szCs w:val="22"/>
          <w:highlight w:val="none"/>
          <w:lang w:val="en-US" w:eastAsia="zh-CN"/>
        </w:rPr>
        <w:t>1</w:t>
      </w:r>
      <w:r>
        <w:rPr>
          <w:rFonts w:hint="eastAsia" w:ascii="宋体" w:hAnsi="宋体" w:eastAsia="宋体" w:cs="宋体"/>
          <w:snapToGrid w:val="0"/>
          <w:color w:val="auto"/>
          <w:sz w:val="22"/>
          <w:szCs w:val="22"/>
          <w:highlight w:val="none"/>
          <w:lang w:eastAsia="zh-CN"/>
        </w:rPr>
        <w:t>）获取方式：</w:t>
      </w:r>
      <w:r>
        <w:rPr>
          <w:rFonts w:hint="eastAsia" w:ascii="宋体" w:hAnsi="宋体" w:eastAsia="宋体" w:cs="宋体"/>
          <w:snapToGrid w:val="0"/>
          <w:color w:val="auto"/>
          <w:sz w:val="22"/>
          <w:szCs w:val="22"/>
          <w:highlight w:val="none"/>
          <w:lang w:val="zh-CN"/>
        </w:rPr>
        <w:t>本项目招标文件</w:t>
      </w:r>
      <w:r>
        <w:rPr>
          <w:rFonts w:hint="eastAsia" w:ascii="宋体" w:hAnsi="宋体" w:eastAsia="宋体" w:cs="宋体"/>
          <w:snapToGrid w:val="0"/>
          <w:color w:val="auto"/>
          <w:sz w:val="22"/>
          <w:szCs w:val="22"/>
          <w:highlight w:val="none"/>
        </w:rPr>
        <w:t>（</w:t>
      </w:r>
      <w:r>
        <w:rPr>
          <w:rFonts w:hint="eastAsia" w:ascii="宋体" w:hAnsi="宋体" w:eastAsia="宋体" w:cs="宋体"/>
          <w:snapToGrid w:val="0"/>
          <w:color w:val="auto"/>
          <w:sz w:val="22"/>
          <w:szCs w:val="22"/>
          <w:highlight w:val="none"/>
          <w:lang w:val="zh-CN"/>
        </w:rPr>
        <w:t>含招标补充文件（若有）、相关技术资料和图纸（若有））以</w:t>
      </w:r>
      <w:r>
        <w:rPr>
          <w:rFonts w:hint="eastAsia" w:ascii="宋体" w:hAnsi="宋体" w:eastAsia="宋体" w:cs="宋体"/>
          <w:snapToGrid w:val="0"/>
          <w:color w:val="auto"/>
          <w:sz w:val="22"/>
          <w:szCs w:val="22"/>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2"/>
          <w:szCs w:val="22"/>
          <w:highlight w:val="none"/>
          <w:u w:val="single"/>
          <w:lang w:val="zh-CN"/>
        </w:rPr>
        <w:t>网上下载方式（</w:t>
      </w:r>
      <w:r>
        <w:rPr>
          <w:rFonts w:hint="eastAsia" w:ascii="宋体" w:hAnsi="宋体" w:eastAsia="宋体" w:cs="宋体"/>
          <w:snapToGrid w:val="0"/>
          <w:color w:val="auto"/>
          <w:sz w:val="22"/>
          <w:szCs w:val="22"/>
          <w:highlight w:val="none"/>
          <w:u w:val="single"/>
          <w:lang w:val="zh-CN" w:eastAsia="zh-CN"/>
        </w:rPr>
        <w:t>下载网址：</w:t>
      </w:r>
      <w:r>
        <w:rPr>
          <w:rFonts w:hint="eastAsia" w:ascii="宋体" w:hAnsi="宋体" w:eastAsia="宋体" w:cs="宋体"/>
          <w:snapToGrid w:val="0"/>
          <w:color w:val="auto"/>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color w:val="auto"/>
          <w:sz w:val="22"/>
          <w:szCs w:val="22"/>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2"/>
          <w:szCs w:val="22"/>
          <w:highlight w:val="none"/>
          <w:u w:val="single"/>
          <w:lang w:val="en-US" w:eastAsia="zh-CN"/>
        </w:rPr>
        <w:t xml:space="preserve">电子邮件方式获取（联系人： ，联系电话： /  ，邮箱：/ ）/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2"/>
          <w:szCs w:val="22"/>
          <w:highlight w:val="none"/>
          <w:u w:val="single"/>
          <w:lang w:val="en-US" w:eastAsia="zh-CN"/>
        </w:rPr>
        <w:t>线下领取方式（地址 /，联系人：/ ，联系电话： / ）</w:t>
      </w:r>
      <w:r>
        <w:rPr>
          <w:rFonts w:hint="eastAsia" w:ascii="宋体" w:hAnsi="宋体" w:eastAsia="宋体" w:cs="宋体"/>
          <w:snapToGrid w:val="0"/>
          <w:color w:val="auto"/>
          <w:sz w:val="22"/>
          <w:szCs w:val="22"/>
          <w:highlight w:val="none"/>
          <w:u w:val="none"/>
          <w:lang w:val="en-US" w:eastAsia="zh-CN"/>
        </w:rPr>
        <w:t xml:space="preserve"> </w:t>
      </w:r>
      <w:r>
        <w:rPr>
          <w:rFonts w:hint="eastAsia" w:ascii="宋体" w:hAnsi="宋体" w:eastAsia="宋体" w:cs="宋体"/>
          <w:snapToGrid w:val="0"/>
          <w:color w:val="auto"/>
          <w:sz w:val="22"/>
          <w:szCs w:val="22"/>
          <w:highlight w:val="none"/>
          <w:lang w:val="zh-CN"/>
        </w:rPr>
        <w:t>获取；</w:t>
      </w:r>
    </w:p>
    <w:p w14:paraId="3CD26FF7">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bCs/>
          <w:color w:val="auto"/>
          <w:sz w:val="22"/>
          <w:szCs w:val="22"/>
          <w:highlight w:val="none"/>
          <w:lang w:val="en-US" w:eastAsia="zh-CN"/>
        </w:rPr>
      </w:pPr>
      <w:r>
        <w:rPr>
          <w:rFonts w:hint="eastAsia" w:ascii="宋体" w:hAnsi="宋体" w:eastAsia="宋体" w:cs="宋体"/>
          <w:snapToGrid w:val="0"/>
          <w:color w:val="auto"/>
          <w:sz w:val="22"/>
          <w:szCs w:val="22"/>
          <w:highlight w:val="none"/>
          <w:lang w:eastAsia="zh-CN"/>
        </w:rPr>
        <w:t>（</w:t>
      </w:r>
      <w:r>
        <w:rPr>
          <w:rFonts w:hint="eastAsia" w:ascii="宋体" w:hAnsi="宋体" w:eastAsia="宋体" w:cs="宋体"/>
          <w:snapToGrid w:val="0"/>
          <w:color w:val="auto"/>
          <w:sz w:val="22"/>
          <w:szCs w:val="22"/>
          <w:highlight w:val="none"/>
          <w:lang w:val="en-US" w:eastAsia="zh-CN"/>
        </w:rPr>
        <w:t>2</w:t>
      </w:r>
      <w:r>
        <w:rPr>
          <w:rFonts w:hint="eastAsia" w:ascii="宋体" w:hAnsi="宋体" w:eastAsia="宋体" w:cs="宋体"/>
          <w:snapToGrid w:val="0"/>
          <w:color w:val="auto"/>
          <w:sz w:val="22"/>
          <w:szCs w:val="22"/>
          <w:highlight w:val="none"/>
          <w:lang w:eastAsia="zh-CN"/>
        </w:rPr>
        <w:t>）</w:t>
      </w:r>
      <w:r>
        <w:rPr>
          <w:rFonts w:hint="eastAsia" w:ascii="宋体" w:hAnsi="宋体" w:eastAsia="宋体" w:cs="宋体"/>
          <w:snapToGrid w:val="0"/>
          <w:color w:val="auto"/>
          <w:sz w:val="22"/>
          <w:szCs w:val="22"/>
          <w:highlight w:val="none"/>
          <w:lang w:val="en-US" w:eastAsia="zh-CN"/>
        </w:rPr>
        <w:t>获取</w:t>
      </w:r>
      <w:r>
        <w:rPr>
          <w:rFonts w:hint="eastAsia" w:ascii="宋体" w:hAnsi="宋体" w:eastAsia="宋体" w:cs="宋体"/>
          <w:snapToGrid w:val="0"/>
          <w:color w:val="auto"/>
          <w:sz w:val="22"/>
          <w:szCs w:val="22"/>
          <w:highlight w:val="none"/>
          <w:lang w:val="zh-CN"/>
        </w:rPr>
        <w:t>时间：</w:t>
      </w:r>
      <w:r>
        <w:rPr>
          <w:rFonts w:hint="eastAsia" w:ascii="宋体" w:hAnsi="宋体" w:eastAsia="宋体" w:cs="宋体"/>
          <w:b/>
          <w:bCs/>
          <w:color w:val="auto"/>
          <w:sz w:val="22"/>
          <w:szCs w:val="22"/>
          <w:highlight w:val="none"/>
          <w:lang w:val="en-US" w:eastAsia="zh-CN"/>
        </w:rPr>
        <w:t>自本项目招标公告发布之日起至</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snapToGrid w:val="0"/>
          <w:color w:val="auto"/>
          <w:kern w:val="0"/>
          <w:sz w:val="22"/>
          <w:szCs w:val="22"/>
          <w:highlight w:val="none"/>
          <w:u w:val="single"/>
          <w:lang w:val="zh-CN" w:eastAsia="zh-CN" w:bidi="ar-SA"/>
        </w:rPr>
        <w:t>报名截止</w:t>
      </w:r>
      <w:r>
        <w:rPr>
          <w:rFonts w:hint="eastAsia" w:ascii="宋体" w:hAnsi="宋体" w:eastAsia="宋体" w:cs="宋体"/>
          <w:b/>
          <w:bCs/>
          <w:snapToGrid w:val="0"/>
          <w:color w:val="auto"/>
          <w:kern w:val="0"/>
          <w:sz w:val="22"/>
          <w:szCs w:val="22"/>
          <w:highlight w:val="none"/>
          <w:u w:val="single"/>
          <w:lang w:val="en-US" w:eastAsia="zh-CN" w:bidi="ar-SA"/>
        </w:rPr>
        <w:t xml:space="preserve">时间 </w:t>
      </w:r>
      <w:r>
        <w:rPr>
          <w:rFonts w:hint="eastAsia" w:ascii="宋体" w:hAnsi="宋体" w:eastAsia="宋体" w:cs="宋体"/>
          <w:b/>
          <w:bCs/>
          <w:color w:val="auto"/>
          <w:sz w:val="22"/>
          <w:szCs w:val="22"/>
          <w:highlight w:val="none"/>
          <w:lang w:val="en-US" w:eastAsia="zh-CN"/>
        </w:rPr>
        <w:t>止（投标人对招标文件提出问题截止时间：_2025___年__</w:t>
      </w:r>
      <w:r>
        <w:rPr>
          <w:rFonts w:hint="eastAsia" w:cs="宋体"/>
          <w:b/>
          <w:bCs/>
          <w:color w:val="auto"/>
          <w:sz w:val="22"/>
          <w:szCs w:val="22"/>
          <w:highlight w:val="none"/>
          <w:lang w:val="en-US" w:eastAsia="zh-CN"/>
        </w:rPr>
        <w:t>7</w:t>
      </w:r>
      <w:r>
        <w:rPr>
          <w:rFonts w:hint="eastAsia" w:ascii="宋体" w:hAnsi="宋体" w:eastAsia="宋体" w:cs="宋体"/>
          <w:b/>
          <w:bCs/>
          <w:color w:val="auto"/>
          <w:sz w:val="22"/>
          <w:szCs w:val="22"/>
          <w:highlight w:val="none"/>
          <w:lang w:val="en-US" w:eastAsia="zh-CN"/>
        </w:rPr>
        <w:t>__月__</w:t>
      </w:r>
      <w:r>
        <w:rPr>
          <w:rFonts w:hint="eastAsia" w:cs="宋体"/>
          <w:b/>
          <w:bCs/>
          <w:color w:val="auto"/>
          <w:sz w:val="22"/>
          <w:szCs w:val="22"/>
          <w:highlight w:val="none"/>
          <w:lang w:val="en-US" w:eastAsia="zh-CN"/>
        </w:rPr>
        <w:t>3</w:t>
      </w:r>
      <w:r>
        <w:rPr>
          <w:rFonts w:hint="eastAsia" w:ascii="宋体" w:hAnsi="宋体" w:eastAsia="宋体" w:cs="宋体"/>
          <w:b/>
          <w:bCs/>
          <w:color w:val="auto"/>
          <w:sz w:val="22"/>
          <w:szCs w:val="22"/>
          <w:highlight w:val="none"/>
          <w:lang w:val="en-US" w:eastAsia="zh-CN"/>
        </w:rPr>
        <w:t>__日）；</w:t>
      </w:r>
    </w:p>
    <w:p w14:paraId="6CBF4EC2">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color w:val="auto"/>
          <w:sz w:val="22"/>
          <w:szCs w:val="22"/>
          <w:highlight w:val="none"/>
          <w:u w:val="none"/>
          <w:lang w:val="en-US" w:eastAsia="zh-CN"/>
        </w:rPr>
      </w:pPr>
      <w:r>
        <w:rPr>
          <w:rFonts w:hint="eastAsia" w:ascii="宋体" w:hAnsi="宋体" w:eastAsia="宋体" w:cs="宋体"/>
          <w:snapToGrid w:val="0"/>
          <w:color w:val="auto"/>
          <w:sz w:val="22"/>
          <w:szCs w:val="22"/>
          <w:highlight w:val="none"/>
          <w:lang w:val="zh-CN"/>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rPr>
        <w:t>）</w:t>
      </w:r>
      <w:r>
        <w:rPr>
          <w:rFonts w:hint="eastAsia" w:ascii="宋体" w:hAnsi="宋体" w:eastAsia="宋体" w:cs="宋体"/>
          <w:snapToGrid w:val="0"/>
          <w:color w:val="auto"/>
          <w:sz w:val="22"/>
          <w:szCs w:val="22"/>
          <w:highlight w:val="none"/>
          <w:lang w:val="en-US" w:eastAsia="zh-CN"/>
        </w:rPr>
        <w:t>招标文件费用：</w:t>
      </w:r>
      <w:r>
        <w:rPr>
          <w:rFonts w:hint="eastAsia" w:ascii="宋体" w:hAnsi="宋体" w:eastAsia="宋体" w:cs="宋体"/>
          <w:b w:val="0"/>
          <w:bCs/>
          <w:color w:val="auto"/>
          <w:sz w:val="22"/>
          <w:szCs w:val="22"/>
          <w:highlight w:val="none"/>
          <w:u w:val="single"/>
          <w:lang w:val="en-US" w:eastAsia="zh-CN"/>
        </w:rPr>
        <w:t xml:space="preserve">  / </w:t>
      </w:r>
      <w:r>
        <w:rPr>
          <w:rFonts w:hint="eastAsia" w:ascii="宋体" w:hAnsi="宋体" w:eastAsia="宋体" w:cs="宋体"/>
          <w:b w:val="0"/>
          <w:bCs/>
          <w:color w:val="auto"/>
          <w:sz w:val="22"/>
          <w:szCs w:val="22"/>
          <w:highlight w:val="none"/>
          <w:u w:val="none"/>
          <w:lang w:val="en-US" w:eastAsia="zh-CN"/>
        </w:rPr>
        <w:t>元/份，售后不退；</w:t>
      </w:r>
    </w:p>
    <w:p w14:paraId="6175C32E">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color w:val="auto"/>
          <w:sz w:val="22"/>
          <w:szCs w:val="22"/>
          <w:highlight w:val="none"/>
          <w:u w:val="none"/>
          <w:lang w:val="en-US" w:eastAsia="zh-CN"/>
        </w:rPr>
      </w:pPr>
      <w:r>
        <w:rPr>
          <w:rFonts w:hint="eastAsia" w:ascii="宋体" w:hAnsi="宋体" w:eastAsia="宋体" w:cs="宋体"/>
          <w:b w:val="0"/>
          <w:bCs/>
          <w:color w:val="auto"/>
          <w:sz w:val="22"/>
          <w:szCs w:val="22"/>
          <w:highlight w:val="none"/>
          <w:u w:val="none"/>
          <w:lang w:val="en-US" w:eastAsia="zh-CN"/>
        </w:rPr>
        <w:t>（缴纳账户：开户银行：</w:t>
      </w:r>
      <w:r>
        <w:rPr>
          <w:rFonts w:hint="eastAsia" w:ascii="宋体" w:hAnsi="宋体" w:eastAsia="宋体" w:cs="宋体"/>
          <w:b w:val="0"/>
          <w:bCs/>
          <w:color w:val="auto"/>
          <w:sz w:val="22"/>
          <w:szCs w:val="22"/>
          <w:highlight w:val="none"/>
          <w:u w:val="single"/>
          <w:lang w:val="en-US" w:eastAsia="zh-CN"/>
        </w:rPr>
        <w:t xml:space="preserve">   / </w:t>
      </w:r>
      <w:r>
        <w:rPr>
          <w:rFonts w:hint="eastAsia" w:ascii="宋体" w:hAnsi="宋体" w:eastAsia="宋体" w:cs="宋体"/>
          <w:b w:val="0"/>
          <w:bCs/>
          <w:color w:val="auto"/>
          <w:sz w:val="22"/>
          <w:szCs w:val="22"/>
          <w:highlight w:val="none"/>
          <w:u w:val="none"/>
          <w:lang w:val="en-US" w:eastAsia="zh-CN"/>
        </w:rPr>
        <w:t>，收款单位（户名）：</w:t>
      </w:r>
      <w:r>
        <w:rPr>
          <w:rFonts w:hint="eastAsia" w:ascii="宋体" w:hAnsi="宋体" w:eastAsia="宋体" w:cs="宋体"/>
          <w:b w:val="0"/>
          <w:bCs/>
          <w:color w:val="auto"/>
          <w:sz w:val="22"/>
          <w:szCs w:val="22"/>
          <w:highlight w:val="none"/>
          <w:u w:val="single"/>
          <w:lang w:val="en-US" w:eastAsia="zh-CN"/>
        </w:rPr>
        <w:t xml:space="preserve"> / </w:t>
      </w:r>
      <w:r>
        <w:rPr>
          <w:rFonts w:hint="eastAsia" w:ascii="宋体" w:hAnsi="宋体" w:eastAsia="宋体" w:cs="宋体"/>
          <w:b w:val="0"/>
          <w:bCs/>
          <w:color w:val="auto"/>
          <w:sz w:val="22"/>
          <w:szCs w:val="22"/>
          <w:highlight w:val="none"/>
          <w:u w:val="none"/>
          <w:lang w:val="en-US" w:eastAsia="zh-CN"/>
        </w:rPr>
        <w:t>，账号：</w:t>
      </w:r>
      <w:r>
        <w:rPr>
          <w:rFonts w:hint="eastAsia" w:ascii="宋体" w:hAnsi="宋体" w:eastAsia="宋体" w:cs="宋体"/>
          <w:b w:val="0"/>
          <w:bCs/>
          <w:color w:val="auto"/>
          <w:sz w:val="22"/>
          <w:szCs w:val="22"/>
          <w:highlight w:val="none"/>
          <w:u w:val="single"/>
          <w:lang w:val="en-US" w:eastAsia="zh-CN"/>
        </w:rPr>
        <w:t xml:space="preserve">   /  </w:t>
      </w:r>
      <w:r>
        <w:rPr>
          <w:rFonts w:hint="eastAsia" w:ascii="宋体" w:hAnsi="宋体" w:eastAsia="宋体" w:cs="宋体"/>
          <w:b w:val="0"/>
          <w:bCs/>
          <w:color w:val="auto"/>
          <w:sz w:val="22"/>
          <w:szCs w:val="22"/>
          <w:highlight w:val="none"/>
          <w:u w:val="none"/>
          <w:lang w:val="en-US" w:eastAsia="zh-CN"/>
        </w:rPr>
        <w:t>。）</w:t>
      </w:r>
    </w:p>
    <w:p w14:paraId="2DA70925">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color w:val="auto"/>
          <w:sz w:val="22"/>
          <w:szCs w:val="22"/>
          <w:highlight w:val="none"/>
          <w:u w:val="none"/>
          <w:lang w:val="en-US" w:eastAsia="zh-CN"/>
        </w:rPr>
      </w:pPr>
      <w:r>
        <w:rPr>
          <w:rFonts w:hint="eastAsia" w:ascii="宋体" w:hAnsi="宋体" w:eastAsia="宋体" w:cs="宋体"/>
          <w:snapToGrid w:val="0"/>
          <w:color w:val="auto"/>
          <w:sz w:val="22"/>
          <w:szCs w:val="22"/>
          <w:highlight w:val="none"/>
          <w:lang w:val="zh-CN"/>
        </w:rPr>
        <w:t>（</w:t>
      </w:r>
      <w:r>
        <w:rPr>
          <w:rFonts w:hint="eastAsia" w:ascii="宋体" w:hAnsi="宋体" w:eastAsia="宋体" w:cs="宋体"/>
          <w:snapToGrid w:val="0"/>
          <w:color w:val="auto"/>
          <w:sz w:val="22"/>
          <w:szCs w:val="22"/>
          <w:highlight w:val="none"/>
          <w:lang w:val="en-US" w:eastAsia="zh-CN"/>
        </w:rPr>
        <w:t>4</w:t>
      </w:r>
      <w:r>
        <w:rPr>
          <w:rFonts w:hint="eastAsia" w:ascii="宋体" w:hAnsi="宋体" w:eastAsia="宋体" w:cs="宋体"/>
          <w:snapToGrid w:val="0"/>
          <w:color w:val="auto"/>
          <w:sz w:val="22"/>
          <w:szCs w:val="22"/>
          <w:highlight w:val="none"/>
          <w:lang w:val="zh-CN"/>
        </w:rPr>
        <w:t>）</w:t>
      </w:r>
      <w:r>
        <w:rPr>
          <w:rFonts w:hint="eastAsia" w:ascii="宋体" w:hAnsi="宋体" w:eastAsia="宋体" w:cs="宋体"/>
          <w:snapToGrid w:val="0"/>
          <w:color w:val="auto"/>
          <w:sz w:val="22"/>
          <w:szCs w:val="22"/>
          <w:highlight w:val="none"/>
          <w:lang w:val="en-US" w:eastAsia="zh-CN"/>
        </w:rPr>
        <w:t>获取招标文件时须提供以下资料</w:t>
      </w:r>
      <w:r>
        <w:rPr>
          <w:rFonts w:hint="eastAsia" w:ascii="宋体" w:hAnsi="宋体" w:eastAsia="宋体" w:cs="宋体"/>
          <w:b/>
          <w:bCs/>
          <w:snapToGrid w:val="0"/>
          <w:color w:val="auto"/>
          <w:sz w:val="22"/>
          <w:szCs w:val="22"/>
          <w:highlight w:val="none"/>
          <w:lang w:val="en-US" w:eastAsia="zh-CN"/>
        </w:rPr>
        <w:t>（网上下载获取方式除外）</w:t>
      </w:r>
      <w:r>
        <w:rPr>
          <w:rFonts w:hint="eastAsia" w:ascii="宋体" w:hAnsi="宋体" w:eastAsia="宋体" w:cs="宋体"/>
          <w:snapToGrid w:val="0"/>
          <w:color w:val="auto"/>
          <w:sz w:val="22"/>
          <w:szCs w:val="22"/>
          <w:highlight w:val="none"/>
          <w:lang w:val="en-US" w:eastAsia="zh-CN"/>
        </w:rPr>
        <w:t>：</w:t>
      </w:r>
      <w:r>
        <w:rPr>
          <w:rFonts w:hint="eastAsia" w:ascii="宋体" w:hAnsi="宋体" w:eastAsia="宋体" w:cs="宋体"/>
          <w:snapToGrid w:val="0"/>
          <w:color w:val="auto"/>
          <w:sz w:val="22"/>
          <w:szCs w:val="22"/>
          <w:highlight w:val="none"/>
          <w:u w:val="single"/>
          <w:lang w:val="en-US" w:eastAsia="zh-CN"/>
        </w:rPr>
        <w:t>①</w:t>
      </w:r>
      <w:r>
        <w:rPr>
          <w:rFonts w:hint="eastAsia" w:ascii="宋体" w:hAnsi="宋体" w:eastAsia="宋体" w:cs="宋体"/>
          <w:snapToGrid w:val="0"/>
          <w:color w:val="auto"/>
          <w:sz w:val="22"/>
          <w:szCs w:val="22"/>
          <w:highlight w:val="none"/>
          <w:u w:val="single"/>
          <w:lang w:val="zh-CN"/>
        </w:rPr>
        <w:t>营业执照复印件（或事业单位法人证书复印件）；</w:t>
      </w:r>
      <w:r>
        <w:rPr>
          <w:rFonts w:hint="eastAsia" w:ascii="宋体" w:hAnsi="宋体" w:eastAsia="宋体" w:cs="宋体"/>
          <w:snapToGrid w:val="0"/>
          <w:color w:val="auto"/>
          <w:sz w:val="22"/>
          <w:szCs w:val="22"/>
          <w:highlight w:val="none"/>
          <w:u w:val="single"/>
          <w:lang w:val="en-US" w:eastAsia="zh-CN"/>
        </w:rPr>
        <w:t>②</w:t>
      </w:r>
      <w:r>
        <w:rPr>
          <w:rFonts w:hint="eastAsia" w:ascii="宋体" w:hAnsi="宋体" w:eastAsia="宋体" w:cs="宋体"/>
          <w:snapToGrid w:val="0"/>
          <w:color w:val="auto"/>
          <w:sz w:val="22"/>
          <w:szCs w:val="22"/>
          <w:highlight w:val="none"/>
          <w:u w:val="single"/>
          <w:lang w:val="zh-CN"/>
        </w:rPr>
        <w:t>法定代表人授权委托书原件（或单位介绍信）；</w:t>
      </w:r>
      <w:r>
        <w:rPr>
          <w:rFonts w:hint="eastAsia" w:ascii="宋体" w:hAnsi="宋体" w:eastAsia="宋体" w:cs="宋体"/>
          <w:snapToGrid w:val="0"/>
          <w:color w:val="auto"/>
          <w:sz w:val="22"/>
          <w:szCs w:val="22"/>
          <w:highlight w:val="none"/>
          <w:u w:val="single"/>
          <w:lang w:val="en-US" w:eastAsia="zh-CN"/>
        </w:rPr>
        <w:t>③</w:t>
      </w:r>
      <w:r>
        <w:rPr>
          <w:rFonts w:hint="eastAsia" w:ascii="宋体" w:hAnsi="宋体" w:eastAsia="宋体" w:cs="宋体"/>
          <w:snapToGrid w:val="0"/>
          <w:color w:val="auto"/>
          <w:sz w:val="22"/>
          <w:szCs w:val="22"/>
          <w:highlight w:val="none"/>
          <w:u w:val="single"/>
          <w:lang w:val="zh-CN"/>
        </w:rPr>
        <w:t>授权代表的身份证复印件；</w:t>
      </w:r>
      <w:r>
        <w:rPr>
          <w:rFonts w:hint="eastAsia" w:ascii="宋体" w:hAnsi="宋体" w:eastAsia="宋体" w:cs="宋体"/>
          <w:snapToGrid w:val="0"/>
          <w:color w:val="auto"/>
          <w:sz w:val="22"/>
          <w:szCs w:val="22"/>
          <w:highlight w:val="none"/>
          <w:u w:val="single"/>
          <w:lang w:val="en-US" w:eastAsia="zh-CN"/>
        </w:rPr>
        <w:t>④</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2"/>
          <w:szCs w:val="22"/>
          <w:highlight w:val="none"/>
          <w:u w:val="single"/>
          <w:lang w:val="en-US" w:eastAsia="zh-CN"/>
        </w:rPr>
        <w:t>招标文件获取登记表；⑤</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2"/>
          <w:szCs w:val="22"/>
          <w:highlight w:val="none"/>
          <w:u w:val="single"/>
          <w:lang w:val="zh-CN"/>
        </w:rPr>
        <w:t>招标文件费用转账凭证</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en-US" w:eastAsia="zh-CN"/>
        </w:rPr>
        <w:t>⑥</w:t>
      </w:r>
      <w:r>
        <w:rPr>
          <w:rFonts w:hint="eastAsia" w:ascii="宋体" w:hAnsi="宋体" w:eastAsia="宋体" w:cs="宋体"/>
          <w:b/>
          <w:bCs/>
          <w:snapToGrid w:val="0"/>
          <w:color w:val="auto"/>
          <w:sz w:val="22"/>
          <w:szCs w:val="22"/>
          <w:highlight w:val="none"/>
          <w:u w:val="single"/>
          <w:lang w:val="zh-CN"/>
        </w:rPr>
        <w:t>（招标人认为需要增加的其他</w:t>
      </w:r>
      <w:r>
        <w:rPr>
          <w:rFonts w:hint="eastAsia" w:ascii="宋体" w:hAnsi="宋体" w:eastAsia="宋体" w:cs="宋体"/>
          <w:b/>
          <w:bCs/>
          <w:snapToGrid w:val="0"/>
          <w:color w:val="auto"/>
          <w:sz w:val="22"/>
          <w:szCs w:val="22"/>
          <w:highlight w:val="none"/>
          <w:u w:val="single"/>
          <w:lang w:val="en-US" w:eastAsia="zh-CN"/>
        </w:rPr>
        <w:t>资料</w:t>
      </w:r>
      <w:r>
        <w:rPr>
          <w:rFonts w:hint="eastAsia" w:ascii="宋体" w:hAnsi="宋体" w:eastAsia="宋体" w:cs="宋体"/>
          <w:b/>
          <w:bCs/>
          <w:snapToGrid w:val="0"/>
          <w:color w:val="auto"/>
          <w:sz w:val="22"/>
          <w:szCs w:val="22"/>
          <w:highlight w:val="none"/>
          <w:u w:val="single"/>
          <w:lang w:val="zh-CN"/>
        </w:rPr>
        <w:t>）</w:t>
      </w:r>
      <w:r>
        <w:rPr>
          <w:rFonts w:hint="eastAsia" w:ascii="宋体" w:hAnsi="宋体" w:eastAsia="宋体" w:cs="宋体"/>
          <w:snapToGrid w:val="0"/>
          <w:color w:val="auto"/>
          <w:sz w:val="22"/>
          <w:szCs w:val="22"/>
          <w:highlight w:val="none"/>
          <w:lang w:val="en-US" w:eastAsia="zh-CN"/>
        </w:rPr>
        <w:t>，以上所有资料均需加盖投标单位公章。</w:t>
      </w:r>
    </w:p>
    <w:p w14:paraId="4928482B">
      <w:pPr>
        <w:pStyle w:val="20"/>
        <w:adjustRightInd w:val="0"/>
        <w:snapToGrid w:val="0"/>
        <w:spacing w:before="0" w:beforeAutospacing="0" w:after="0" w:afterAutospacing="0" w:line="360" w:lineRule="auto"/>
        <w:ind w:firstLine="442" w:firstLineChars="200"/>
        <w:rPr>
          <w:rFonts w:hint="eastAsia" w:ascii="宋体" w:hAnsi="宋体" w:eastAsia="宋体" w:cs="宋体"/>
          <w:b/>
          <w:bCs w:val="0"/>
          <w:color w:val="auto"/>
          <w:sz w:val="22"/>
          <w:szCs w:val="22"/>
          <w:highlight w:val="none"/>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color w:val="auto"/>
          <w:sz w:val="22"/>
          <w:szCs w:val="22"/>
          <w:highlight w:val="none"/>
          <w:u w:val="none"/>
          <w:lang w:val="en-US" w:eastAsia="zh-CN"/>
        </w:rPr>
        <w:t>：</w:t>
      </w:r>
      <w:r>
        <w:rPr>
          <w:rFonts w:hint="eastAsia" w:ascii="宋体" w:hAnsi="宋体" w:eastAsia="宋体" w:cs="宋体"/>
          <w:b w:val="0"/>
          <w:bCs/>
          <w:color w:val="auto"/>
          <w:sz w:val="22"/>
          <w:szCs w:val="22"/>
          <w:highlight w:val="none"/>
          <w:u w:val="none"/>
          <w:lang w:val="en-US" w:eastAsia="zh-CN"/>
        </w:rPr>
        <w:t>本项目</w:t>
      </w:r>
      <w:r>
        <w:rPr>
          <w:rFonts w:hint="eastAsia" w:ascii="宋体" w:hAnsi="宋体" w:eastAsia="宋体" w:cs="宋体"/>
          <w:b w:val="0"/>
          <w:bCs/>
          <w:color w:val="auto"/>
          <w:sz w:val="22"/>
          <w:szCs w:val="22"/>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b w:val="0"/>
          <w:bCs/>
          <w:color w:val="auto"/>
          <w:sz w:val="22"/>
          <w:szCs w:val="22"/>
          <w:highlight w:val="none"/>
          <w:u w:val="single"/>
          <w:lang w:val="en-US" w:eastAsia="zh-CN"/>
        </w:rPr>
        <w:t>需要/</w:t>
      </w:r>
      <w:r>
        <w:rPr>
          <w:rFonts w:hint="eastAsia" w:ascii="宋体" w:hAnsi="宋体" w:eastAsia="宋体" w:cs="宋体"/>
          <w:bCs/>
          <w:color w:val="auto"/>
          <w:kern w:val="2"/>
          <w:highlight w:val="none"/>
          <w:u w:val="single"/>
          <w:lang w:eastAsia="zh-CN"/>
        </w:rPr>
        <w:t>□</w:t>
      </w:r>
      <w:r>
        <w:rPr>
          <w:rFonts w:hint="eastAsia" w:ascii="宋体" w:hAnsi="宋体" w:eastAsia="宋体" w:cs="宋体"/>
          <w:b w:val="0"/>
          <w:bCs/>
          <w:color w:val="auto"/>
          <w:sz w:val="22"/>
          <w:szCs w:val="22"/>
          <w:highlight w:val="none"/>
          <w:u w:val="single"/>
          <w:lang w:val="en-US" w:eastAsia="zh-CN"/>
        </w:rPr>
        <w:t xml:space="preserve">不需要 </w:t>
      </w:r>
      <w:r>
        <w:rPr>
          <w:rFonts w:hint="eastAsia" w:ascii="宋体" w:hAnsi="宋体" w:eastAsia="宋体" w:cs="宋体"/>
          <w:b w:val="0"/>
          <w:bCs/>
          <w:color w:val="auto"/>
          <w:sz w:val="22"/>
          <w:szCs w:val="22"/>
          <w:highlight w:val="none"/>
          <w:u w:val="none"/>
          <w:lang w:val="en-US" w:eastAsia="zh-CN"/>
        </w:rPr>
        <w:t>交纳</w:t>
      </w:r>
      <w:r>
        <w:rPr>
          <w:rFonts w:hint="eastAsia" w:ascii="宋体" w:hAnsi="宋体" w:eastAsia="宋体" w:cs="宋体"/>
          <w:b w:val="0"/>
          <w:bCs/>
          <w:color w:val="auto"/>
          <w:sz w:val="22"/>
          <w:szCs w:val="22"/>
          <w:highlight w:val="none"/>
          <w:lang w:val="en-US" w:eastAsia="zh-CN"/>
        </w:rPr>
        <w:t>投标保证金。交纳投标保证金</w:t>
      </w:r>
      <w:r>
        <w:rPr>
          <w:rFonts w:hint="eastAsia" w:ascii="宋体" w:hAnsi="宋体" w:eastAsia="宋体" w:cs="宋体"/>
          <w:color w:val="auto"/>
          <w:sz w:val="22"/>
          <w:szCs w:val="22"/>
          <w:highlight w:val="none"/>
        </w:rPr>
        <w:t>的具体要求如下：</w:t>
      </w:r>
    </w:p>
    <w:p w14:paraId="544C376F">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1</w:t>
      </w:r>
      <w:r>
        <w:rPr>
          <w:rFonts w:hint="eastAsia" w:ascii="宋体" w:hAnsi="宋体" w:eastAsia="宋体" w:cs="宋体"/>
          <w:bCs/>
          <w:color w:val="auto"/>
          <w:sz w:val="22"/>
          <w:szCs w:val="22"/>
          <w:highlight w:val="none"/>
          <w:u w:val="none"/>
          <w:lang w:eastAsia="zh-CN"/>
        </w:rPr>
        <w:t>）交纳金额：</w:t>
      </w:r>
      <w:r>
        <w:rPr>
          <w:rFonts w:hint="eastAsia" w:ascii="宋体" w:hAnsi="宋体" w:eastAsia="宋体" w:cs="宋体"/>
          <w:b w:val="0"/>
          <w:bCs/>
          <w:color w:val="auto"/>
          <w:sz w:val="22"/>
          <w:szCs w:val="22"/>
          <w:highlight w:val="none"/>
          <w:u w:val="single"/>
          <w:lang w:val="en-US" w:eastAsia="zh-CN"/>
        </w:rPr>
        <w:t xml:space="preserve">  1.</w:t>
      </w:r>
      <w:r>
        <w:rPr>
          <w:rFonts w:hint="eastAsia" w:cs="宋体"/>
          <w:b w:val="0"/>
          <w:bCs/>
          <w:color w:val="auto"/>
          <w:sz w:val="22"/>
          <w:szCs w:val="22"/>
          <w:highlight w:val="none"/>
          <w:u w:val="single"/>
          <w:lang w:val="en-US" w:eastAsia="zh-CN"/>
        </w:rPr>
        <w:t>36</w:t>
      </w:r>
      <w:r>
        <w:rPr>
          <w:rFonts w:hint="eastAsia" w:ascii="宋体" w:hAnsi="宋体" w:eastAsia="宋体" w:cs="宋体"/>
          <w:b w:val="0"/>
          <w:bCs/>
          <w:color w:val="auto"/>
          <w:sz w:val="22"/>
          <w:szCs w:val="22"/>
          <w:highlight w:val="none"/>
          <w:u w:val="single"/>
          <w:lang w:val="en-US" w:eastAsia="zh-CN"/>
        </w:rPr>
        <w:t xml:space="preserve"> </w:t>
      </w:r>
      <w:r>
        <w:rPr>
          <w:rFonts w:hint="eastAsia" w:ascii="宋体" w:hAnsi="宋体" w:eastAsia="宋体" w:cs="宋体"/>
          <w:b w:val="0"/>
          <w:bCs/>
          <w:color w:val="auto"/>
          <w:sz w:val="22"/>
          <w:szCs w:val="22"/>
          <w:highlight w:val="none"/>
          <w:lang w:val="en-US" w:eastAsia="zh-CN"/>
        </w:rPr>
        <w:t>万元；</w:t>
      </w:r>
    </w:p>
    <w:p w14:paraId="63F5B3C4">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color w:val="auto"/>
          <w:sz w:val="22"/>
          <w:szCs w:val="22"/>
          <w:highlight w:val="none"/>
          <w:u w:val="single"/>
          <w:lang w:val="en-US" w:eastAsia="zh-CN"/>
        </w:rPr>
      </w:pP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u w:val="none"/>
          <w:lang w:val="en-US" w:eastAsia="zh-CN"/>
        </w:rPr>
        <w:t>交纳形式：</w:t>
      </w:r>
      <w:r>
        <w:rPr>
          <w:rFonts w:hint="eastAsia" w:ascii="宋体" w:hAnsi="宋体" w:eastAsia="宋体" w:cs="宋体"/>
          <w:b w:val="0"/>
          <w:bCs/>
          <w:color w:val="auto"/>
          <w:sz w:val="22"/>
          <w:szCs w:val="22"/>
          <w:highlight w:val="none"/>
          <w:u w:val="single"/>
          <w:lang w:val="en-US" w:eastAsia="zh-CN"/>
        </w:rPr>
        <w:t>□汇票 □支票 ☑电汇 □银行保函（注：必须为投标企业账户汇出，个人形式递交或现金递交视为未交纳，若采用银行保函，保函有效期须覆盖投标有效期）</w:t>
      </w:r>
    </w:p>
    <w:p w14:paraId="314E1D26">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Cs/>
          <w:color w:val="auto"/>
          <w:sz w:val="22"/>
          <w:szCs w:val="22"/>
          <w:highlight w:val="none"/>
          <w:u w:val="none"/>
          <w:lang w:eastAsia="zh-CN"/>
        </w:rPr>
      </w:pP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u w:val="single"/>
          <w:lang w:val="en-US" w:eastAsia="zh-CN"/>
        </w:rPr>
        <w:t>）交纳账户：开户银行：宁波银行杭州分行营业部 ，收款单位（户名）：杭州市能源集团有限公司；账号：86041110000078615 ；</w:t>
      </w:r>
    </w:p>
    <w:p w14:paraId="409E3644">
      <w:pPr>
        <w:pStyle w:val="20"/>
        <w:adjustRightInd w:val="0"/>
        <w:snapToGrid w:val="0"/>
        <w:spacing w:before="0" w:beforeAutospacing="0" w:after="0" w:afterAutospacing="0" w:line="360" w:lineRule="auto"/>
        <w:ind w:firstLine="440" w:firstLineChars="200"/>
        <w:rPr>
          <w:rFonts w:hint="eastAsia" w:ascii="宋体" w:hAnsi="宋体" w:eastAsia="宋体" w:cs="宋体"/>
          <w:bCs/>
          <w:color w:val="auto"/>
          <w:sz w:val="22"/>
          <w:szCs w:val="22"/>
          <w:highlight w:val="none"/>
          <w:u w:val="none"/>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4</w:t>
      </w:r>
      <w:r>
        <w:rPr>
          <w:rFonts w:hint="eastAsia" w:ascii="宋体" w:hAnsi="宋体" w:eastAsia="宋体" w:cs="宋体"/>
          <w:bCs/>
          <w:color w:val="auto"/>
          <w:sz w:val="22"/>
          <w:szCs w:val="22"/>
          <w:highlight w:val="none"/>
          <w:u w:val="none"/>
          <w:lang w:eastAsia="zh-CN"/>
        </w:rPr>
        <w:t>）交纳期限：投标截止</w:t>
      </w:r>
      <w:r>
        <w:rPr>
          <w:rFonts w:hint="eastAsia" w:ascii="宋体" w:hAnsi="宋体" w:eastAsia="宋体" w:cs="宋体"/>
          <w:bCs/>
          <w:color w:val="auto"/>
          <w:sz w:val="22"/>
          <w:szCs w:val="22"/>
          <w:highlight w:val="none"/>
          <w:u w:val="none"/>
          <w:lang w:val="en-US" w:eastAsia="zh-CN"/>
        </w:rPr>
        <w:t>时间</w:t>
      </w:r>
      <w:r>
        <w:rPr>
          <w:rFonts w:hint="eastAsia" w:ascii="宋体" w:hAnsi="宋体" w:eastAsia="宋体" w:cs="宋体"/>
          <w:bCs/>
          <w:color w:val="auto"/>
          <w:sz w:val="22"/>
          <w:szCs w:val="22"/>
          <w:highlight w:val="none"/>
          <w:u w:val="none"/>
        </w:rPr>
        <w:t>前。</w:t>
      </w:r>
    </w:p>
    <w:p w14:paraId="7531A588">
      <w:pPr>
        <w:pStyle w:val="20"/>
        <w:adjustRightInd w:val="0"/>
        <w:snapToGrid w:val="0"/>
        <w:spacing w:before="0" w:beforeAutospacing="0" w:after="0" w:afterAutospacing="0" w:line="360" w:lineRule="auto"/>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14:paraId="47664A6E">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rPr>
        <w:t>（1）</w:t>
      </w:r>
      <w:r>
        <w:rPr>
          <w:rFonts w:hint="eastAsia" w:ascii="宋体" w:hAnsi="宋体" w:eastAsia="宋体" w:cs="宋体"/>
          <w:snapToGrid w:val="0"/>
          <w:color w:val="auto"/>
          <w:sz w:val="22"/>
          <w:szCs w:val="22"/>
          <w:highlight w:val="none"/>
          <w:lang w:val="zh-CN"/>
        </w:rPr>
        <w:t>投标文件递交截止时间</w:t>
      </w:r>
      <w:r>
        <w:rPr>
          <w:rFonts w:hint="eastAsia" w:ascii="宋体" w:hAnsi="宋体" w:eastAsia="宋体" w:cs="宋体"/>
          <w:bCs/>
          <w:color w:val="auto"/>
          <w:sz w:val="22"/>
          <w:szCs w:val="22"/>
          <w:highlight w:val="none"/>
          <w:u w:val="none"/>
          <w:lang w:eastAsia="zh-CN"/>
        </w:rPr>
        <w:t>（同投标截止时间）</w:t>
      </w:r>
      <w:r>
        <w:rPr>
          <w:rFonts w:hint="eastAsia" w:ascii="宋体" w:hAnsi="宋体" w:eastAsia="宋体" w:cs="宋体"/>
          <w:snapToGrid w:val="0"/>
          <w:color w:val="auto"/>
          <w:sz w:val="22"/>
          <w:szCs w:val="22"/>
          <w:highlight w:val="none"/>
          <w:lang w:val="zh-CN"/>
        </w:rPr>
        <w:t>：</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2025</w:t>
      </w:r>
      <w:r>
        <w:rPr>
          <w:rFonts w:hint="eastAsia" w:ascii="宋体" w:hAnsi="宋体" w:eastAsia="宋体" w:cs="宋体"/>
          <w:color w:val="auto"/>
          <w:sz w:val="22"/>
          <w:szCs w:val="22"/>
          <w:highlight w:val="none"/>
          <w:u w:val="single"/>
        </w:rPr>
        <w:t xml:space="preserve">   </w:t>
      </w:r>
      <w:r>
        <w:rPr>
          <w:rFonts w:hint="eastAsia" w:ascii="宋体" w:hAnsi="宋体" w:eastAsia="宋体" w:cs="宋体"/>
          <w:snapToGrid w:val="0"/>
          <w:color w:val="auto"/>
          <w:sz w:val="22"/>
          <w:szCs w:val="22"/>
          <w:highlight w:val="none"/>
          <w:lang w:val="zh-CN"/>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u w:val="single"/>
        </w:rPr>
        <w:t xml:space="preserve"> </w:t>
      </w:r>
      <w:r>
        <w:rPr>
          <w:rFonts w:hint="eastAsia" w:ascii="宋体" w:hAnsi="宋体" w:eastAsia="宋体" w:cs="宋体"/>
          <w:snapToGrid w:val="0"/>
          <w:color w:val="auto"/>
          <w:sz w:val="22"/>
          <w:szCs w:val="22"/>
          <w:highlight w:val="none"/>
          <w:lang w:val="zh-CN"/>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cs="宋体"/>
          <w:color w:val="auto"/>
          <w:sz w:val="22"/>
          <w:szCs w:val="22"/>
          <w:highlight w:val="none"/>
          <w:u w:val="single"/>
          <w:lang w:val="en-US" w:eastAsia="zh-CN"/>
        </w:rPr>
        <w:t>15</w:t>
      </w:r>
      <w:r>
        <w:rPr>
          <w:rFonts w:hint="eastAsia" w:ascii="宋体" w:hAnsi="宋体" w:eastAsia="宋体" w:cs="宋体"/>
          <w:color w:val="auto"/>
          <w:sz w:val="22"/>
          <w:szCs w:val="22"/>
          <w:highlight w:val="none"/>
          <w:u w:val="single"/>
        </w:rPr>
        <w:t xml:space="preserve"> </w:t>
      </w:r>
      <w:r>
        <w:rPr>
          <w:rFonts w:hint="eastAsia" w:ascii="宋体" w:hAnsi="宋体" w:eastAsia="宋体" w:cs="宋体"/>
          <w:snapToGrid w:val="0"/>
          <w:color w:val="auto"/>
          <w:sz w:val="22"/>
          <w:szCs w:val="22"/>
          <w:highlight w:val="none"/>
          <w:lang w:val="zh-CN"/>
        </w:rPr>
        <w:t>日</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9</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snapToGrid w:val="0"/>
          <w:color w:val="auto"/>
          <w:sz w:val="22"/>
          <w:szCs w:val="22"/>
          <w:highlight w:val="none"/>
          <w:lang w:val="zh-CN"/>
        </w:rPr>
        <w:t>时</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snapToGrid w:val="0"/>
          <w:color w:val="auto"/>
          <w:sz w:val="22"/>
          <w:szCs w:val="22"/>
          <w:highlight w:val="none"/>
          <w:lang w:val="zh-CN"/>
        </w:rPr>
        <w:t>分</w:t>
      </w:r>
      <w:r>
        <w:rPr>
          <w:rFonts w:hint="eastAsia"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en-US" w:eastAsia="zh-CN"/>
        </w:rPr>
        <w:t>0秒</w:t>
      </w:r>
      <w:r>
        <w:rPr>
          <w:rFonts w:hint="eastAsia" w:ascii="宋体" w:hAnsi="宋体" w:eastAsia="宋体" w:cs="宋体"/>
          <w:snapToGrid w:val="0"/>
          <w:color w:val="auto"/>
          <w:sz w:val="22"/>
          <w:szCs w:val="22"/>
          <w:highlight w:val="none"/>
          <w:lang w:val="zh-CN"/>
        </w:rPr>
        <w:t>（北京时间）；</w:t>
      </w:r>
    </w:p>
    <w:p w14:paraId="6DE05018">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（2）投标文件递交方式：</w:t>
      </w:r>
    </w:p>
    <w:p w14:paraId="740EC842">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2"/>
          <w:szCs w:val="22"/>
          <w:highlight w:val="none"/>
          <w:u w:val="single"/>
          <w:lang w:val="zh-CN"/>
        </w:rPr>
      </w:pPr>
      <w:r>
        <w:rPr>
          <w:rFonts w:hint="eastAsia" w:ascii="宋体" w:hAnsi="宋体" w:eastAsia="宋体" w:cs="宋体"/>
          <w:bCs/>
          <w:color w:val="auto"/>
          <w:kern w:val="2"/>
          <w:highlight w:val="none"/>
          <w:u w:val="none"/>
          <w:lang w:eastAsia="zh-CN"/>
        </w:rPr>
        <w:t>☑</w:t>
      </w:r>
      <w:r>
        <w:rPr>
          <w:rFonts w:hint="eastAsia" w:ascii="宋体" w:hAnsi="宋体" w:eastAsia="宋体" w:cs="宋体"/>
          <w:b/>
          <w:bCs/>
          <w:snapToGrid w:val="0"/>
          <w:color w:val="auto"/>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color w:val="auto"/>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color w:val="auto"/>
          <w:sz w:val="22"/>
          <w:szCs w:val="22"/>
          <w:highlight w:val="none"/>
          <w:lang w:val="zh-CN"/>
        </w:rPr>
        <w:t>投标文件递交地点：</w:t>
      </w:r>
      <w:r>
        <w:rPr>
          <w:rFonts w:hint="eastAsia" w:ascii="宋体" w:hAnsi="宋体" w:eastAsia="宋体" w:cs="宋体"/>
          <w:b w:val="0"/>
          <w:bCs w:val="0"/>
          <w:snapToGrid w:val="0"/>
          <w:color w:val="auto"/>
          <w:sz w:val="22"/>
          <w:szCs w:val="22"/>
          <w:highlight w:val="none"/>
          <w:u w:val="single"/>
          <w:lang w:val="zh-CN"/>
        </w:rPr>
        <w:t>杭州市</w:t>
      </w:r>
      <w:r>
        <w:rPr>
          <w:rFonts w:hint="eastAsia" w:ascii="宋体" w:hAnsi="宋体" w:eastAsia="宋体" w:cs="宋体"/>
          <w:b w:val="0"/>
          <w:bCs w:val="0"/>
          <w:snapToGrid w:val="0"/>
          <w:color w:val="auto"/>
          <w:sz w:val="22"/>
          <w:szCs w:val="22"/>
          <w:highlight w:val="none"/>
          <w:u w:val="single"/>
          <w:lang w:val="en-US" w:eastAsia="zh-CN"/>
        </w:rPr>
        <w:t>上城区雷霆路90号3</w:t>
      </w:r>
      <w:r>
        <w:rPr>
          <w:rFonts w:hint="eastAsia" w:ascii="宋体" w:hAnsi="宋体" w:eastAsia="宋体" w:cs="宋体"/>
          <w:b w:val="0"/>
          <w:bCs w:val="0"/>
          <w:snapToGrid w:val="0"/>
          <w:color w:val="auto"/>
          <w:sz w:val="22"/>
          <w:szCs w:val="22"/>
          <w:highlight w:val="none"/>
          <w:u w:val="single"/>
          <w:lang w:val="zh-CN"/>
        </w:rPr>
        <w:t>楼321 开标室</w:t>
      </w:r>
      <w:r>
        <w:rPr>
          <w:rFonts w:hint="eastAsia" w:cs="宋体"/>
          <w:b w:val="0"/>
          <w:bCs w:val="0"/>
          <w:snapToGrid w:val="0"/>
          <w:color w:val="auto"/>
          <w:sz w:val="22"/>
          <w:szCs w:val="22"/>
          <w:highlight w:val="none"/>
          <w:u w:val="single"/>
          <w:lang w:val="en-US" w:eastAsia="zh-CN"/>
        </w:rPr>
        <w:t xml:space="preserve"> </w:t>
      </w:r>
      <w:r>
        <w:rPr>
          <w:rFonts w:hint="eastAsia" w:ascii="宋体" w:hAnsi="宋体" w:eastAsia="宋体" w:cs="宋体"/>
          <w:b w:val="0"/>
          <w:bCs w:val="0"/>
          <w:snapToGrid w:val="0"/>
          <w:color w:val="auto"/>
          <w:sz w:val="22"/>
          <w:szCs w:val="22"/>
          <w:highlight w:val="none"/>
          <w:u w:val="none"/>
          <w:lang w:val="zh-CN"/>
        </w:rPr>
        <w:t>。</w:t>
      </w:r>
    </w:p>
    <w:p w14:paraId="171EF789">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color w:val="auto"/>
          <w:sz w:val="22"/>
          <w:szCs w:val="22"/>
          <w:highlight w:val="none"/>
          <w:u w:val="none"/>
          <w:lang w:val="en-US" w:eastAsia="zh-CN"/>
        </w:rPr>
      </w:pPr>
      <w:r>
        <w:rPr>
          <w:rFonts w:hint="eastAsia" w:ascii="宋体" w:hAnsi="宋体" w:eastAsia="宋体" w:cs="宋体"/>
          <w:bCs/>
          <w:color w:val="auto"/>
          <w:kern w:val="2"/>
          <w:highlight w:val="none"/>
          <w:u w:val="none"/>
          <w:lang w:eastAsia="zh-CN"/>
        </w:rPr>
        <w:t>□</w:t>
      </w:r>
      <w:r>
        <w:rPr>
          <w:rFonts w:hint="eastAsia" w:ascii="宋体" w:hAnsi="宋体" w:eastAsia="宋体" w:cs="宋体"/>
          <w:b/>
          <w:bCs/>
          <w:snapToGrid w:val="0"/>
          <w:color w:val="auto"/>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color w:val="auto"/>
          <w:sz w:val="22"/>
          <w:szCs w:val="22"/>
          <w:highlight w:val="none"/>
          <w:u w:val="none"/>
          <w:lang w:val="en-US" w:eastAsia="zh-CN"/>
        </w:rPr>
        <w:t>电子投标文件至</w:t>
      </w:r>
      <w:r>
        <w:rPr>
          <w:rFonts w:hint="eastAsia" w:ascii="宋体" w:hAnsi="宋体" w:eastAsia="宋体" w:cs="宋体"/>
          <w:b/>
          <w:bCs/>
          <w:snapToGrid w:val="0"/>
          <w:color w:val="auto"/>
          <w:sz w:val="22"/>
          <w:szCs w:val="22"/>
          <w:highlight w:val="none"/>
        </w:rPr>
        <w:t>杭州城投采购平台</w:t>
      </w:r>
      <w:r>
        <w:rPr>
          <w:rFonts w:hint="eastAsia" w:ascii="宋体" w:hAnsi="宋体" w:eastAsia="宋体" w:cs="宋体"/>
          <w:b/>
          <w:bCs/>
          <w:snapToGrid w:val="0"/>
          <w:color w:val="auto"/>
          <w:sz w:val="22"/>
          <w:szCs w:val="22"/>
          <w:highlight w:val="none"/>
          <w:lang w:eastAsia="zh-CN"/>
        </w:rPr>
        <w:t>，咨询电话：400-0666-571。</w:t>
      </w:r>
    </w:p>
    <w:p w14:paraId="365E105C">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color w:val="auto"/>
          <w:sz w:val="22"/>
          <w:szCs w:val="22"/>
          <w:highlight w:val="none"/>
        </w:rPr>
      </w:pPr>
      <w:r>
        <w:rPr>
          <w:rFonts w:hint="eastAsia" w:ascii="宋体" w:hAnsi="宋体" w:eastAsia="宋体" w:cs="宋体"/>
          <w:b/>
          <w:snapToGrid w:val="0"/>
          <w:color w:val="auto"/>
          <w:sz w:val="22"/>
          <w:szCs w:val="22"/>
          <w:highlight w:val="none"/>
          <w:lang w:val="en-US" w:eastAsia="zh-CN"/>
        </w:rPr>
        <w:t>14</w:t>
      </w:r>
      <w:r>
        <w:rPr>
          <w:rFonts w:hint="eastAsia" w:ascii="宋体" w:hAnsi="宋体" w:eastAsia="宋体" w:cs="宋体"/>
          <w:b/>
          <w:snapToGrid w:val="0"/>
          <w:color w:val="auto"/>
          <w:sz w:val="22"/>
          <w:szCs w:val="22"/>
          <w:highlight w:val="none"/>
        </w:rPr>
        <w:t>、发布公告的媒介</w:t>
      </w:r>
    </w:p>
    <w:p w14:paraId="5EF43ED3">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u w:val="single"/>
          <w:lang w:val="zh-CN"/>
        </w:rPr>
      </w:pPr>
      <w:r>
        <w:rPr>
          <w:rFonts w:hint="eastAsia" w:ascii="宋体" w:hAnsi="宋体" w:eastAsia="宋体" w:cs="宋体"/>
          <w:snapToGrid w:val="0"/>
          <w:color w:val="auto"/>
          <w:sz w:val="22"/>
          <w:szCs w:val="22"/>
          <w:highlight w:val="none"/>
          <w:u w:val="single"/>
          <w:lang w:val="zh-CN"/>
        </w:rPr>
        <w:t>本项目相关公告在杭州城投采购平台（https://jczx.hzcjtz.com</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  浙江政府采购网（http://zfcg.czt.zj.gov.cn/）、中国招投标服务平台（http://www.cebpubservice.com/）、杭州市环境集团有限公司网站（https://www.cnlandfill.net/index.aspx）、杭州临江环境能源有限公司网站（https://www.ljhjny.com/） 发布，如公告内容不一致的以杭州城投采购平台（https://jczx.hzcjtz.com</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发布的信息为准。</w:t>
      </w:r>
    </w:p>
    <w:p w14:paraId="3890E219">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color w:val="auto"/>
          <w:sz w:val="22"/>
          <w:szCs w:val="22"/>
          <w:highlight w:val="none"/>
          <w:lang w:val="en-US" w:eastAsia="zh-CN"/>
        </w:rPr>
      </w:pPr>
      <w:r>
        <w:rPr>
          <w:rFonts w:hint="eastAsia" w:ascii="宋体" w:hAnsi="宋体" w:eastAsia="宋体" w:cs="宋体"/>
          <w:b/>
          <w:snapToGrid w:val="0"/>
          <w:color w:val="auto"/>
          <w:sz w:val="22"/>
          <w:szCs w:val="22"/>
          <w:highlight w:val="none"/>
          <w:lang w:val="en-US" w:eastAsia="zh-CN"/>
        </w:rPr>
        <w:t>15、联系方式</w:t>
      </w:r>
    </w:p>
    <w:p w14:paraId="64C491E4">
      <w:pPr>
        <w:pStyle w:val="8"/>
        <w:tabs>
          <w:tab w:val="left" w:pos="4228"/>
          <w:tab w:val="left" w:pos="7990"/>
        </w:tabs>
        <w:spacing w:line="240" w:lineRule="auto"/>
        <w:ind w:right="865"/>
        <w:rPr>
          <w:rFonts w:hint="eastAsia" w:ascii="宋体" w:hAnsi="宋体" w:eastAsia="宋体" w:cs="宋体"/>
          <w:snapToGrid w:val="0"/>
          <w:color w:val="auto"/>
          <w:kern w:val="0"/>
          <w:sz w:val="22"/>
          <w:szCs w:val="22"/>
          <w:highlight w:val="none"/>
          <w:u w:val="none"/>
          <w:lang w:val="en-US" w:eastAsia="zh-CN" w:bidi="ar-SA"/>
        </w:rPr>
      </w:pPr>
      <w:r>
        <w:rPr>
          <w:rFonts w:hint="eastAsia" w:ascii="宋体" w:hAnsi="宋体" w:eastAsia="宋体" w:cs="宋体"/>
          <w:snapToGrid w:val="0"/>
          <w:color w:val="auto"/>
          <w:kern w:val="0"/>
          <w:sz w:val="22"/>
          <w:szCs w:val="22"/>
          <w:highlight w:val="none"/>
          <w:u w:val="none"/>
          <w:lang w:val="zh-CN" w:eastAsia="zh-CN" w:bidi="ar-SA"/>
        </w:rPr>
        <w:t>招 标 人：</w:t>
      </w:r>
      <w:r>
        <w:rPr>
          <w:rFonts w:hint="eastAsia" w:ascii="宋体" w:hAnsi="宋体" w:eastAsia="宋体" w:cs="宋体"/>
          <w:snapToGrid w:val="0"/>
          <w:color w:val="auto"/>
          <w:kern w:val="0"/>
          <w:sz w:val="22"/>
          <w:szCs w:val="22"/>
          <w:highlight w:val="none"/>
          <w:u w:val="none"/>
          <w:lang w:val="en-US" w:eastAsia="zh-CN" w:bidi="ar-SA"/>
        </w:rPr>
        <w:t>杭州临江环境能源有限公司</w:t>
      </w:r>
    </w:p>
    <w:p w14:paraId="439E55C8">
      <w:pPr>
        <w:pStyle w:val="8"/>
        <w:tabs>
          <w:tab w:val="left" w:pos="4228"/>
          <w:tab w:val="left" w:pos="7990"/>
        </w:tabs>
        <w:spacing w:line="240" w:lineRule="auto"/>
        <w:ind w:right="865"/>
        <w:rPr>
          <w:rFonts w:hint="eastAsia" w:ascii="宋体" w:hAnsi="宋体" w:eastAsia="宋体" w:cs="宋体"/>
          <w:snapToGrid w:val="0"/>
          <w:color w:val="auto"/>
          <w:kern w:val="0"/>
          <w:sz w:val="22"/>
          <w:szCs w:val="22"/>
          <w:highlight w:val="none"/>
          <w:u w:val="none"/>
          <w:lang w:val="en-US" w:eastAsia="zh-CN" w:bidi="ar-SA"/>
        </w:rPr>
      </w:pPr>
      <w:r>
        <w:rPr>
          <w:rFonts w:hint="eastAsia" w:ascii="宋体" w:hAnsi="宋体" w:eastAsia="宋体" w:cs="宋体"/>
          <w:snapToGrid w:val="0"/>
          <w:color w:val="auto"/>
          <w:kern w:val="0"/>
          <w:sz w:val="22"/>
          <w:szCs w:val="22"/>
          <w:highlight w:val="none"/>
          <w:u w:val="none"/>
          <w:lang w:val="zh-CN" w:eastAsia="zh-CN" w:bidi="ar-SA"/>
        </w:rPr>
        <w:t>地    址：</w:t>
      </w:r>
      <w:r>
        <w:rPr>
          <w:rFonts w:hint="eastAsia" w:ascii="宋体" w:hAnsi="宋体" w:eastAsia="宋体" w:cs="宋体"/>
          <w:snapToGrid w:val="0"/>
          <w:color w:val="auto"/>
          <w:kern w:val="0"/>
          <w:sz w:val="22"/>
          <w:szCs w:val="22"/>
          <w:highlight w:val="none"/>
          <w:u w:val="none"/>
          <w:lang w:val="en-US" w:eastAsia="zh-CN" w:bidi="ar-SA"/>
        </w:rPr>
        <w:t>浙江省杭州市钱塘区临江街道红十五路10388-123号</w:t>
      </w:r>
    </w:p>
    <w:p w14:paraId="053002F3">
      <w:pPr>
        <w:pStyle w:val="8"/>
        <w:tabs>
          <w:tab w:val="left" w:pos="4228"/>
          <w:tab w:val="left" w:pos="7990"/>
        </w:tabs>
        <w:spacing w:line="240" w:lineRule="auto"/>
        <w:ind w:right="865"/>
        <w:rPr>
          <w:rFonts w:hint="eastAsia" w:ascii="宋体" w:hAnsi="宋体" w:eastAsia="宋体" w:cs="宋体"/>
          <w:snapToGrid w:val="0"/>
          <w:color w:val="auto"/>
          <w:kern w:val="0"/>
          <w:sz w:val="22"/>
          <w:szCs w:val="22"/>
          <w:highlight w:val="none"/>
          <w:u w:val="none"/>
          <w:lang w:val="zh-CN" w:eastAsia="zh-CN" w:bidi="ar-SA"/>
        </w:rPr>
      </w:pPr>
      <w:r>
        <w:rPr>
          <w:rFonts w:hint="eastAsia" w:ascii="宋体" w:hAnsi="宋体" w:eastAsia="宋体" w:cs="宋体"/>
          <w:snapToGrid w:val="0"/>
          <w:color w:val="auto"/>
          <w:kern w:val="0"/>
          <w:sz w:val="22"/>
          <w:szCs w:val="22"/>
          <w:highlight w:val="none"/>
          <w:u w:val="none"/>
          <w:lang w:val="zh-CN" w:eastAsia="zh-CN" w:bidi="ar-SA"/>
        </w:rPr>
        <w:t>联 系 人：</w:t>
      </w:r>
      <w:r>
        <w:rPr>
          <w:rFonts w:hint="eastAsia" w:ascii="宋体" w:hAnsi="宋体" w:eastAsia="宋体" w:cs="宋体"/>
          <w:color w:val="auto"/>
          <w:kern w:val="0"/>
          <w:sz w:val="21"/>
          <w:szCs w:val="21"/>
          <w:highlight w:val="none"/>
          <w:u w:val="none"/>
          <w:lang w:val="en-US" w:eastAsia="zh-CN"/>
        </w:rPr>
        <w:t>华工</w:t>
      </w:r>
    </w:p>
    <w:p w14:paraId="342D9B8E">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2"/>
          <w:szCs w:val="22"/>
          <w:highlight w:val="none"/>
          <w:u w:val="none"/>
          <w:lang w:val="en-US" w:eastAsia="zh-CN" w:bidi="ar-SA"/>
        </w:rPr>
        <w:t>电    话：0571-8199792</w:t>
      </w:r>
      <w:r>
        <w:rPr>
          <w:rFonts w:hint="eastAsia" w:ascii="宋体" w:hAnsi="宋体" w:eastAsia="宋体" w:cs="宋体"/>
          <w:snapToGrid w:val="0"/>
          <w:color w:val="auto"/>
          <w:kern w:val="0"/>
          <w:sz w:val="24"/>
          <w:szCs w:val="24"/>
          <w:highlight w:val="none"/>
          <w:u w:val="none"/>
          <w:lang w:val="en-US" w:eastAsia="zh-CN" w:bidi="ar-SA"/>
        </w:rPr>
        <w:t>1</w:t>
      </w:r>
    </w:p>
    <w:p w14:paraId="022A833C">
      <w:pPr>
        <w:pStyle w:val="8"/>
        <w:tabs>
          <w:tab w:val="left" w:pos="4228"/>
          <w:tab w:val="left" w:pos="7990"/>
        </w:tabs>
        <w:spacing w:line="240" w:lineRule="auto"/>
        <w:ind w:right="865"/>
        <w:rPr>
          <w:rFonts w:hint="eastAsia" w:ascii="宋体" w:hAnsi="宋体" w:eastAsia="宋体" w:cs="宋体"/>
          <w:snapToGrid w:val="0"/>
          <w:color w:val="auto"/>
          <w:kern w:val="0"/>
          <w:sz w:val="22"/>
          <w:szCs w:val="28"/>
          <w:highlight w:val="none"/>
        </w:rPr>
      </w:pPr>
    </w:p>
    <w:p w14:paraId="78117580">
      <w:pPr>
        <w:pStyle w:val="8"/>
        <w:tabs>
          <w:tab w:val="left" w:pos="4228"/>
          <w:tab w:val="left" w:pos="7990"/>
        </w:tabs>
        <w:spacing w:line="240" w:lineRule="auto"/>
        <w:ind w:right="865"/>
        <w:rPr>
          <w:rFonts w:hint="eastAsia" w:ascii="宋体" w:hAnsi="宋体" w:eastAsia="宋体" w:cs="宋体"/>
          <w:snapToGrid w:val="0"/>
          <w:color w:val="auto"/>
          <w:kern w:val="0"/>
          <w:sz w:val="22"/>
          <w:szCs w:val="28"/>
          <w:highlight w:val="none"/>
          <w:lang w:eastAsia="zh-CN"/>
        </w:rPr>
      </w:pPr>
      <w:r>
        <w:rPr>
          <w:rFonts w:hint="eastAsia" w:ascii="宋体" w:hAnsi="宋体" w:eastAsia="宋体" w:cs="宋体"/>
          <w:snapToGrid w:val="0"/>
          <w:color w:val="auto"/>
          <w:kern w:val="0"/>
          <w:sz w:val="22"/>
          <w:szCs w:val="28"/>
          <w:highlight w:val="none"/>
        </w:rPr>
        <w:t>招标代理：</w:t>
      </w:r>
      <w:r>
        <w:rPr>
          <w:rFonts w:hint="eastAsia" w:ascii="宋体" w:hAnsi="宋体" w:eastAsia="宋体" w:cs="宋体"/>
          <w:snapToGrid w:val="0"/>
          <w:color w:val="auto"/>
          <w:kern w:val="0"/>
          <w:sz w:val="22"/>
          <w:szCs w:val="28"/>
          <w:highlight w:val="none"/>
          <w:lang w:eastAsia="zh-CN"/>
        </w:rPr>
        <w:t>浙江建友工程咨询有限公司</w:t>
      </w:r>
    </w:p>
    <w:p w14:paraId="082327C0">
      <w:pPr>
        <w:pStyle w:val="8"/>
        <w:tabs>
          <w:tab w:val="left" w:pos="4228"/>
          <w:tab w:val="left" w:pos="7990"/>
        </w:tabs>
        <w:spacing w:line="240" w:lineRule="auto"/>
        <w:ind w:right="865"/>
        <w:rPr>
          <w:rFonts w:hint="eastAsia" w:ascii="宋体" w:hAnsi="宋体" w:eastAsia="宋体" w:cs="宋体"/>
          <w:snapToGrid w:val="0"/>
          <w:color w:val="auto"/>
          <w:kern w:val="0"/>
          <w:sz w:val="22"/>
          <w:szCs w:val="28"/>
          <w:highlight w:val="none"/>
          <w:lang w:eastAsia="zh-CN"/>
        </w:rPr>
      </w:pPr>
      <w:r>
        <w:rPr>
          <w:rFonts w:hint="eastAsia" w:ascii="宋体" w:hAnsi="宋体" w:eastAsia="宋体" w:cs="宋体"/>
          <w:snapToGrid w:val="0"/>
          <w:color w:val="auto"/>
          <w:kern w:val="0"/>
          <w:sz w:val="22"/>
          <w:szCs w:val="28"/>
          <w:highlight w:val="none"/>
        </w:rPr>
        <w:t>地    址：</w:t>
      </w:r>
      <w:r>
        <w:rPr>
          <w:rFonts w:hint="eastAsia" w:ascii="宋体" w:hAnsi="宋体" w:eastAsia="宋体" w:cs="宋体"/>
          <w:snapToGrid w:val="0"/>
          <w:color w:val="auto"/>
          <w:kern w:val="0"/>
          <w:sz w:val="22"/>
          <w:szCs w:val="28"/>
          <w:highlight w:val="none"/>
          <w:lang w:eastAsia="zh-CN"/>
        </w:rPr>
        <w:t>杭州市西湖区振华路西港发展中心7幢7楼</w:t>
      </w:r>
    </w:p>
    <w:p w14:paraId="0D499558">
      <w:pPr>
        <w:pStyle w:val="8"/>
        <w:tabs>
          <w:tab w:val="left" w:pos="4228"/>
          <w:tab w:val="left" w:pos="7990"/>
        </w:tabs>
        <w:spacing w:line="240" w:lineRule="auto"/>
        <w:ind w:right="865"/>
        <w:rPr>
          <w:rFonts w:hint="eastAsia" w:ascii="宋体" w:hAnsi="宋体" w:eastAsia="宋体" w:cs="宋体"/>
          <w:snapToGrid w:val="0"/>
          <w:color w:val="auto"/>
          <w:kern w:val="0"/>
          <w:sz w:val="22"/>
          <w:szCs w:val="28"/>
          <w:highlight w:val="none"/>
          <w:lang w:val="en-US" w:eastAsia="zh-CN"/>
        </w:rPr>
      </w:pPr>
      <w:r>
        <w:rPr>
          <w:rFonts w:hint="eastAsia" w:ascii="宋体" w:hAnsi="宋体" w:eastAsia="宋体" w:cs="宋体"/>
          <w:snapToGrid w:val="0"/>
          <w:color w:val="auto"/>
          <w:kern w:val="0"/>
          <w:sz w:val="22"/>
          <w:szCs w:val="28"/>
          <w:highlight w:val="none"/>
        </w:rPr>
        <w:t>联 系 人：</w:t>
      </w:r>
      <w:r>
        <w:rPr>
          <w:rFonts w:hint="eastAsia" w:ascii="宋体" w:hAnsi="宋体" w:eastAsia="宋体" w:cs="宋体"/>
          <w:snapToGrid w:val="0"/>
          <w:color w:val="auto"/>
          <w:kern w:val="0"/>
          <w:sz w:val="22"/>
          <w:szCs w:val="28"/>
          <w:highlight w:val="none"/>
          <w:lang w:val="en-US" w:eastAsia="zh-CN"/>
        </w:rPr>
        <w:t>张工、董工</w:t>
      </w:r>
    </w:p>
    <w:p w14:paraId="0C11EC8C">
      <w:pPr>
        <w:pStyle w:val="8"/>
        <w:tabs>
          <w:tab w:val="left" w:pos="4228"/>
          <w:tab w:val="left" w:pos="7990"/>
        </w:tabs>
        <w:spacing w:line="240" w:lineRule="auto"/>
        <w:ind w:right="865"/>
        <w:rPr>
          <w:rFonts w:hint="eastAsia" w:ascii="宋体" w:hAnsi="宋体" w:eastAsia="宋体" w:cs="宋体"/>
          <w:snapToGrid w:val="0"/>
          <w:color w:val="auto"/>
          <w:kern w:val="0"/>
          <w:sz w:val="22"/>
          <w:szCs w:val="28"/>
          <w:highlight w:val="none"/>
          <w:lang w:eastAsia="zh-CN"/>
        </w:rPr>
      </w:pPr>
      <w:r>
        <w:rPr>
          <w:rFonts w:hint="eastAsia" w:ascii="宋体" w:hAnsi="宋体" w:eastAsia="宋体" w:cs="宋体"/>
          <w:snapToGrid w:val="0"/>
          <w:color w:val="auto"/>
          <w:kern w:val="0"/>
          <w:sz w:val="22"/>
          <w:szCs w:val="28"/>
          <w:highlight w:val="none"/>
        </w:rPr>
        <w:t>电    话：18396989624</w:t>
      </w:r>
    </w:p>
    <w:p w14:paraId="0CBFD822">
      <w:pPr>
        <w:pStyle w:val="8"/>
        <w:tabs>
          <w:tab w:val="left" w:pos="4228"/>
          <w:tab w:val="left" w:pos="7990"/>
        </w:tabs>
        <w:spacing w:line="240" w:lineRule="auto"/>
        <w:ind w:right="865"/>
        <w:rPr>
          <w:rFonts w:hint="eastAsia" w:ascii="宋体" w:hAnsi="宋体" w:eastAsia="宋体" w:cs="宋体"/>
          <w:snapToGrid w:val="0"/>
          <w:color w:val="auto"/>
          <w:kern w:val="0"/>
          <w:sz w:val="22"/>
          <w:szCs w:val="28"/>
          <w:highlight w:val="none"/>
          <w:lang w:val="en-US" w:eastAsia="zh-CN"/>
        </w:rPr>
      </w:pPr>
      <w:r>
        <w:rPr>
          <w:rFonts w:hint="eastAsia" w:ascii="宋体" w:hAnsi="宋体" w:eastAsia="宋体" w:cs="宋体"/>
          <w:snapToGrid w:val="0"/>
          <w:color w:val="auto"/>
          <w:kern w:val="0"/>
          <w:sz w:val="22"/>
          <w:szCs w:val="28"/>
          <w:highlight w:val="none"/>
        </w:rPr>
        <w:t>电子邮件：</w:t>
      </w:r>
      <w:r>
        <w:rPr>
          <w:rFonts w:hint="eastAsia" w:ascii="宋体" w:hAnsi="宋体" w:eastAsia="宋体" w:cs="宋体"/>
          <w:snapToGrid w:val="0"/>
          <w:color w:val="auto"/>
          <w:kern w:val="0"/>
          <w:sz w:val="22"/>
          <w:szCs w:val="28"/>
          <w:highlight w:val="none"/>
          <w:lang w:val="en-US" w:eastAsia="zh-CN"/>
        </w:rPr>
        <w:t>zjjyzbdl@163.com</w:t>
      </w:r>
    </w:p>
    <w:p w14:paraId="52BB7DB6">
      <w:pPr>
        <w:pStyle w:val="8"/>
        <w:tabs>
          <w:tab w:val="left" w:pos="4228"/>
          <w:tab w:val="left" w:pos="7990"/>
        </w:tabs>
        <w:spacing w:line="240" w:lineRule="auto"/>
        <w:ind w:right="865"/>
        <w:rPr>
          <w:rFonts w:hint="eastAsia" w:ascii="宋体" w:hAnsi="宋体" w:eastAsia="宋体" w:cs="宋体"/>
          <w:snapToGrid w:val="0"/>
          <w:color w:val="auto"/>
          <w:kern w:val="0"/>
          <w:sz w:val="22"/>
          <w:szCs w:val="28"/>
          <w:highlight w:val="none"/>
        </w:rPr>
      </w:pPr>
    </w:p>
    <w:p w14:paraId="02CA1F9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监管单位：</w:t>
      </w:r>
      <w:r>
        <w:rPr>
          <w:rFonts w:hint="eastAsia" w:ascii="宋体" w:hAnsi="宋体" w:eastAsia="宋体" w:cs="宋体"/>
          <w:color w:val="auto"/>
          <w:sz w:val="22"/>
          <w:szCs w:val="22"/>
          <w:highlight w:val="none"/>
          <w:u w:val="none"/>
          <w:lang w:val="en-US" w:eastAsia="zh-CN"/>
        </w:rPr>
        <w:t>杭州临江环境能源有限公司监察审计部</w:t>
      </w:r>
      <w:r>
        <w:rPr>
          <w:rFonts w:hint="eastAsia" w:ascii="宋体" w:hAnsi="宋体" w:eastAsia="宋体" w:cs="宋体"/>
          <w:color w:val="auto"/>
          <w:sz w:val="22"/>
          <w:szCs w:val="22"/>
          <w:highlight w:val="none"/>
          <w:u w:val="none"/>
        </w:rPr>
        <w:tab/>
      </w:r>
    </w:p>
    <w:p w14:paraId="7EAE83A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地    址：</w:t>
      </w:r>
      <w:r>
        <w:rPr>
          <w:rFonts w:hint="eastAsia" w:ascii="宋体" w:hAnsi="宋体" w:eastAsia="宋体" w:cs="宋体"/>
          <w:color w:val="auto"/>
          <w:sz w:val="22"/>
          <w:szCs w:val="22"/>
          <w:highlight w:val="none"/>
          <w:u w:val="none"/>
          <w:lang w:eastAsia="zh-CN"/>
        </w:rPr>
        <w:t>浙江省杭州市钱塘区临江街道红十五路10388-123号</w:t>
      </w:r>
      <w:r>
        <w:rPr>
          <w:rFonts w:hint="eastAsia" w:ascii="宋体" w:hAnsi="宋体" w:eastAsia="宋体" w:cs="宋体"/>
          <w:color w:val="auto"/>
          <w:sz w:val="22"/>
          <w:szCs w:val="22"/>
          <w:highlight w:val="none"/>
          <w:u w:val="none"/>
        </w:rPr>
        <w:tab/>
      </w:r>
    </w:p>
    <w:p w14:paraId="2842649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联 系 人：</w:t>
      </w:r>
      <w:r>
        <w:rPr>
          <w:rFonts w:hint="eastAsia" w:ascii="宋体" w:hAnsi="宋体" w:eastAsia="宋体" w:cs="宋体"/>
          <w:color w:val="auto"/>
          <w:sz w:val="22"/>
          <w:szCs w:val="22"/>
          <w:highlight w:val="none"/>
          <w:u w:val="none"/>
          <w:lang w:val="en-US" w:eastAsia="zh-CN"/>
        </w:rPr>
        <w:t>吕工</w:t>
      </w:r>
      <w:r>
        <w:rPr>
          <w:rFonts w:hint="eastAsia" w:ascii="宋体" w:hAnsi="宋体" w:eastAsia="宋体" w:cs="宋体"/>
          <w:color w:val="auto"/>
          <w:sz w:val="22"/>
          <w:szCs w:val="22"/>
          <w:highlight w:val="none"/>
          <w:u w:val="none"/>
        </w:rPr>
        <w:tab/>
      </w:r>
    </w:p>
    <w:p w14:paraId="70DF77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电    话：</w:t>
      </w:r>
      <w:r>
        <w:rPr>
          <w:rFonts w:hint="eastAsia" w:ascii="宋体" w:hAnsi="宋体" w:eastAsia="宋体" w:cs="宋体"/>
          <w:color w:val="auto"/>
          <w:sz w:val="22"/>
          <w:szCs w:val="22"/>
          <w:highlight w:val="none"/>
          <w:u w:val="none"/>
          <w:lang w:val="en-US" w:eastAsia="zh-CN"/>
        </w:rPr>
        <w:t>0571-81997962</w:t>
      </w:r>
      <w:r>
        <w:rPr>
          <w:rFonts w:hint="eastAsia" w:ascii="宋体" w:hAnsi="宋体" w:eastAsia="宋体" w:cs="宋体"/>
          <w:color w:val="auto"/>
          <w:sz w:val="22"/>
          <w:szCs w:val="22"/>
          <w:highlight w:val="none"/>
          <w:u w:val="none"/>
        </w:rPr>
        <w:tab/>
      </w:r>
    </w:p>
    <w:p w14:paraId="2C4659FA">
      <w:pPr>
        <w:pStyle w:val="8"/>
        <w:wordWrap w:val="0"/>
        <w:spacing w:before="4"/>
        <w:jc w:val="righ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lang w:val="en-US" w:eastAsia="zh-CN"/>
        </w:rPr>
        <w:t>杭州临江环境能源有限公司</w:t>
      </w:r>
    </w:p>
    <w:p w14:paraId="584DEE36">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color w:val="auto"/>
          <w:kern w:val="0"/>
          <w:sz w:val="22"/>
          <w:szCs w:val="28"/>
          <w:highlight w:val="none"/>
          <w:u w:val="none"/>
          <w:lang w:val="en-US" w:eastAsia="zh-CN"/>
        </w:rPr>
      </w:pPr>
      <w:r>
        <w:rPr>
          <w:rFonts w:hint="eastAsia" w:ascii="宋体" w:hAnsi="宋体" w:eastAsia="宋体" w:cs="宋体"/>
          <w:b w:val="0"/>
          <w:bCs w:val="0"/>
          <w:color w:val="auto"/>
          <w:sz w:val="22"/>
          <w:szCs w:val="22"/>
          <w:highlight w:val="none"/>
          <w:u w:val="single"/>
          <w:lang w:val="en-US" w:eastAsia="zh-CN"/>
        </w:rPr>
        <w:t xml:space="preserve">  2025  </w:t>
      </w:r>
      <w:r>
        <w:rPr>
          <w:rFonts w:hint="eastAsia" w:ascii="宋体" w:hAnsi="宋体" w:eastAsia="宋体" w:cs="宋体"/>
          <w:snapToGrid w:val="0"/>
          <w:color w:val="auto"/>
          <w:kern w:val="0"/>
          <w:sz w:val="22"/>
          <w:szCs w:val="28"/>
          <w:highlight w:val="none"/>
          <w:u w:val="none"/>
        </w:rPr>
        <w:t>年</w:t>
      </w:r>
      <w:r>
        <w:rPr>
          <w:rFonts w:hint="eastAsia" w:ascii="宋体" w:hAnsi="宋体" w:eastAsia="宋体" w:cs="宋体"/>
          <w:snapToGrid w:val="0"/>
          <w:color w:val="auto"/>
          <w:kern w:val="0"/>
          <w:sz w:val="22"/>
          <w:szCs w:val="28"/>
          <w:highlight w:val="none"/>
          <w:u w:val="single"/>
          <w:lang w:val="en-US" w:eastAsia="zh-CN"/>
        </w:rPr>
        <w:t xml:space="preserve"> 6</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snapToGrid w:val="0"/>
          <w:color w:val="auto"/>
          <w:kern w:val="0"/>
          <w:sz w:val="22"/>
          <w:szCs w:val="28"/>
          <w:highlight w:val="none"/>
          <w:u w:val="none"/>
        </w:rPr>
        <w:t>月</w:t>
      </w:r>
      <w:r>
        <w:rPr>
          <w:rFonts w:hint="eastAsia" w:ascii="宋体" w:hAnsi="宋体" w:eastAsia="宋体" w:cs="宋体"/>
          <w:b w:val="0"/>
          <w:bCs w:val="0"/>
          <w:color w:val="auto"/>
          <w:sz w:val="22"/>
          <w:szCs w:val="22"/>
          <w:highlight w:val="none"/>
          <w:u w:val="single"/>
          <w:lang w:val="en-US" w:eastAsia="zh-CN"/>
        </w:rPr>
        <w:t xml:space="preserve"> 23 </w:t>
      </w:r>
      <w:r>
        <w:rPr>
          <w:rFonts w:hint="eastAsia" w:ascii="宋体" w:hAnsi="宋体" w:eastAsia="宋体" w:cs="宋体"/>
          <w:snapToGrid w:val="0"/>
          <w:color w:val="auto"/>
          <w:kern w:val="0"/>
          <w:sz w:val="22"/>
          <w:szCs w:val="28"/>
          <w:highlight w:val="none"/>
          <w:u w:val="none"/>
        </w:rPr>
        <w:t>日</w:t>
      </w:r>
    </w:p>
    <w:p w14:paraId="1FDAE721">
      <w:pPr>
        <w:pStyle w:val="3"/>
        <w:tabs>
          <w:tab w:val="left" w:pos="2544"/>
          <w:tab w:val="center" w:pos="4320"/>
        </w:tabs>
        <w:adjustRightInd w:val="0"/>
        <w:snapToGrid w:val="0"/>
        <w:spacing w:before="0" w:after="0" w:line="240" w:lineRule="auto"/>
        <w:jc w:val="center"/>
        <w:rPr>
          <w:rFonts w:hint="eastAsia" w:ascii="宋体" w:hAnsi="宋体" w:eastAsia="宋体" w:cs="宋体"/>
          <w:bCs w:val="0"/>
          <w:color w:val="auto"/>
          <w:sz w:val="40"/>
          <w:szCs w:val="32"/>
          <w:highlight w:val="none"/>
          <w:lang w:val="en-US" w:eastAsia="zh-CN"/>
        </w:rPr>
        <w:sectPr>
          <w:pgSz w:w="11906" w:h="16838"/>
          <w:pgMar w:top="1440" w:right="1800" w:bottom="1440" w:left="1800" w:header="851" w:footer="992" w:gutter="0"/>
          <w:cols w:space="425" w:num="1"/>
          <w:docGrid w:type="lines" w:linePitch="312" w:charSpace="0"/>
        </w:sectPr>
      </w:pPr>
    </w:p>
    <w:p w14:paraId="0A19EF3B">
      <w:pPr>
        <w:widowControl/>
        <w:spacing w:line="440" w:lineRule="exact"/>
        <w:jc w:val="center"/>
        <w:outlineLvl w:val="0"/>
        <w:rPr>
          <w:rFonts w:hint="eastAsia" w:ascii="宋体" w:hAnsi="宋体" w:eastAsia="宋体" w:cs="宋体"/>
          <w:b/>
          <w:bCs/>
          <w:color w:val="auto"/>
          <w:kern w:val="0"/>
          <w:sz w:val="32"/>
          <w:szCs w:val="32"/>
          <w:highlight w:val="none"/>
        </w:rPr>
      </w:pPr>
      <w:bookmarkStart w:id="2" w:name="_Toc4456"/>
      <w:r>
        <w:rPr>
          <w:rFonts w:hint="eastAsia" w:ascii="宋体" w:hAnsi="宋体" w:eastAsia="宋体" w:cs="宋体"/>
          <w:b w:val="0"/>
          <w:bCs w:val="0"/>
          <w:color w:val="auto"/>
          <w:kern w:val="0"/>
          <w:sz w:val="32"/>
          <w:szCs w:val="32"/>
          <w:highlight w:val="none"/>
        </w:rPr>
        <w:t>第二章 投标人须知</w:t>
      </w:r>
      <w:bookmarkEnd w:id="2"/>
    </w:p>
    <w:p w14:paraId="39E6F56A">
      <w:pPr>
        <w:widowControl/>
        <w:spacing w:line="440" w:lineRule="exact"/>
        <w:ind w:firstLine="3373" w:firstLineChars="1400"/>
        <w:outlineLvl w:val="1"/>
        <w:rPr>
          <w:rFonts w:hint="eastAsia" w:ascii="宋体" w:hAnsi="宋体" w:eastAsia="宋体" w:cs="宋体"/>
          <w:b/>
          <w:color w:val="auto"/>
          <w:sz w:val="24"/>
          <w:szCs w:val="24"/>
          <w:highlight w:val="none"/>
        </w:rPr>
      </w:pPr>
      <w:bookmarkStart w:id="3" w:name="_Toc25773"/>
      <w:r>
        <w:rPr>
          <w:rFonts w:hint="eastAsia" w:ascii="宋体" w:hAnsi="宋体" w:eastAsia="宋体" w:cs="宋体"/>
          <w:b/>
          <w:bCs/>
          <w:color w:val="auto"/>
          <w:kern w:val="0"/>
          <w:sz w:val="24"/>
          <w:szCs w:val="24"/>
          <w:highlight w:val="none"/>
        </w:rPr>
        <w:t>投标人须知</w:t>
      </w:r>
      <w:r>
        <w:rPr>
          <w:rFonts w:hint="eastAsia" w:ascii="宋体" w:hAnsi="宋体" w:eastAsia="宋体" w:cs="宋体"/>
          <w:b/>
          <w:color w:val="auto"/>
          <w:sz w:val="24"/>
          <w:szCs w:val="24"/>
          <w:highlight w:val="none"/>
        </w:rPr>
        <w:t>前附表</w:t>
      </w:r>
      <w:bookmarkEnd w:id="3"/>
    </w:p>
    <w:tbl>
      <w:tblPr>
        <w:tblStyle w:val="25"/>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76D57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48F97F4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条款号</w:t>
            </w:r>
          </w:p>
        </w:tc>
        <w:tc>
          <w:tcPr>
            <w:tcW w:w="1911" w:type="dxa"/>
            <w:tcBorders>
              <w:top w:val="single" w:color="auto" w:sz="12" w:space="0"/>
            </w:tcBorders>
            <w:noWrap w:val="0"/>
            <w:vAlign w:val="center"/>
          </w:tcPr>
          <w:p w14:paraId="3EFCA44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条 款 名 称</w:t>
            </w:r>
          </w:p>
        </w:tc>
        <w:tc>
          <w:tcPr>
            <w:tcW w:w="6255" w:type="dxa"/>
            <w:tcBorders>
              <w:top w:val="single" w:color="auto" w:sz="12" w:space="0"/>
            </w:tcBorders>
            <w:noWrap w:val="0"/>
            <w:vAlign w:val="center"/>
          </w:tcPr>
          <w:p w14:paraId="69882C3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编 列 内 容</w:t>
            </w:r>
          </w:p>
        </w:tc>
      </w:tr>
      <w:tr w14:paraId="44A99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B2E29A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1.2</w:t>
            </w:r>
          </w:p>
        </w:tc>
        <w:tc>
          <w:tcPr>
            <w:tcW w:w="1911" w:type="dxa"/>
            <w:noWrap w:val="0"/>
            <w:vAlign w:val="center"/>
          </w:tcPr>
          <w:p w14:paraId="3D7B311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招标组织形式</w:t>
            </w:r>
          </w:p>
        </w:tc>
        <w:tc>
          <w:tcPr>
            <w:tcW w:w="6255" w:type="dxa"/>
            <w:noWrap w:val="0"/>
            <w:vAlign w:val="center"/>
          </w:tcPr>
          <w:p w14:paraId="33CE84E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color w:val="auto"/>
                <w:kern w:val="0"/>
                <w:sz w:val="21"/>
                <w:szCs w:val="21"/>
                <w:highlight w:val="none"/>
                <w:lang w:val="zh-CN"/>
              </w:rPr>
              <w:t>本项目采用</w:t>
            </w:r>
            <w:r>
              <w:rPr>
                <w:rFonts w:hint="eastAsia" w:ascii="宋体" w:hAnsi="宋体" w:eastAsia="宋体" w:cs="宋体"/>
                <w:color w:val="auto"/>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zh-CN"/>
              </w:rPr>
              <w:t>委托招标</w:t>
            </w:r>
            <w:r>
              <w:rPr>
                <w:rFonts w:hint="eastAsia" w:ascii="宋体" w:hAnsi="宋体" w:eastAsia="宋体" w:cs="宋体"/>
                <w:color w:val="auto"/>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自行招标</w:t>
            </w:r>
            <w:r>
              <w:rPr>
                <w:rFonts w:hint="eastAsia" w:ascii="宋体" w:hAnsi="宋体" w:eastAsia="宋体" w:cs="宋体"/>
                <w:color w:val="auto"/>
                <w:kern w:val="0"/>
                <w:sz w:val="21"/>
                <w:szCs w:val="21"/>
                <w:highlight w:val="none"/>
                <w:lang w:val="en-US" w:eastAsia="zh-CN"/>
              </w:rPr>
              <w:t>方式。</w:t>
            </w:r>
          </w:p>
        </w:tc>
      </w:tr>
      <w:tr w14:paraId="7A86A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172B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1.1.3</w:t>
            </w:r>
          </w:p>
        </w:tc>
        <w:tc>
          <w:tcPr>
            <w:tcW w:w="1911" w:type="dxa"/>
            <w:noWrap w:val="0"/>
            <w:vAlign w:val="center"/>
          </w:tcPr>
          <w:p w14:paraId="4C9E6AB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招标人</w:t>
            </w:r>
          </w:p>
        </w:tc>
        <w:tc>
          <w:tcPr>
            <w:tcW w:w="6255" w:type="dxa"/>
            <w:noWrap w:val="0"/>
            <w:vAlign w:val="center"/>
          </w:tcPr>
          <w:p w14:paraId="0508F7B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2F4F690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51DD4FD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联 系 人：</w:t>
            </w:r>
            <w:r>
              <w:rPr>
                <w:rFonts w:hint="eastAsia" w:ascii="宋体" w:hAnsi="宋体" w:eastAsia="宋体" w:cs="宋体"/>
                <w:color w:val="auto"/>
                <w:kern w:val="0"/>
                <w:sz w:val="21"/>
                <w:szCs w:val="21"/>
                <w:highlight w:val="none"/>
                <w:lang w:val="en-US" w:eastAsia="zh-CN"/>
              </w:rPr>
              <w:t>华工</w:t>
            </w:r>
          </w:p>
          <w:p w14:paraId="13DE49C4">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4EDBC7CB">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邮</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lang w:eastAsia="zh-CN"/>
              </w:rPr>
              <w:t>箱：</w:t>
            </w:r>
            <w:r>
              <w:rPr>
                <w:rFonts w:hint="eastAsia" w:cs="宋体"/>
                <w:color w:val="auto"/>
                <w:spacing w:val="2"/>
                <w:sz w:val="21"/>
                <w:szCs w:val="21"/>
                <w:highlight w:val="none"/>
                <w:lang w:val="en-US" w:eastAsia="zh-CN"/>
              </w:rPr>
              <w:t>ljhj_cg1@ljhjny.com</w:t>
            </w:r>
          </w:p>
        </w:tc>
      </w:tr>
      <w:tr w14:paraId="6C59B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310BB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1.1.4</w:t>
            </w:r>
          </w:p>
        </w:tc>
        <w:tc>
          <w:tcPr>
            <w:tcW w:w="1911" w:type="dxa"/>
            <w:noWrap w:val="0"/>
            <w:vAlign w:val="center"/>
          </w:tcPr>
          <w:p w14:paraId="51A6009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采购人</w:t>
            </w:r>
          </w:p>
        </w:tc>
        <w:tc>
          <w:tcPr>
            <w:tcW w:w="6255" w:type="dxa"/>
            <w:noWrap w:val="0"/>
            <w:vAlign w:val="center"/>
          </w:tcPr>
          <w:p w14:paraId="55AE9CB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5E29907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79630ACF">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联 系 人：</w:t>
            </w:r>
            <w:r>
              <w:rPr>
                <w:rFonts w:hint="eastAsia" w:ascii="宋体" w:hAnsi="宋体" w:eastAsia="宋体" w:cs="宋体"/>
                <w:color w:val="auto"/>
                <w:kern w:val="0"/>
                <w:sz w:val="21"/>
                <w:szCs w:val="21"/>
                <w:highlight w:val="none"/>
                <w:lang w:val="en-US" w:eastAsia="zh-CN"/>
              </w:rPr>
              <w:t>华工</w:t>
            </w:r>
          </w:p>
          <w:p w14:paraId="3719B97F">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3A81636E">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邮</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5B3CB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A4AEEC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1.1.5</w:t>
            </w:r>
          </w:p>
        </w:tc>
        <w:tc>
          <w:tcPr>
            <w:tcW w:w="1911" w:type="dxa"/>
            <w:noWrap w:val="0"/>
            <w:vAlign w:val="center"/>
          </w:tcPr>
          <w:p w14:paraId="30FFB0E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招标代理机构</w:t>
            </w:r>
          </w:p>
        </w:tc>
        <w:tc>
          <w:tcPr>
            <w:tcW w:w="6255" w:type="dxa"/>
            <w:noWrap w:val="0"/>
            <w:vAlign w:val="center"/>
          </w:tcPr>
          <w:p w14:paraId="2FC89963">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名    称：浙江建友工程咨询有限公司     。</w:t>
            </w:r>
          </w:p>
          <w:p w14:paraId="0C193A2D">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地    址：杭州市西湖区振华路西港发展中心7幢7楼</w:t>
            </w:r>
          </w:p>
          <w:p w14:paraId="3B8B323C">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联 系 人：张工、董工</w:t>
            </w:r>
          </w:p>
          <w:p w14:paraId="4D34455A">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电    话：18396989624</w:t>
            </w:r>
          </w:p>
          <w:p w14:paraId="2ED694AE">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电子邮件：zjjyzbdl@163.com</w:t>
            </w:r>
          </w:p>
        </w:tc>
      </w:tr>
      <w:tr w14:paraId="276EA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8D6BB9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1.1.6</w:t>
            </w:r>
          </w:p>
        </w:tc>
        <w:tc>
          <w:tcPr>
            <w:tcW w:w="1911" w:type="dxa"/>
            <w:noWrap w:val="0"/>
            <w:vAlign w:val="center"/>
          </w:tcPr>
          <w:p w14:paraId="3601DEDC">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项目概况</w:t>
            </w:r>
          </w:p>
        </w:tc>
        <w:tc>
          <w:tcPr>
            <w:tcW w:w="6255" w:type="dxa"/>
            <w:noWrap w:val="0"/>
            <w:vAlign w:val="center"/>
          </w:tcPr>
          <w:p w14:paraId="5F6B58D1">
            <w:pPr>
              <w:pStyle w:val="20"/>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招标编号：</w:t>
            </w:r>
            <w:r>
              <w:rPr>
                <w:rFonts w:hint="eastAsia" w:ascii="宋体" w:hAnsi="宋体" w:eastAsia="宋体" w:cs="宋体"/>
                <w:snapToGrid w:val="0"/>
                <w:color w:val="auto"/>
                <w:kern w:val="0"/>
                <w:sz w:val="21"/>
                <w:szCs w:val="21"/>
                <w:highlight w:val="none"/>
                <w:u w:val="single"/>
              </w:rPr>
              <w:tab/>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cs="宋体"/>
                <w:snapToGrid w:val="0"/>
                <w:color w:val="auto"/>
                <w:kern w:val="0"/>
                <w:sz w:val="21"/>
                <w:szCs w:val="21"/>
                <w:highlight w:val="none"/>
                <w:u w:val="single"/>
                <w:lang w:val="en-US" w:eastAsia="zh-CN" w:bidi="ar-SA"/>
              </w:rPr>
              <w:t>NY-4FZB2506010</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u w:val="single"/>
                <w:lang w:val="en-US" w:eastAsia="zh-CN" w:bidi="ar-SA"/>
              </w:rPr>
              <w:t xml:space="preserve">   </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none"/>
                <w:lang w:val="en-US" w:eastAsia="zh-CN"/>
              </w:rPr>
              <w:t>。</w:t>
            </w:r>
          </w:p>
          <w:p w14:paraId="3B53834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z w:val="21"/>
                <w:szCs w:val="21"/>
                <w:highlight w:val="none"/>
                <w:lang w:eastAsia="zh-CN"/>
              </w:rPr>
              <w:t>项目名称：</w:t>
            </w:r>
            <w:r>
              <w:rPr>
                <w:rFonts w:hint="eastAsia" w:ascii="宋体" w:hAnsi="宋体" w:eastAsia="宋体" w:cs="宋体"/>
                <w:snapToGrid w:val="0"/>
                <w:color w:val="auto"/>
                <w:kern w:val="0"/>
                <w:sz w:val="21"/>
                <w:szCs w:val="21"/>
                <w:highlight w:val="none"/>
                <w:u w:val="single"/>
                <w:lang w:eastAsia="zh-CN"/>
              </w:rPr>
              <w:t>2025年-2026年能源运行中心智能远程水表系统改造采购项目</w:t>
            </w:r>
          </w:p>
          <w:p w14:paraId="6F028A9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项目地点：</w:t>
            </w:r>
            <w:r>
              <w:rPr>
                <w:rFonts w:hint="eastAsia" w:ascii="宋体" w:hAnsi="宋体" w:eastAsia="宋体" w:cs="宋体"/>
                <w:snapToGrid w:val="0"/>
                <w:color w:val="auto"/>
                <w:sz w:val="21"/>
                <w:szCs w:val="21"/>
                <w:highlight w:val="none"/>
                <w:u w:val="single"/>
                <w:lang w:eastAsia="zh-CN"/>
              </w:rPr>
              <w:t>浙江省杭州市钱塘区临江街道红十五路10388-123号</w:t>
            </w:r>
            <w:r>
              <w:rPr>
                <w:rFonts w:hint="eastAsia" w:ascii="宋体" w:hAnsi="宋体" w:eastAsia="宋体" w:cs="宋体"/>
                <w:snapToGrid w:val="0"/>
                <w:color w:val="auto"/>
                <w:sz w:val="21"/>
                <w:szCs w:val="21"/>
                <w:highlight w:val="none"/>
                <w:lang w:eastAsia="zh-CN"/>
              </w:rPr>
              <w:t>。</w:t>
            </w:r>
          </w:p>
          <w:p w14:paraId="523E0032">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项目</w:t>
            </w:r>
            <w:r>
              <w:rPr>
                <w:rFonts w:hint="eastAsia" w:ascii="宋体" w:hAnsi="宋体" w:eastAsia="宋体" w:cs="宋体"/>
                <w:color w:val="auto"/>
                <w:sz w:val="21"/>
                <w:szCs w:val="21"/>
                <w:highlight w:val="none"/>
                <w:u w:val="single"/>
                <w:lang w:val="en-US" w:eastAsia="zh-CN"/>
              </w:rPr>
              <w:t>最高限价：</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68</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万元</w:t>
            </w:r>
            <w:r>
              <w:rPr>
                <w:rFonts w:hint="eastAsia" w:ascii="宋体" w:hAnsi="宋体" w:eastAsia="宋体" w:cs="宋体"/>
                <w:color w:val="auto"/>
                <w:sz w:val="21"/>
                <w:szCs w:val="21"/>
                <w:highlight w:val="none"/>
                <w:u w:val="single"/>
              </w:rPr>
              <w:t>）</w:t>
            </w:r>
            <w:r>
              <w:rPr>
                <w:rFonts w:hint="eastAsia" w:ascii="宋体" w:hAnsi="宋体" w:eastAsia="宋体" w:cs="宋体"/>
                <w:b/>
                <w:bCs/>
                <w:snapToGrid w:val="0"/>
                <w:color w:val="auto"/>
                <w:kern w:val="2"/>
                <w:sz w:val="21"/>
                <w:szCs w:val="21"/>
                <w:highlight w:val="none"/>
                <w:u w:val="single"/>
                <w:lang w:val="zh-CN" w:eastAsia="zh-CN" w:bidi="ar-SA"/>
              </w:rPr>
              <w:t>投标人的投标报价超过最高限价的，将作无效标处理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p>
          <w:p w14:paraId="0AF852F4">
            <w:pPr>
              <w:keepNext w:val="0"/>
              <w:keepLines w:val="0"/>
              <w:suppressLineNumbers w:val="0"/>
              <w:spacing w:before="0" w:beforeAutospacing="0" w:after="0" w:afterAutospacing="0"/>
              <w:ind w:left="0" w:right="0"/>
              <w:rPr>
                <w:rFonts w:hint="eastAsia" w:ascii="宋体" w:hAnsi="宋体" w:eastAsia="宋体" w:cs="宋体"/>
                <w:snapToGrid w:val="0"/>
                <w:color w:val="auto"/>
                <w:sz w:val="21"/>
                <w:szCs w:val="21"/>
                <w:highlight w:val="none"/>
                <w:lang w:eastAsia="zh-CN"/>
              </w:rPr>
            </w:pPr>
            <w:r>
              <w:rPr>
                <w:rFonts w:hint="eastAsia" w:ascii="宋体" w:hAnsi="宋体" w:eastAsia="宋体" w:cs="宋体"/>
                <w:color w:val="auto"/>
                <w:sz w:val="21"/>
                <w:szCs w:val="21"/>
                <w:highlight w:val="none"/>
                <w:lang w:eastAsia="zh-CN"/>
              </w:rPr>
              <w:t>招标方式：</w:t>
            </w:r>
            <w:r>
              <w:rPr>
                <w:rFonts w:hint="eastAsia" w:ascii="宋体" w:hAnsi="宋体" w:eastAsia="宋体" w:cs="宋体"/>
                <w:color w:val="auto"/>
                <w:sz w:val="21"/>
                <w:szCs w:val="21"/>
                <w:highlight w:val="none"/>
                <w:u w:val="single"/>
                <w:lang w:eastAsia="zh-CN"/>
              </w:rPr>
              <w:t>公开招标。</w:t>
            </w:r>
          </w:p>
        </w:tc>
      </w:tr>
      <w:tr w14:paraId="61F94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E2190B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1.2.1</w:t>
            </w:r>
          </w:p>
        </w:tc>
        <w:tc>
          <w:tcPr>
            <w:tcW w:w="1911" w:type="dxa"/>
            <w:noWrap w:val="0"/>
            <w:vAlign w:val="center"/>
          </w:tcPr>
          <w:p w14:paraId="1BCE7DEC">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资金来源</w:t>
            </w:r>
          </w:p>
          <w:p w14:paraId="7C224EE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及</w:t>
            </w:r>
            <w:r>
              <w:rPr>
                <w:rFonts w:hint="eastAsia" w:ascii="宋体" w:hAnsi="宋体" w:eastAsia="宋体" w:cs="宋体"/>
                <w:snapToGrid w:val="0"/>
                <w:color w:val="auto"/>
                <w:sz w:val="21"/>
                <w:szCs w:val="21"/>
                <w:highlight w:val="none"/>
                <w:lang w:eastAsia="zh-CN"/>
              </w:rPr>
              <w:t>落实情况</w:t>
            </w:r>
          </w:p>
        </w:tc>
        <w:tc>
          <w:tcPr>
            <w:tcW w:w="6255" w:type="dxa"/>
            <w:noWrap w:val="0"/>
            <w:vAlign w:val="center"/>
          </w:tcPr>
          <w:p w14:paraId="723F4F75">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已落实，自筹</w:t>
            </w:r>
          </w:p>
        </w:tc>
      </w:tr>
      <w:tr w14:paraId="768B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E267A97">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1.3.1</w:t>
            </w:r>
          </w:p>
        </w:tc>
        <w:tc>
          <w:tcPr>
            <w:tcW w:w="1911" w:type="dxa"/>
            <w:noWrap w:val="0"/>
            <w:vAlign w:val="center"/>
          </w:tcPr>
          <w:p w14:paraId="4C08AB8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招标范围</w:t>
            </w:r>
            <w:r>
              <w:rPr>
                <w:rFonts w:hint="eastAsia" w:ascii="宋体" w:hAnsi="宋体" w:eastAsia="宋体" w:cs="宋体"/>
                <w:snapToGrid w:val="0"/>
                <w:color w:val="auto"/>
                <w:sz w:val="21"/>
                <w:szCs w:val="21"/>
                <w:highlight w:val="none"/>
                <w:lang w:eastAsia="zh-CN"/>
              </w:rPr>
              <w:t>及内容</w:t>
            </w:r>
          </w:p>
        </w:tc>
        <w:tc>
          <w:tcPr>
            <w:tcW w:w="6255" w:type="dxa"/>
            <w:noWrap w:val="0"/>
            <w:vAlign w:val="center"/>
          </w:tcPr>
          <w:p w14:paraId="7D77321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见招标公告</w:t>
            </w:r>
          </w:p>
        </w:tc>
      </w:tr>
      <w:tr w14:paraId="6B6FD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DC7F15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1.4.1</w:t>
            </w:r>
          </w:p>
          <w:p w14:paraId="435067A2">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lang w:eastAsia="zh-CN"/>
              </w:rPr>
              <w:t>1.4.2</w:t>
            </w:r>
          </w:p>
        </w:tc>
        <w:tc>
          <w:tcPr>
            <w:tcW w:w="1911" w:type="dxa"/>
            <w:noWrap w:val="0"/>
            <w:vAlign w:val="center"/>
          </w:tcPr>
          <w:p w14:paraId="5035B76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投标人资格审查方式、资格条件</w:t>
            </w:r>
          </w:p>
        </w:tc>
        <w:tc>
          <w:tcPr>
            <w:tcW w:w="6255" w:type="dxa"/>
            <w:noWrap w:val="0"/>
            <w:vAlign w:val="center"/>
          </w:tcPr>
          <w:p w14:paraId="69967296">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投标人资格审查方式：资格后审</w:t>
            </w:r>
          </w:p>
          <w:p w14:paraId="1E772CE8">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投标人资格条件见招标公告</w:t>
            </w:r>
          </w:p>
        </w:tc>
      </w:tr>
      <w:tr w14:paraId="15484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5D2BC8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rPr>
              <w:t>1.</w:t>
            </w:r>
            <w:r>
              <w:rPr>
                <w:rFonts w:hint="eastAsia" w:ascii="宋体" w:hAnsi="宋体" w:eastAsia="宋体" w:cs="宋体"/>
                <w:snapToGrid w:val="0"/>
                <w:color w:val="auto"/>
                <w:sz w:val="21"/>
                <w:szCs w:val="21"/>
                <w:highlight w:val="none"/>
                <w:lang w:eastAsia="zh-CN"/>
              </w:rPr>
              <w:t>5</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eastAsia="zh-CN"/>
              </w:rPr>
              <w:t>1</w:t>
            </w:r>
          </w:p>
        </w:tc>
        <w:tc>
          <w:tcPr>
            <w:tcW w:w="1911" w:type="dxa"/>
            <w:noWrap w:val="0"/>
            <w:vAlign w:val="center"/>
          </w:tcPr>
          <w:p w14:paraId="4F5EF90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联合体投标</w:t>
            </w:r>
            <w:r>
              <w:rPr>
                <w:rFonts w:hint="eastAsia" w:ascii="宋体" w:hAnsi="宋体" w:eastAsia="宋体" w:cs="宋体"/>
                <w:snapToGrid w:val="0"/>
                <w:color w:val="auto"/>
                <w:sz w:val="21"/>
                <w:szCs w:val="21"/>
                <w:highlight w:val="none"/>
                <w:lang w:eastAsia="zh-CN"/>
              </w:rPr>
              <w:t>要求</w:t>
            </w:r>
          </w:p>
        </w:tc>
        <w:tc>
          <w:tcPr>
            <w:tcW w:w="6255" w:type="dxa"/>
            <w:noWrap w:val="0"/>
            <w:vAlign w:val="center"/>
          </w:tcPr>
          <w:p w14:paraId="60970A97">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☑不接受</w:t>
            </w:r>
          </w:p>
          <w:p w14:paraId="3E9DE7DC">
            <w:pPr>
              <w:pStyle w:val="20"/>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□接受，联合体应满足的要求详见招标公告</w:t>
            </w:r>
          </w:p>
        </w:tc>
      </w:tr>
      <w:tr w14:paraId="1C938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77EEBF3A">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lang w:eastAsia="zh-CN"/>
              </w:rPr>
              <w:t>1.6.1</w:t>
            </w:r>
          </w:p>
        </w:tc>
        <w:tc>
          <w:tcPr>
            <w:tcW w:w="1911" w:type="dxa"/>
            <w:noWrap w:val="0"/>
            <w:vAlign w:val="center"/>
          </w:tcPr>
          <w:p w14:paraId="14081F4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关联性投标要求</w:t>
            </w:r>
          </w:p>
        </w:tc>
        <w:tc>
          <w:tcPr>
            <w:tcW w:w="6255" w:type="dxa"/>
            <w:noWrap w:val="0"/>
            <w:vAlign w:val="center"/>
          </w:tcPr>
          <w:p w14:paraId="1CE6CD2A">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见招标公告</w:t>
            </w:r>
          </w:p>
        </w:tc>
      </w:tr>
      <w:tr w14:paraId="6031E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7A069A0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1.7.1</w:t>
            </w:r>
          </w:p>
        </w:tc>
        <w:tc>
          <w:tcPr>
            <w:tcW w:w="1911" w:type="dxa"/>
            <w:noWrap w:val="0"/>
            <w:vAlign w:val="center"/>
          </w:tcPr>
          <w:p w14:paraId="560630F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分包</w:t>
            </w:r>
          </w:p>
        </w:tc>
        <w:tc>
          <w:tcPr>
            <w:tcW w:w="6255" w:type="dxa"/>
            <w:noWrap w:val="0"/>
            <w:vAlign w:val="center"/>
          </w:tcPr>
          <w:p w14:paraId="3D0EDB62">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（1）分包：</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不允许</w:t>
            </w:r>
          </w:p>
        </w:tc>
      </w:tr>
      <w:tr w14:paraId="73A3A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35B5F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1.8</w:t>
            </w:r>
          </w:p>
        </w:tc>
        <w:tc>
          <w:tcPr>
            <w:tcW w:w="1911" w:type="dxa"/>
            <w:noWrap w:val="0"/>
            <w:vAlign w:val="center"/>
          </w:tcPr>
          <w:p w14:paraId="668155AB">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响应和</w:t>
            </w:r>
            <w:r>
              <w:rPr>
                <w:rFonts w:hint="eastAsia" w:ascii="宋体" w:hAnsi="宋体" w:eastAsia="宋体" w:cs="宋体"/>
                <w:snapToGrid w:val="0"/>
                <w:color w:val="auto"/>
                <w:sz w:val="21"/>
                <w:szCs w:val="21"/>
                <w:highlight w:val="none"/>
              </w:rPr>
              <w:t>偏差</w:t>
            </w:r>
          </w:p>
        </w:tc>
        <w:tc>
          <w:tcPr>
            <w:tcW w:w="6255" w:type="dxa"/>
            <w:noWrap w:val="0"/>
            <w:vAlign w:val="center"/>
          </w:tcPr>
          <w:p w14:paraId="0BA37562">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对投标响应和偏差的要求详见投标人须知1.8</w:t>
            </w:r>
          </w:p>
        </w:tc>
      </w:tr>
      <w:tr w14:paraId="50392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FFA12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lang w:eastAsia="zh-CN"/>
              </w:rPr>
              <w:t>2</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eastAsia="zh-CN"/>
              </w:rPr>
              <w:t>2</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eastAsia="zh-CN"/>
              </w:rPr>
              <w:t>1</w:t>
            </w:r>
          </w:p>
        </w:tc>
        <w:tc>
          <w:tcPr>
            <w:tcW w:w="1911" w:type="dxa"/>
            <w:noWrap w:val="0"/>
            <w:vAlign w:val="center"/>
          </w:tcPr>
          <w:p w14:paraId="58B62F1E">
            <w:pPr>
              <w:pStyle w:val="43"/>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招标文件的获取</w:t>
            </w:r>
          </w:p>
        </w:tc>
        <w:tc>
          <w:tcPr>
            <w:tcW w:w="6255" w:type="dxa"/>
            <w:noWrap w:val="0"/>
            <w:vAlign w:val="center"/>
          </w:tcPr>
          <w:p w14:paraId="6A1BCF2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招标文件的获取方式、要求见招标公告</w:t>
            </w:r>
          </w:p>
        </w:tc>
      </w:tr>
      <w:tr w14:paraId="3B537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2A41A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2.3.1</w:t>
            </w:r>
          </w:p>
        </w:tc>
        <w:tc>
          <w:tcPr>
            <w:tcW w:w="1911" w:type="dxa"/>
            <w:noWrap w:val="0"/>
            <w:vAlign w:val="center"/>
          </w:tcPr>
          <w:p w14:paraId="2A0B577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对招标文件提出问题的截止时间、方式</w:t>
            </w:r>
          </w:p>
        </w:tc>
        <w:tc>
          <w:tcPr>
            <w:tcW w:w="6255" w:type="dxa"/>
            <w:noWrap w:val="0"/>
            <w:vAlign w:val="center"/>
          </w:tcPr>
          <w:p w14:paraId="5425A29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提出问题截止时间：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lang w:val="en-US" w:eastAsia="zh-CN"/>
              </w:rPr>
              <w:t>2025</w:t>
            </w:r>
            <w:r>
              <w:rPr>
                <w:rFonts w:hint="eastAsia" w:ascii="宋体" w:hAnsi="宋体" w:eastAsia="宋体" w:cs="宋体"/>
                <w:b/>
                <w:bCs/>
                <w:color w:val="auto"/>
                <w:kern w:val="0"/>
                <w:sz w:val="21"/>
                <w:szCs w:val="21"/>
                <w:highlight w:val="none"/>
                <w:u w:val="single"/>
              </w:rPr>
              <w:t>年</w:t>
            </w:r>
            <w:r>
              <w:rPr>
                <w:rFonts w:hint="eastAsia" w:ascii="宋体" w:hAnsi="宋体" w:eastAsia="宋体" w:cs="宋体"/>
                <w:b/>
                <w:bCs/>
                <w:color w:val="auto"/>
                <w:kern w:val="0"/>
                <w:sz w:val="21"/>
                <w:szCs w:val="21"/>
                <w:highlight w:val="none"/>
                <w:u w:val="single"/>
                <w:lang w:val="en-US" w:eastAsia="zh-CN"/>
              </w:rPr>
              <w:t xml:space="preserve"> 07 </w:t>
            </w:r>
            <w:r>
              <w:rPr>
                <w:rFonts w:hint="eastAsia" w:ascii="宋体" w:hAnsi="宋体" w:eastAsia="宋体" w:cs="宋体"/>
                <w:b/>
                <w:bCs/>
                <w:color w:val="auto"/>
                <w:kern w:val="0"/>
                <w:sz w:val="21"/>
                <w:szCs w:val="21"/>
                <w:highlight w:val="none"/>
                <w:u w:val="single"/>
              </w:rPr>
              <w:t>月</w:t>
            </w:r>
            <w:r>
              <w:rPr>
                <w:rFonts w:hint="eastAsia" w:ascii="宋体" w:hAnsi="宋体" w:eastAsia="宋体" w:cs="宋体"/>
                <w:b/>
                <w:bCs/>
                <w:color w:val="auto"/>
                <w:kern w:val="0"/>
                <w:sz w:val="21"/>
                <w:szCs w:val="21"/>
                <w:highlight w:val="none"/>
                <w:u w:val="single"/>
                <w:lang w:val="en-US" w:eastAsia="zh-CN"/>
              </w:rPr>
              <w:t xml:space="preserve"> 03 </w:t>
            </w:r>
            <w:r>
              <w:rPr>
                <w:rFonts w:hint="eastAsia" w:ascii="宋体" w:hAnsi="宋体" w:eastAsia="宋体" w:cs="宋体"/>
                <w:b/>
                <w:bCs/>
                <w:color w:val="auto"/>
                <w:kern w:val="0"/>
                <w:sz w:val="21"/>
                <w:szCs w:val="21"/>
                <w:highlight w:val="none"/>
                <w:u w:val="single"/>
              </w:rPr>
              <w:t>日</w:t>
            </w:r>
            <w:r>
              <w:rPr>
                <w:rFonts w:hint="eastAsia" w:ascii="宋体" w:hAnsi="宋体" w:eastAsia="宋体" w:cs="宋体"/>
                <w:b/>
                <w:bCs/>
                <w:color w:val="auto"/>
                <w:kern w:val="0"/>
                <w:sz w:val="21"/>
                <w:szCs w:val="21"/>
                <w:highlight w:val="none"/>
                <w:u w:val="single"/>
                <w:lang w:val="en-US" w:eastAsia="zh-CN"/>
              </w:rPr>
              <w:t>17</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val="en-US" w:eastAsia="zh-CN"/>
              </w:rPr>
              <w:t xml:space="preserve">00 </w:t>
            </w:r>
          </w:p>
          <w:p w14:paraId="7BC271F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rPr>
              <w:t>提出问题</w:t>
            </w:r>
            <w:r>
              <w:rPr>
                <w:rFonts w:hint="eastAsia" w:ascii="宋体" w:hAnsi="宋体" w:eastAsia="宋体" w:cs="宋体"/>
                <w:snapToGrid w:val="0"/>
                <w:color w:val="auto"/>
                <w:kern w:val="0"/>
                <w:sz w:val="21"/>
                <w:szCs w:val="21"/>
                <w:highlight w:val="none"/>
              </w:rPr>
              <w:t>方式</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潜在投标人可登陆杭州城投</w:t>
            </w:r>
            <w:r>
              <w:rPr>
                <w:rFonts w:hint="eastAsia" w:ascii="宋体" w:hAnsi="宋体" w:eastAsia="宋体" w:cs="宋体"/>
                <w:b/>
                <w:bCs/>
                <w:color w:val="auto"/>
                <w:kern w:val="0"/>
                <w:sz w:val="21"/>
                <w:szCs w:val="21"/>
                <w:highlight w:val="none"/>
                <w:lang w:val="en-US" w:eastAsia="zh-CN"/>
              </w:rPr>
              <w:t>集团</w:t>
            </w:r>
            <w:r>
              <w:rPr>
                <w:rFonts w:hint="eastAsia" w:ascii="宋体" w:hAnsi="宋体" w:eastAsia="宋体" w:cs="宋体"/>
                <w:b/>
                <w:bCs/>
                <w:color w:val="auto"/>
                <w:kern w:val="0"/>
                <w:sz w:val="21"/>
                <w:szCs w:val="21"/>
                <w:highlight w:val="none"/>
              </w:rPr>
              <w:t>采购平台通过网络在线方式提出质疑（登录网站https://jczx.hzcjtz.com/→标段详情→项目提疑）</w:t>
            </w:r>
            <w:r>
              <w:rPr>
                <w:rFonts w:hint="eastAsia" w:ascii="宋体" w:hAnsi="宋体" w:eastAsia="宋体" w:cs="宋体"/>
                <w:b/>
                <w:bCs/>
                <w:color w:val="auto"/>
                <w:kern w:val="0"/>
                <w:sz w:val="21"/>
                <w:szCs w:val="21"/>
                <w:highlight w:val="none"/>
                <w:lang w:eastAsia="zh-CN"/>
              </w:rPr>
              <w:t>。</w:t>
            </w:r>
          </w:p>
          <w:p w14:paraId="5F8D5CDD">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注：未按上述要求提出的问题，招标人有权不予答复。</w:t>
            </w:r>
          </w:p>
        </w:tc>
      </w:tr>
      <w:tr w14:paraId="23AF2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1B817E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2.3.2</w:t>
            </w:r>
          </w:p>
        </w:tc>
        <w:tc>
          <w:tcPr>
            <w:tcW w:w="1911" w:type="dxa"/>
            <w:noWrap w:val="0"/>
            <w:vAlign w:val="center"/>
          </w:tcPr>
          <w:p w14:paraId="59A1775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rPr>
              <w:t>招标文件澄清、修改发出的形式</w:t>
            </w:r>
          </w:p>
        </w:tc>
        <w:tc>
          <w:tcPr>
            <w:tcW w:w="6255" w:type="dxa"/>
            <w:noWrap w:val="0"/>
            <w:vAlign w:val="center"/>
          </w:tcPr>
          <w:p w14:paraId="4B1CF1C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 w:val="21"/>
                <w:szCs w:val="21"/>
                <w:highlight w:val="none"/>
                <w:u w:val="single"/>
              </w:rPr>
            </w:pPr>
            <w:r>
              <w:rPr>
                <w:rFonts w:hint="eastAsia" w:ascii="宋体" w:hAnsi="宋体" w:eastAsia="宋体" w:cs="宋体"/>
                <w:color w:val="auto"/>
                <w:kern w:val="0"/>
                <w:sz w:val="21"/>
                <w:szCs w:val="21"/>
                <w:highlight w:val="none"/>
              </w:rPr>
              <w:t>澄清问题截止时间：</w:t>
            </w:r>
            <w:r>
              <w:rPr>
                <w:rFonts w:hint="eastAsia" w:ascii="宋体" w:hAnsi="宋体" w:eastAsia="宋体" w:cs="宋体"/>
                <w:b/>
                <w:bCs/>
                <w:color w:val="auto"/>
                <w:kern w:val="0"/>
                <w:sz w:val="21"/>
                <w:szCs w:val="21"/>
                <w:highlight w:val="none"/>
                <w:u w:val="single"/>
                <w:lang w:val="en-US" w:eastAsia="zh-CN"/>
              </w:rPr>
              <w:t xml:space="preserve"> 2025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rPr>
              <w:t>年</w:t>
            </w:r>
            <w:r>
              <w:rPr>
                <w:rFonts w:hint="eastAsia" w:ascii="宋体" w:hAnsi="宋体" w:eastAsia="宋体" w:cs="宋体"/>
                <w:b/>
                <w:bCs/>
                <w:color w:val="auto"/>
                <w:kern w:val="0"/>
                <w:sz w:val="21"/>
                <w:szCs w:val="21"/>
                <w:highlight w:val="none"/>
                <w:u w:val="single"/>
                <w:lang w:val="en-US" w:eastAsia="zh-CN"/>
              </w:rPr>
              <w:t xml:space="preserve"> 07 </w:t>
            </w:r>
            <w:r>
              <w:rPr>
                <w:rFonts w:hint="eastAsia" w:ascii="宋体" w:hAnsi="宋体" w:eastAsia="宋体" w:cs="宋体"/>
                <w:b/>
                <w:bCs/>
                <w:color w:val="auto"/>
                <w:kern w:val="0"/>
                <w:sz w:val="21"/>
                <w:szCs w:val="21"/>
                <w:highlight w:val="none"/>
                <w:u w:val="single"/>
              </w:rPr>
              <w:t>月</w:t>
            </w:r>
            <w:r>
              <w:rPr>
                <w:rFonts w:hint="eastAsia" w:ascii="宋体" w:hAnsi="宋体" w:eastAsia="宋体" w:cs="宋体"/>
                <w:b/>
                <w:bCs/>
                <w:color w:val="auto"/>
                <w:kern w:val="0"/>
                <w:sz w:val="21"/>
                <w:szCs w:val="21"/>
                <w:highlight w:val="none"/>
                <w:u w:val="single"/>
                <w:lang w:val="en-US" w:eastAsia="zh-CN"/>
              </w:rPr>
              <w:t xml:space="preserve"> 06 </w:t>
            </w:r>
            <w:r>
              <w:rPr>
                <w:rFonts w:hint="eastAsia" w:ascii="宋体" w:hAnsi="宋体" w:eastAsia="宋体" w:cs="宋体"/>
                <w:b/>
                <w:bCs/>
                <w:color w:val="auto"/>
                <w:kern w:val="0"/>
                <w:sz w:val="21"/>
                <w:szCs w:val="21"/>
                <w:highlight w:val="none"/>
                <w:u w:val="single"/>
              </w:rPr>
              <w:t>日</w:t>
            </w:r>
            <w:r>
              <w:rPr>
                <w:rFonts w:hint="eastAsia" w:ascii="宋体" w:hAnsi="宋体" w:eastAsia="宋体" w:cs="宋体"/>
                <w:b/>
                <w:bCs/>
                <w:color w:val="auto"/>
                <w:kern w:val="0"/>
                <w:sz w:val="21"/>
                <w:szCs w:val="21"/>
                <w:highlight w:val="none"/>
                <w:u w:val="single"/>
                <w:lang w:val="en-US" w:eastAsia="zh-CN"/>
              </w:rPr>
              <w:t xml:space="preserve">17 </w:t>
            </w:r>
            <w:r>
              <w:rPr>
                <w:rFonts w:hint="eastAsia" w:ascii="宋体" w:hAnsi="宋体" w:eastAsia="宋体" w:cs="宋体"/>
                <w:b/>
                <w:bCs/>
                <w:color w:val="auto"/>
                <w:kern w:val="0"/>
                <w:sz w:val="21"/>
                <w:szCs w:val="21"/>
                <w:highlight w:val="none"/>
                <w:u w:val="single"/>
              </w:rPr>
              <w:t>:00</w:t>
            </w:r>
          </w:p>
          <w:p w14:paraId="5984E52C">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snapToGrid w:val="0"/>
                <w:color w:val="auto"/>
                <w:sz w:val="21"/>
                <w:szCs w:val="21"/>
                <w:highlight w:val="none"/>
              </w:rPr>
              <w:t>在</w:t>
            </w:r>
            <w:r>
              <w:rPr>
                <w:rFonts w:hint="eastAsia" w:ascii="宋体" w:hAnsi="宋体" w:eastAsia="宋体" w:cs="宋体"/>
                <w:snapToGrid w:val="0"/>
                <w:color w:val="auto"/>
                <w:sz w:val="21"/>
                <w:szCs w:val="21"/>
                <w:highlight w:val="none"/>
                <w:lang w:val="zh-CN"/>
              </w:rPr>
              <w:t>本项目招标公告发布页面公布（详见招标公告），投标人可自行下载获取澄清或修改</w:t>
            </w:r>
            <w:r>
              <w:rPr>
                <w:rFonts w:hint="eastAsia" w:ascii="宋体" w:hAnsi="宋体" w:eastAsia="宋体" w:cs="宋体"/>
                <w:snapToGrid w:val="0"/>
                <w:color w:val="auto"/>
                <w:kern w:val="0"/>
                <w:sz w:val="21"/>
                <w:szCs w:val="21"/>
                <w:highlight w:val="none"/>
              </w:rPr>
              <w:t>文件</w:t>
            </w:r>
            <w:r>
              <w:rPr>
                <w:rFonts w:hint="eastAsia" w:ascii="宋体" w:hAnsi="宋体" w:eastAsia="宋体" w:cs="宋体"/>
                <w:snapToGrid w:val="0"/>
                <w:color w:val="auto"/>
                <w:kern w:val="0"/>
                <w:sz w:val="21"/>
                <w:szCs w:val="21"/>
                <w:highlight w:val="none"/>
                <w:lang w:eastAsia="zh-CN"/>
              </w:rPr>
              <w:t>，</w:t>
            </w:r>
            <w:bookmarkStart w:id="317" w:name="_GoBack"/>
            <w:bookmarkEnd w:id="317"/>
            <w:r>
              <w:rPr>
                <w:rFonts w:hint="eastAsia" w:ascii="宋体" w:hAnsi="宋体" w:eastAsia="宋体" w:cs="宋体"/>
                <w:snapToGrid w:val="0"/>
                <w:color w:val="auto"/>
                <w:kern w:val="0"/>
                <w:sz w:val="21"/>
                <w:szCs w:val="21"/>
                <w:highlight w:val="none"/>
                <w:lang w:eastAsia="zh-CN"/>
              </w:rPr>
              <w:t>投标截止时间前，请投标人务必关注补充公告。</w:t>
            </w:r>
          </w:p>
        </w:tc>
      </w:tr>
      <w:tr w14:paraId="01DBD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1C1895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3.1</w:t>
            </w:r>
          </w:p>
        </w:tc>
        <w:tc>
          <w:tcPr>
            <w:tcW w:w="1911" w:type="dxa"/>
            <w:noWrap w:val="0"/>
            <w:vAlign w:val="center"/>
          </w:tcPr>
          <w:p w14:paraId="162B308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投标文件组成</w:t>
            </w:r>
          </w:p>
        </w:tc>
        <w:tc>
          <w:tcPr>
            <w:tcW w:w="6255" w:type="dxa"/>
            <w:noWrap w:val="0"/>
            <w:vAlign w:val="center"/>
          </w:tcPr>
          <w:p w14:paraId="2154E51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投标文件由资格</w:t>
            </w:r>
            <w:r>
              <w:rPr>
                <w:rFonts w:hint="eastAsia" w:ascii="宋体" w:hAnsi="宋体" w:eastAsia="宋体" w:cs="宋体"/>
                <w:snapToGrid w:val="0"/>
                <w:color w:val="auto"/>
                <w:kern w:val="0"/>
                <w:sz w:val="21"/>
                <w:szCs w:val="21"/>
                <w:highlight w:val="none"/>
                <w:lang w:val="en-US" w:eastAsia="zh-CN"/>
              </w:rPr>
              <w:t>文件</w:t>
            </w:r>
            <w:r>
              <w:rPr>
                <w:rFonts w:hint="eastAsia" w:ascii="宋体" w:hAnsi="宋体" w:eastAsia="宋体" w:cs="宋体"/>
                <w:snapToGrid w:val="0"/>
                <w:color w:val="auto"/>
                <w:kern w:val="0"/>
                <w:sz w:val="21"/>
                <w:szCs w:val="21"/>
                <w:highlight w:val="none"/>
              </w:rPr>
              <w:t>、商务</w:t>
            </w:r>
            <w:r>
              <w:rPr>
                <w:rFonts w:hint="eastAsia" w:ascii="宋体" w:hAnsi="宋体" w:eastAsia="宋体" w:cs="宋体"/>
                <w:snapToGrid w:val="0"/>
                <w:color w:val="auto"/>
                <w:kern w:val="0"/>
                <w:sz w:val="21"/>
                <w:szCs w:val="21"/>
                <w:highlight w:val="none"/>
                <w:lang w:val="en-US" w:eastAsia="zh-CN"/>
              </w:rPr>
              <w:t>文件、</w:t>
            </w:r>
            <w:r>
              <w:rPr>
                <w:rFonts w:hint="eastAsia" w:ascii="宋体" w:hAnsi="宋体" w:eastAsia="宋体" w:cs="宋体"/>
                <w:snapToGrid w:val="0"/>
                <w:color w:val="auto"/>
                <w:kern w:val="0"/>
                <w:sz w:val="21"/>
                <w:szCs w:val="21"/>
                <w:highlight w:val="none"/>
              </w:rPr>
              <w:t>资信</w:t>
            </w:r>
            <w:r>
              <w:rPr>
                <w:rFonts w:hint="eastAsia" w:ascii="宋体" w:hAnsi="宋体" w:eastAsia="宋体" w:cs="宋体"/>
                <w:snapToGrid w:val="0"/>
                <w:color w:val="auto"/>
                <w:kern w:val="0"/>
                <w:sz w:val="21"/>
                <w:szCs w:val="21"/>
                <w:highlight w:val="none"/>
                <w:lang w:val="en-US" w:eastAsia="zh-CN"/>
              </w:rPr>
              <w:t>文件、技术文件四</w:t>
            </w:r>
            <w:r>
              <w:rPr>
                <w:rFonts w:hint="eastAsia" w:ascii="宋体" w:hAnsi="宋体" w:eastAsia="宋体" w:cs="宋体"/>
                <w:snapToGrid w:val="0"/>
                <w:color w:val="auto"/>
                <w:kern w:val="0"/>
                <w:sz w:val="21"/>
                <w:szCs w:val="21"/>
                <w:highlight w:val="none"/>
              </w:rPr>
              <w:t>部分组成</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资格</w:t>
            </w:r>
            <w:r>
              <w:rPr>
                <w:rFonts w:hint="eastAsia" w:ascii="宋体" w:hAnsi="宋体" w:eastAsia="宋体" w:cs="宋体"/>
                <w:snapToGrid w:val="0"/>
                <w:color w:val="auto"/>
                <w:kern w:val="0"/>
                <w:sz w:val="21"/>
                <w:szCs w:val="21"/>
                <w:highlight w:val="none"/>
                <w:lang w:val="en-US" w:eastAsia="zh-CN"/>
              </w:rPr>
              <w:t>文件</w:t>
            </w:r>
          </w:p>
          <w:p w14:paraId="497F6E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（1）有效营业执照或事业单位法人证书、</w:t>
            </w:r>
            <w:r>
              <w:rPr>
                <w:rFonts w:hint="eastAsia" w:ascii="宋体" w:hAnsi="宋体" w:eastAsia="宋体" w:cs="宋体"/>
                <w:snapToGrid w:val="0"/>
                <w:color w:val="auto"/>
                <w:kern w:val="0"/>
                <w:sz w:val="21"/>
                <w:szCs w:val="21"/>
                <w:highlight w:val="none"/>
                <w:lang w:val="en-US" w:eastAsia="zh-CN"/>
              </w:rPr>
              <w:t>社会团体法人登记证书或其他组织登记证明文件、</w:t>
            </w:r>
            <w:r>
              <w:rPr>
                <w:rFonts w:hint="eastAsia" w:ascii="宋体" w:hAnsi="宋体" w:eastAsia="宋体" w:cs="宋体"/>
                <w:snapToGrid w:val="0"/>
                <w:color w:val="auto"/>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color w:val="auto"/>
                <w:kern w:val="0"/>
                <w:sz w:val="21"/>
                <w:szCs w:val="21"/>
                <w:highlight w:val="none"/>
                <w:lang w:eastAsia="zh-CN"/>
              </w:rPr>
              <w:t>；</w:t>
            </w:r>
          </w:p>
          <w:p w14:paraId="7512504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（2）投标保证金缴存证明</w:t>
            </w:r>
            <w:r>
              <w:rPr>
                <w:rFonts w:hint="eastAsia" w:ascii="宋体" w:hAnsi="宋体" w:eastAsia="宋体" w:cs="宋体"/>
                <w:snapToGrid w:val="0"/>
                <w:color w:val="auto"/>
                <w:kern w:val="0"/>
                <w:sz w:val="21"/>
                <w:szCs w:val="21"/>
                <w:highlight w:val="none"/>
                <w:lang w:eastAsia="zh-CN"/>
              </w:rPr>
              <w:t>；</w:t>
            </w:r>
          </w:p>
          <w:p w14:paraId="19EE02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zh-CN"/>
              </w:rPr>
            </w:pPr>
            <w:r>
              <w:rPr>
                <w:rFonts w:hint="eastAsia" w:ascii="宋体" w:hAnsi="宋体" w:eastAsia="宋体" w:cs="宋体"/>
                <w:snapToGrid w:val="0"/>
                <w:color w:val="auto"/>
                <w:kern w:val="0"/>
                <w:sz w:val="21"/>
                <w:szCs w:val="21"/>
                <w:highlight w:val="none"/>
                <w:lang w:val="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zh-CN"/>
              </w:rPr>
              <w:t>其他：</w:t>
            </w:r>
            <w:r>
              <w:rPr>
                <w:rFonts w:hint="eastAsia" w:ascii="宋体" w:hAnsi="宋体" w:eastAsia="宋体" w:cs="宋体"/>
                <w:snapToGrid w:val="0"/>
                <w:color w:val="auto"/>
                <w:kern w:val="0"/>
                <w:sz w:val="21"/>
                <w:szCs w:val="21"/>
                <w:highlight w:val="none"/>
                <w:u w:val="single"/>
                <w:lang w:val="en-US" w:eastAsia="zh-CN"/>
              </w:rPr>
              <w:t>业绩证明材料</w:t>
            </w:r>
            <w:r>
              <w:rPr>
                <w:rFonts w:hint="eastAsia" w:ascii="宋体" w:hAnsi="宋体" w:eastAsia="宋体" w:cs="宋体"/>
                <w:snapToGrid w:val="0"/>
                <w:color w:val="auto"/>
                <w:kern w:val="0"/>
                <w:sz w:val="21"/>
                <w:szCs w:val="21"/>
                <w:highlight w:val="none"/>
              </w:rPr>
              <w:t>。</w:t>
            </w:r>
          </w:p>
          <w:p w14:paraId="679D4A6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2.商务报价部分</w:t>
            </w:r>
          </w:p>
          <w:p w14:paraId="22641B5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（1）投标函</w:t>
            </w:r>
            <w:r>
              <w:rPr>
                <w:rFonts w:hint="eastAsia" w:ascii="宋体" w:hAnsi="宋体" w:eastAsia="宋体" w:cs="宋体"/>
                <w:snapToGrid w:val="0"/>
                <w:color w:val="auto"/>
                <w:kern w:val="0"/>
                <w:sz w:val="21"/>
                <w:szCs w:val="21"/>
                <w:highlight w:val="none"/>
                <w:lang w:eastAsia="zh-CN"/>
              </w:rPr>
              <w:t>；</w:t>
            </w:r>
          </w:p>
          <w:p w14:paraId="7DD7012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投标报价明细表；</w:t>
            </w:r>
          </w:p>
          <w:p w14:paraId="5019C64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（3）法定代表人资格证明书</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法定代表人授权委托书(单独提供，同时装订在商务报价文件中)</w:t>
            </w:r>
            <w:r>
              <w:rPr>
                <w:rFonts w:hint="eastAsia" w:ascii="宋体" w:hAnsi="宋体" w:eastAsia="宋体" w:cs="宋体"/>
                <w:snapToGrid w:val="0"/>
                <w:color w:val="auto"/>
                <w:kern w:val="0"/>
                <w:sz w:val="21"/>
                <w:szCs w:val="21"/>
                <w:highlight w:val="none"/>
                <w:lang w:eastAsia="zh-CN"/>
              </w:rPr>
              <w:t>；</w:t>
            </w:r>
          </w:p>
          <w:p w14:paraId="2898152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r>
              <w:rPr>
                <w:rFonts w:hint="eastAsia" w:ascii="宋体" w:hAnsi="宋体" w:eastAsia="宋体" w:cs="宋体"/>
                <w:snapToGrid w:val="0"/>
                <w:color w:val="auto"/>
                <w:kern w:val="0"/>
                <w:sz w:val="21"/>
                <w:szCs w:val="21"/>
                <w:highlight w:val="none"/>
                <w:lang w:eastAsia="zh-CN"/>
              </w:rPr>
              <w:t>联合体协议书（若有）；</w:t>
            </w:r>
          </w:p>
          <w:p w14:paraId="3E1024A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）商务偏离表（</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14:paraId="5ADBCEA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）商务优惠条件及特殊承诺。</w:t>
            </w:r>
          </w:p>
          <w:p w14:paraId="7073CF5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3.资信文件部分</w:t>
            </w:r>
          </w:p>
          <w:p w14:paraId="5924A57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14:paraId="5A723A6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14:paraId="4BC9CDE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 xml:space="preserve">近  </w:t>
            </w:r>
            <w:r>
              <w:rPr>
                <w:rFonts w:hint="eastAsia" w:ascii="宋体" w:hAnsi="宋体" w:eastAsia="宋体" w:cs="宋体"/>
                <w:snapToGrid w:val="0"/>
                <w:color w:val="auto"/>
                <w:kern w:val="0"/>
                <w:sz w:val="21"/>
                <w:szCs w:val="21"/>
                <w:highlight w:val="none"/>
                <w:u w:val="single"/>
                <w:lang w:val="en-US" w:eastAsia="zh-CN"/>
              </w:rPr>
              <w:t xml:space="preserve"> 3 </w:t>
            </w:r>
            <w:r>
              <w:rPr>
                <w:rFonts w:hint="eastAsia" w:ascii="宋体" w:hAnsi="宋体" w:eastAsia="宋体" w:cs="宋体"/>
                <w:snapToGrid w:val="0"/>
                <w:color w:val="auto"/>
                <w:kern w:val="0"/>
                <w:sz w:val="21"/>
                <w:szCs w:val="21"/>
                <w:highlight w:val="none"/>
                <w:lang w:val="en-US" w:eastAsia="zh-CN"/>
              </w:rPr>
              <w:t>年类似业绩</w:t>
            </w:r>
            <w:r>
              <w:rPr>
                <w:rFonts w:hint="eastAsia" w:ascii="宋体" w:hAnsi="宋体" w:eastAsia="宋体" w:cs="宋体"/>
                <w:snapToGrid w:val="0"/>
                <w:color w:val="auto"/>
                <w:kern w:val="0"/>
                <w:sz w:val="21"/>
                <w:szCs w:val="21"/>
                <w:highlight w:val="none"/>
              </w:rPr>
              <w:t>情况表（证明材料提供合同</w:t>
            </w:r>
            <w:r>
              <w:rPr>
                <w:rFonts w:hint="eastAsia" w:ascii="宋体" w:hAnsi="宋体" w:eastAsia="宋体" w:cs="宋体"/>
                <w:snapToGrid w:val="0"/>
                <w:color w:val="auto"/>
                <w:kern w:val="0"/>
                <w:sz w:val="21"/>
                <w:szCs w:val="21"/>
                <w:highlight w:val="none"/>
                <w:lang w:val="en-US" w:eastAsia="zh-CN"/>
              </w:rPr>
              <w:t>及验收材料</w:t>
            </w:r>
            <w:r>
              <w:rPr>
                <w:rFonts w:hint="eastAsia" w:ascii="宋体" w:hAnsi="宋体" w:eastAsia="宋体" w:cs="宋体"/>
                <w:snapToGrid w:val="0"/>
                <w:color w:val="auto"/>
                <w:kern w:val="0"/>
                <w:sz w:val="21"/>
                <w:szCs w:val="21"/>
                <w:highlight w:val="none"/>
              </w:rPr>
              <w:t>）；</w:t>
            </w:r>
          </w:p>
          <w:p w14:paraId="3A1A997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14:paraId="2A1480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14:paraId="5EE669B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合法知识产权承诺函</w:t>
            </w:r>
          </w:p>
          <w:p w14:paraId="52C270B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7</w:t>
            </w:r>
            <w:r>
              <w:rPr>
                <w:rFonts w:hint="eastAsia" w:ascii="宋体" w:hAnsi="宋体" w:eastAsia="宋体" w:cs="宋体"/>
                <w:snapToGrid w:val="0"/>
                <w:color w:val="auto"/>
                <w:kern w:val="0"/>
                <w:sz w:val="21"/>
                <w:szCs w:val="21"/>
                <w:highlight w:val="none"/>
              </w:rPr>
              <w:t>）投标人认为有必要的其他内容等。</w:t>
            </w:r>
          </w:p>
          <w:p w14:paraId="144A528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技术部分</w:t>
            </w:r>
            <w:r>
              <w:rPr>
                <w:rFonts w:hint="eastAsia" w:ascii="宋体" w:hAnsi="宋体" w:eastAsia="宋体" w:cs="宋体"/>
                <w:color w:val="auto"/>
                <w:sz w:val="21"/>
                <w:szCs w:val="21"/>
                <w:highlight w:val="none"/>
                <w:lang w:val="en-US" w:eastAsia="zh-CN"/>
              </w:rPr>
              <w:t>（以下内容仅供参考，可根据项目实际情况自行修改，本部分不属于否决投标内容）</w:t>
            </w:r>
          </w:p>
          <w:p w14:paraId="41068B2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（1）技术与服务解决方案</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如</w:t>
            </w:r>
            <w:r>
              <w:rPr>
                <w:rFonts w:hint="eastAsia" w:ascii="宋体" w:hAnsi="宋体" w:eastAsia="宋体" w:cs="宋体"/>
                <w:b w:val="0"/>
                <w:snapToGrid w:val="0"/>
                <w:color w:val="auto"/>
                <w:kern w:val="0"/>
                <w:sz w:val="21"/>
                <w:szCs w:val="21"/>
                <w:highlight w:val="none"/>
                <w:lang w:val="en-US" w:eastAsia="zh-CN" w:bidi="ar-SA"/>
              </w:rPr>
              <w:t>改造方案、</w:t>
            </w:r>
            <w:r>
              <w:rPr>
                <w:rFonts w:hint="eastAsia" w:ascii="宋体" w:hAnsi="宋体" w:eastAsia="宋体" w:cs="宋体"/>
                <w:snapToGrid w:val="0"/>
                <w:color w:val="auto"/>
                <w:kern w:val="0"/>
                <w:sz w:val="21"/>
                <w:szCs w:val="21"/>
                <w:highlight w:val="none"/>
                <w:lang w:val="en-US" w:eastAsia="zh-CN"/>
              </w:rPr>
              <w:t>售后响应承诺、应急保障方案等内容。</w:t>
            </w:r>
          </w:p>
          <w:p w14:paraId="353507D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增值服务及特殊承诺</w:t>
            </w:r>
            <w:r>
              <w:rPr>
                <w:rFonts w:hint="eastAsia" w:ascii="宋体" w:hAnsi="宋体" w:eastAsia="宋体" w:cs="宋体"/>
                <w:snapToGrid w:val="0"/>
                <w:color w:val="auto"/>
                <w:kern w:val="0"/>
                <w:sz w:val="21"/>
                <w:szCs w:val="21"/>
                <w:highlight w:val="none"/>
              </w:rPr>
              <w:t>；</w:t>
            </w:r>
          </w:p>
          <w:p w14:paraId="5948B44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（3）技术偏离表；</w:t>
            </w:r>
          </w:p>
          <w:p w14:paraId="6D92DB0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（4）投标人认为</w:t>
            </w:r>
            <w:r>
              <w:rPr>
                <w:rFonts w:hint="eastAsia" w:ascii="宋体" w:hAnsi="宋体" w:eastAsia="宋体" w:cs="宋体"/>
                <w:snapToGrid w:val="0"/>
                <w:color w:val="auto"/>
                <w:kern w:val="0"/>
                <w:sz w:val="21"/>
                <w:szCs w:val="21"/>
                <w:highlight w:val="none"/>
                <w:lang w:eastAsia="zh-CN"/>
              </w:rPr>
              <w:t>需要</w:t>
            </w:r>
            <w:r>
              <w:rPr>
                <w:rFonts w:hint="eastAsia" w:ascii="宋体" w:hAnsi="宋体" w:eastAsia="宋体" w:cs="宋体"/>
                <w:snapToGrid w:val="0"/>
                <w:color w:val="auto"/>
                <w:kern w:val="0"/>
                <w:sz w:val="21"/>
                <w:szCs w:val="21"/>
                <w:highlight w:val="none"/>
              </w:rPr>
              <w:t>提供的其他文件和说明</w:t>
            </w:r>
            <w:r>
              <w:rPr>
                <w:rFonts w:hint="eastAsia" w:ascii="宋体" w:hAnsi="宋体" w:eastAsia="宋体" w:cs="宋体"/>
                <w:snapToGrid w:val="0"/>
                <w:color w:val="auto"/>
                <w:kern w:val="0"/>
                <w:sz w:val="21"/>
                <w:szCs w:val="21"/>
                <w:highlight w:val="none"/>
                <w:lang w:eastAsia="zh-CN"/>
              </w:rPr>
              <w:t>。</w:t>
            </w:r>
          </w:p>
          <w:p w14:paraId="65398F5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备注：以上证明材料提供</w:t>
            </w:r>
            <w:r>
              <w:rPr>
                <w:rFonts w:hint="eastAsia" w:ascii="宋体" w:hAnsi="宋体" w:eastAsia="宋体" w:cs="宋体"/>
                <w:snapToGrid w:val="0"/>
                <w:color w:val="auto"/>
                <w:kern w:val="0"/>
                <w:sz w:val="21"/>
                <w:szCs w:val="21"/>
                <w:highlight w:val="none"/>
                <w:lang w:eastAsia="zh-CN"/>
              </w:rPr>
              <w:t>复印件</w:t>
            </w:r>
            <w:r>
              <w:rPr>
                <w:rFonts w:hint="eastAsia" w:ascii="宋体" w:hAnsi="宋体" w:eastAsia="宋体" w:cs="宋体"/>
                <w:snapToGrid w:val="0"/>
                <w:color w:val="auto"/>
                <w:kern w:val="0"/>
                <w:sz w:val="21"/>
                <w:szCs w:val="21"/>
                <w:highlight w:val="none"/>
              </w:rPr>
              <w:t>加盖公章。</w:t>
            </w:r>
          </w:p>
        </w:tc>
      </w:tr>
      <w:tr w14:paraId="68B97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D1A2F5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3.4.2</w:t>
            </w:r>
          </w:p>
        </w:tc>
        <w:tc>
          <w:tcPr>
            <w:tcW w:w="1911" w:type="dxa"/>
            <w:noWrap w:val="0"/>
            <w:vAlign w:val="center"/>
          </w:tcPr>
          <w:p w14:paraId="139BC8D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rPr>
              <w:t>投标文件份数及其他要求</w:t>
            </w:r>
          </w:p>
        </w:tc>
        <w:tc>
          <w:tcPr>
            <w:tcW w:w="6255" w:type="dxa"/>
            <w:noWrap w:val="0"/>
            <w:vAlign w:val="center"/>
          </w:tcPr>
          <w:p w14:paraId="31A0AEE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投标文件份数：1正</w:t>
            </w:r>
            <w:r>
              <w:rPr>
                <w:rFonts w:hint="eastAsia" w:ascii="宋体" w:hAnsi="宋体" w:eastAsia="宋体" w:cs="宋体"/>
                <w:color w:val="auto"/>
                <w:sz w:val="21"/>
                <w:szCs w:val="21"/>
                <w:highlight w:val="none"/>
                <w:u w:val="single"/>
                <w:lang w:eastAsia="zh-CN"/>
              </w:rPr>
              <w:t>4</w:t>
            </w:r>
            <w:r>
              <w:rPr>
                <w:rFonts w:hint="eastAsia" w:ascii="宋体" w:hAnsi="宋体" w:eastAsia="宋体" w:cs="宋体"/>
                <w:color w:val="auto"/>
                <w:sz w:val="21"/>
                <w:szCs w:val="21"/>
                <w:highlight w:val="none"/>
                <w:lang w:eastAsia="zh-CN"/>
              </w:rPr>
              <w:t>副</w:t>
            </w:r>
          </w:p>
          <w:p w14:paraId="0349F55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p>
          <w:p w14:paraId="64B4E1B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p w14:paraId="657657C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w:t>
            </w:r>
            <w:r>
              <w:rPr>
                <w:rFonts w:hint="eastAsia" w:ascii="宋体" w:hAnsi="宋体" w:eastAsia="宋体" w:cs="宋体"/>
                <w:b/>
                <w:bCs/>
                <w:color w:val="auto"/>
                <w:sz w:val="21"/>
                <w:szCs w:val="21"/>
                <w:highlight w:val="none"/>
              </w:rPr>
              <w:t>，提交电子版带红章的PDF文件及word版本各1份（形式</w:t>
            </w:r>
            <w:r>
              <w:rPr>
                <w:rFonts w:hint="eastAsia" w:ascii="宋体" w:hAnsi="宋体" w:eastAsia="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u w:val="single"/>
                <w:lang w:val="en-US" w:eastAsia="zh-CN"/>
              </w:rPr>
              <w:t xml:space="preserve">     U盘   </w:t>
            </w:r>
            <w:r>
              <w:rPr>
                <w:rFonts w:hint="eastAsia" w:ascii="宋体" w:hAnsi="宋体" w:eastAsia="宋体" w:cs="宋体"/>
                <w:b/>
                <w:bCs/>
                <w:color w:val="auto"/>
                <w:sz w:val="21"/>
                <w:szCs w:val="21"/>
                <w:highlight w:val="none"/>
              </w:rPr>
              <w:t>）（与投标文件一起密封）。</w:t>
            </w:r>
          </w:p>
          <w:p w14:paraId="277E7B4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如投标人同时对多个标</w:t>
            </w:r>
            <w:r>
              <w:rPr>
                <w:rFonts w:hint="eastAsia"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rPr>
              <w:t>进行投标的，需针对每个标</w:t>
            </w:r>
            <w:r>
              <w:rPr>
                <w:rFonts w:hint="eastAsia"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rPr>
              <w:t>分别编制投标文件。</w:t>
            </w:r>
          </w:p>
        </w:tc>
      </w:tr>
      <w:tr w14:paraId="4E409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14:paraId="061C64F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3.4.3</w:t>
            </w:r>
          </w:p>
        </w:tc>
        <w:tc>
          <w:tcPr>
            <w:tcW w:w="1911" w:type="dxa"/>
            <w:noWrap w:val="0"/>
            <w:vAlign w:val="center"/>
          </w:tcPr>
          <w:p w14:paraId="26DEBBC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装订要求</w:t>
            </w:r>
          </w:p>
        </w:tc>
        <w:tc>
          <w:tcPr>
            <w:tcW w:w="6255" w:type="dxa"/>
            <w:noWrap w:val="0"/>
            <w:vAlign w:val="center"/>
          </w:tcPr>
          <w:p w14:paraId="78F4F3FC">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是否分册装订：</w:t>
            </w:r>
          </w:p>
          <w:p w14:paraId="72D871E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☑不分册装订；</w:t>
            </w:r>
          </w:p>
          <w:p w14:paraId="26AFD826">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u w:val="single"/>
                <w:lang w:eastAsia="zh-CN"/>
              </w:rPr>
            </w:pPr>
            <w:r>
              <w:rPr>
                <w:rFonts w:hint="eastAsia" w:ascii="宋体" w:hAnsi="宋体" w:eastAsia="宋体" w:cs="宋体"/>
                <w:snapToGrid w:val="0"/>
                <w:color w:val="auto"/>
                <w:sz w:val="21"/>
                <w:szCs w:val="21"/>
                <w:highlight w:val="none"/>
                <w:lang w:eastAsia="zh-CN"/>
              </w:rPr>
              <w:t>□分册装订。</w:t>
            </w:r>
          </w:p>
          <w:p w14:paraId="685EA02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装订要求：A4幅面，</w:t>
            </w:r>
            <w:r>
              <w:rPr>
                <w:rFonts w:hint="eastAsia" w:ascii="宋体" w:hAnsi="宋体" w:eastAsia="宋体" w:cs="宋体"/>
                <w:b/>
                <w:bCs/>
                <w:snapToGrid w:val="0"/>
                <w:color w:val="auto"/>
                <w:sz w:val="21"/>
                <w:szCs w:val="21"/>
                <w:highlight w:val="none"/>
                <w:lang w:eastAsia="zh-CN"/>
              </w:rPr>
              <w:t>双面</w:t>
            </w:r>
            <w:r>
              <w:rPr>
                <w:rFonts w:hint="eastAsia" w:ascii="宋体" w:hAnsi="宋体" w:eastAsia="宋体" w:cs="宋体"/>
                <w:snapToGrid w:val="0"/>
                <w:color w:val="auto"/>
                <w:sz w:val="21"/>
                <w:szCs w:val="21"/>
                <w:highlight w:val="none"/>
                <w:lang w:eastAsia="zh-CN"/>
              </w:rPr>
              <w:t>打印，卡纸作封面。采用胶装方式装订，装订应牢固、不易拆散和换页，不得采用活页装订。</w:t>
            </w:r>
          </w:p>
          <w:p w14:paraId="26B62E0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u w:val="single"/>
                <w:lang w:eastAsia="zh-CN"/>
              </w:rPr>
            </w:pPr>
            <w:r>
              <w:rPr>
                <w:rFonts w:hint="eastAsia" w:ascii="宋体" w:hAnsi="宋体" w:eastAsia="宋体" w:cs="宋体"/>
                <w:b/>
                <w:snapToGrid w:val="0"/>
                <w:color w:val="auto"/>
                <w:kern w:val="2"/>
                <w:sz w:val="21"/>
                <w:szCs w:val="21"/>
                <w:highlight w:val="none"/>
                <w:lang w:eastAsia="zh-CN"/>
              </w:rPr>
              <w:t>注：未按分册装订要求、不采用胶装的投标文件将视作未按招标文件规定的格式编制。</w:t>
            </w:r>
          </w:p>
        </w:tc>
      </w:tr>
      <w:tr w14:paraId="1F96E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14:paraId="25A7239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3.4.4</w:t>
            </w:r>
          </w:p>
        </w:tc>
        <w:tc>
          <w:tcPr>
            <w:tcW w:w="1911" w:type="dxa"/>
            <w:noWrap w:val="0"/>
            <w:vAlign w:val="center"/>
          </w:tcPr>
          <w:p w14:paraId="43996271">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lang w:eastAsia="zh-CN"/>
              </w:rPr>
              <w:t>投标文件签署、盖章要求</w:t>
            </w:r>
          </w:p>
        </w:tc>
        <w:tc>
          <w:tcPr>
            <w:tcW w:w="6255" w:type="dxa"/>
            <w:noWrap w:val="0"/>
            <w:vAlign w:val="center"/>
          </w:tcPr>
          <w:p w14:paraId="2644A0EC">
            <w:pPr>
              <w:pStyle w:val="43"/>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对投标文件签署、盖章的要求详见投标人须知3.4.4。</w:t>
            </w:r>
          </w:p>
          <w:p w14:paraId="572E65A2">
            <w:pPr>
              <w:pStyle w:val="43"/>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注：若投标人为联合体的，签署（签字）、盖章的主体为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color w:val="auto"/>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14:paraId="70ACD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643317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4.1.1</w:t>
            </w:r>
          </w:p>
        </w:tc>
        <w:tc>
          <w:tcPr>
            <w:tcW w:w="1911" w:type="dxa"/>
            <w:noWrap w:val="0"/>
            <w:vAlign w:val="center"/>
          </w:tcPr>
          <w:p w14:paraId="5C303DF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踏勘现场</w:t>
            </w:r>
          </w:p>
        </w:tc>
        <w:tc>
          <w:tcPr>
            <w:tcW w:w="6255" w:type="dxa"/>
            <w:noWrap w:val="0"/>
            <w:vAlign w:val="center"/>
          </w:tcPr>
          <w:p w14:paraId="59994F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本项目是否组织踏勘现场：</w:t>
            </w:r>
          </w:p>
          <w:p w14:paraId="27875B2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☑不组织。投标人经招标人同意后可自行前往对项目现场和周围环境进行踏勘和了解。</w:t>
            </w:r>
          </w:p>
        </w:tc>
      </w:tr>
      <w:tr w14:paraId="49FC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7392E5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4.2.1</w:t>
            </w:r>
          </w:p>
        </w:tc>
        <w:tc>
          <w:tcPr>
            <w:tcW w:w="1911" w:type="dxa"/>
            <w:noWrap w:val="0"/>
            <w:vAlign w:val="center"/>
          </w:tcPr>
          <w:p w14:paraId="7B21AD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投标预备会</w:t>
            </w:r>
          </w:p>
        </w:tc>
        <w:tc>
          <w:tcPr>
            <w:tcW w:w="6255" w:type="dxa"/>
            <w:noWrap w:val="0"/>
            <w:vAlign w:val="center"/>
          </w:tcPr>
          <w:p w14:paraId="6C021759">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本项目是否召开投标预备会：</w:t>
            </w:r>
          </w:p>
          <w:p w14:paraId="666D3D2B">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auto"/>
                <w:kern w:val="0"/>
                <w:sz w:val="21"/>
                <w:szCs w:val="21"/>
                <w:highlight w:val="none"/>
                <w:u w:val="single"/>
              </w:rPr>
            </w:pPr>
            <w:r>
              <w:rPr>
                <w:rFonts w:hint="eastAsia" w:ascii="宋体" w:hAnsi="宋体" w:eastAsia="宋体" w:cs="宋体"/>
                <w:color w:val="auto"/>
                <w:kern w:val="0"/>
                <w:sz w:val="21"/>
                <w:szCs w:val="21"/>
                <w:highlight w:val="none"/>
                <w:lang w:bidi="ar"/>
              </w:rPr>
              <w:sym w:font="Wingdings" w:char="00FE"/>
            </w:r>
            <w:r>
              <w:rPr>
                <w:rFonts w:hint="eastAsia" w:ascii="宋体" w:hAnsi="宋体" w:eastAsia="宋体" w:cs="宋体"/>
                <w:color w:val="auto"/>
                <w:kern w:val="0"/>
                <w:sz w:val="21"/>
                <w:szCs w:val="21"/>
                <w:highlight w:val="none"/>
                <w:lang w:bidi="ar"/>
              </w:rPr>
              <w:t>不召开</w:t>
            </w:r>
          </w:p>
        </w:tc>
      </w:tr>
      <w:tr w14:paraId="3D075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7E8636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4.3.1</w:t>
            </w:r>
          </w:p>
          <w:p w14:paraId="35D917F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4.3.2</w:t>
            </w:r>
          </w:p>
        </w:tc>
        <w:tc>
          <w:tcPr>
            <w:tcW w:w="1911" w:type="dxa"/>
            <w:noWrap w:val="0"/>
            <w:vAlign w:val="center"/>
          </w:tcPr>
          <w:p w14:paraId="39DAD99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投标保证金</w:t>
            </w:r>
          </w:p>
        </w:tc>
        <w:tc>
          <w:tcPr>
            <w:tcW w:w="6255" w:type="dxa"/>
            <w:noWrap w:val="0"/>
            <w:vAlign w:val="center"/>
          </w:tcPr>
          <w:p w14:paraId="3FC8B239">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color w:val="auto"/>
                <w:kern w:val="0"/>
                <w:sz w:val="21"/>
                <w:szCs w:val="21"/>
                <w:highlight w:val="none"/>
              </w:rPr>
            </w:pPr>
            <w:r>
              <w:rPr>
                <w:rFonts w:hint="eastAsia" w:ascii="宋体" w:hAnsi="宋体" w:eastAsia="宋体" w:cs="宋体"/>
                <w:b/>
                <w:bCs/>
                <w:color w:val="auto"/>
                <w:sz w:val="21"/>
                <w:szCs w:val="21"/>
                <w:highlight w:val="none"/>
                <w:lang w:val="zh-CN"/>
              </w:rPr>
              <w:t>本项目需要缴纳投标保证金。</w:t>
            </w:r>
            <w:r>
              <w:rPr>
                <w:rFonts w:hint="eastAsia" w:ascii="宋体" w:hAnsi="宋体" w:eastAsia="宋体" w:cs="宋体"/>
                <w:color w:val="auto"/>
                <w:sz w:val="21"/>
                <w:szCs w:val="21"/>
                <w:highlight w:val="none"/>
                <w:lang w:val="zh-CN"/>
              </w:rPr>
              <w:t>具体要求见招标公告。</w:t>
            </w:r>
          </w:p>
        </w:tc>
      </w:tr>
      <w:tr w14:paraId="7597E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76FB3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4.4.1</w:t>
            </w:r>
          </w:p>
        </w:tc>
        <w:tc>
          <w:tcPr>
            <w:tcW w:w="1911" w:type="dxa"/>
            <w:noWrap w:val="0"/>
            <w:vAlign w:val="center"/>
          </w:tcPr>
          <w:p w14:paraId="35C5F96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投标样品</w:t>
            </w:r>
          </w:p>
        </w:tc>
        <w:tc>
          <w:tcPr>
            <w:tcW w:w="6255" w:type="dxa"/>
            <w:noWrap w:val="0"/>
            <w:vAlign w:val="center"/>
          </w:tcPr>
          <w:p w14:paraId="6480E258">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本项目有无要求投标人提供样品：</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无 </w:t>
            </w:r>
            <w:r>
              <w:rPr>
                <w:rFonts w:hint="eastAsia" w:ascii="宋体" w:hAnsi="宋体" w:eastAsia="宋体" w:cs="宋体"/>
                <w:color w:val="auto"/>
                <w:sz w:val="21"/>
                <w:szCs w:val="21"/>
                <w:highlight w:val="none"/>
                <w:lang w:eastAsia="zh-CN"/>
              </w:rPr>
              <w:t xml:space="preserve"> </w:t>
            </w:r>
          </w:p>
        </w:tc>
      </w:tr>
      <w:tr w14:paraId="58BC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215610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4.5.1</w:t>
            </w:r>
          </w:p>
        </w:tc>
        <w:tc>
          <w:tcPr>
            <w:tcW w:w="1911" w:type="dxa"/>
            <w:noWrap w:val="0"/>
            <w:vAlign w:val="center"/>
          </w:tcPr>
          <w:p w14:paraId="23F84AA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投标文件密封包装要求</w:t>
            </w:r>
          </w:p>
        </w:tc>
        <w:tc>
          <w:tcPr>
            <w:tcW w:w="6255" w:type="dxa"/>
            <w:noWrap w:val="0"/>
            <w:vAlign w:val="center"/>
          </w:tcPr>
          <w:p w14:paraId="04BFD046">
            <w:pPr>
              <w:pStyle w:val="23"/>
              <w:spacing w:before="0" w:beforeAutospacing="0" w:after="0" w:line="400" w:lineRule="exact"/>
              <w:ind w:left="0" w:right="0" w:firstLine="0" w:firstLineChars="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shd w:val="clear" w:color="auto" w:fill="auto"/>
                <w:lang w:eastAsia="zh-CN"/>
              </w:rPr>
              <w:t>对投标文件密封包装的要求详见投标人须知</w:t>
            </w:r>
            <w:r>
              <w:rPr>
                <w:rFonts w:hint="eastAsia" w:ascii="宋体" w:hAnsi="宋体" w:eastAsia="宋体" w:cs="宋体"/>
                <w:snapToGrid w:val="0"/>
                <w:color w:val="auto"/>
                <w:sz w:val="21"/>
                <w:szCs w:val="21"/>
                <w:highlight w:val="none"/>
                <w:shd w:val="clear" w:color="auto" w:fill="auto"/>
                <w:lang w:val="en-US" w:eastAsia="zh-CN"/>
              </w:rPr>
              <w:t>第4.7.1。</w:t>
            </w:r>
          </w:p>
          <w:p w14:paraId="1E21A9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eastAsia="zh-CN"/>
              </w:rPr>
              <w:t>注：若投标人为联合体的，签署（</w:t>
            </w:r>
            <w:r>
              <w:rPr>
                <w:rFonts w:hint="eastAsia" w:ascii="宋体" w:hAnsi="宋体" w:eastAsia="宋体" w:cs="宋体"/>
                <w:b/>
                <w:bCs/>
                <w:snapToGrid w:val="0"/>
                <w:color w:val="auto"/>
                <w:kern w:val="0"/>
                <w:sz w:val="21"/>
                <w:szCs w:val="21"/>
                <w:highlight w:val="none"/>
              </w:rPr>
              <w:t>签字</w:t>
            </w:r>
            <w:r>
              <w:rPr>
                <w:rFonts w:hint="eastAsia" w:ascii="宋体" w:hAnsi="宋体" w:eastAsia="宋体" w:cs="宋体"/>
                <w:b/>
                <w:bCs/>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lang w:eastAsia="zh-CN"/>
              </w:rPr>
              <w:t>盖章的主体为</w:t>
            </w:r>
            <w:r>
              <w:rPr>
                <w:rFonts w:hint="eastAsia" w:ascii="宋体" w:hAnsi="宋体" w:eastAsia="宋体" w:cs="宋体"/>
                <w:b/>
                <w:bCs/>
                <w:snapToGrid w:val="0"/>
                <w:color w:val="auto"/>
                <w:kern w:val="0"/>
                <w:sz w:val="21"/>
                <w:szCs w:val="21"/>
                <w:highlight w:val="none"/>
                <w:u w:val="none"/>
              </w:rPr>
              <w:t>联合体</w:t>
            </w:r>
            <w:r>
              <w:rPr>
                <w:rFonts w:hint="eastAsia" w:ascii="宋体" w:hAnsi="宋体" w:eastAsia="宋体" w:cs="宋体"/>
                <w:color w:val="auto"/>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rPr>
              <w:t>成员各方</w:t>
            </w:r>
            <w:r>
              <w:rPr>
                <w:rFonts w:hint="eastAsia" w:ascii="宋体" w:hAnsi="宋体" w:eastAsia="宋体" w:cs="宋体"/>
                <w:b/>
                <w:bCs/>
                <w:snapToGrid w:val="0"/>
                <w:color w:val="auto"/>
                <w:kern w:val="0"/>
                <w:sz w:val="21"/>
                <w:szCs w:val="21"/>
                <w:highlight w:val="none"/>
                <w:u w:val="none"/>
                <w:lang w:val="en-US" w:eastAsia="zh-CN"/>
              </w:rPr>
              <w:t xml:space="preserve"> </w:t>
            </w:r>
            <w:r>
              <w:rPr>
                <w:rFonts w:hint="eastAsia" w:ascii="宋体" w:hAnsi="宋体" w:eastAsia="宋体" w:cs="宋体"/>
                <w:b/>
                <w:bCs/>
                <w:snapToGrid w:val="0"/>
                <w:color w:val="auto"/>
                <w:kern w:val="0"/>
                <w:sz w:val="21"/>
                <w:szCs w:val="21"/>
                <w:highlight w:val="none"/>
                <w:u w:val="none"/>
              </w:rPr>
              <w:t>/</w:t>
            </w:r>
            <w:r>
              <w:rPr>
                <w:rFonts w:hint="eastAsia" w:ascii="宋体" w:hAnsi="宋体" w:eastAsia="宋体" w:cs="宋体"/>
                <w:b/>
                <w:bCs/>
                <w:snapToGrid w:val="0"/>
                <w:color w:val="auto"/>
                <w:kern w:val="0"/>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rPr>
              <w:t>牵头人</w:t>
            </w:r>
            <w:r>
              <w:rPr>
                <w:rFonts w:hint="eastAsia" w:ascii="宋体" w:hAnsi="宋体" w:eastAsia="宋体" w:cs="宋体"/>
                <w:b/>
                <w:bCs/>
                <w:snapToGrid w:val="0"/>
                <w:color w:val="auto"/>
                <w:kern w:val="0"/>
                <w:sz w:val="21"/>
                <w:szCs w:val="21"/>
                <w:highlight w:val="none"/>
                <w:u w:val="single"/>
                <w:lang w:eastAsia="zh-CN"/>
              </w:rPr>
              <w:t>。</w:t>
            </w:r>
          </w:p>
        </w:tc>
      </w:tr>
      <w:tr w14:paraId="5301F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72822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4.5.2</w:t>
            </w:r>
          </w:p>
        </w:tc>
        <w:tc>
          <w:tcPr>
            <w:tcW w:w="1911" w:type="dxa"/>
            <w:noWrap w:val="0"/>
            <w:vAlign w:val="center"/>
          </w:tcPr>
          <w:p w14:paraId="6757306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封套上写明</w:t>
            </w:r>
          </w:p>
        </w:tc>
        <w:tc>
          <w:tcPr>
            <w:tcW w:w="6255" w:type="dxa"/>
            <w:noWrap w:val="0"/>
            <w:vAlign w:val="center"/>
          </w:tcPr>
          <w:p w14:paraId="3ED2C015">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bookmarkStart w:id="4" w:name="OLE_LINK1"/>
            <w:r>
              <w:rPr>
                <w:rFonts w:hint="eastAsia" w:ascii="宋体" w:hAnsi="宋体" w:eastAsia="宋体" w:cs="宋体"/>
                <w:snapToGrid w:val="0"/>
                <w:color w:val="auto"/>
                <w:kern w:val="0"/>
                <w:sz w:val="21"/>
                <w:szCs w:val="21"/>
                <w:highlight w:val="none"/>
                <w:u w:val="single"/>
              </w:rPr>
              <w:t xml:space="preserve">         （项目名称）         </w:t>
            </w:r>
            <w:r>
              <w:rPr>
                <w:rFonts w:hint="eastAsia" w:ascii="宋体" w:hAnsi="宋体" w:eastAsia="宋体" w:cs="宋体"/>
                <w:snapToGrid w:val="0"/>
                <w:color w:val="auto"/>
                <w:kern w:val="0"/>
                <w:sz w:val="21"/>
                <w:szCs w:val="21"/>
                <w:highlight w:val="none"/>
              </w:rPr>
              <w:t>投标文件</w:t>
            </w:r>
          </w:p>
          <w:p w14:paraId="4D29DC9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在</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日</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时</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分（即开标时间）前不得开启。</w:t>
            </w:r>
          </w:p>
          <w:p w14:paraId="18275C2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u w:val="single"/>
              </w:rPr>
            </w:pPr>
            <w:r>
              <w:rPr>
                <w:rFonts w:hint="eastAsia" w:ascii="宋体" w:hAnsi="宋体" w:eastAsia="宋体" w:cs="宋体"/>
                <w:snapToGrid w:val="0"/>
                <w:color w:val="auto"/>
                <w:kern w:val="0"/>
                <w:sz w:val="21"/>
                <w:szCs w:val="21"/>
                <w:highlight w:val="none"/>
              </w:rPr>
              <w:t>投标人名称：</w:t>
            </w:r>
            <w:r>
              <w:rPr>
                <w:rFonts w:hint="eastAsia" w:ascii="宋体" w:hAnsi="宋体" w:eastAsia="宋体" w:cs="宋体"/>
                <w:snapToGrid w:val="0"/>
                <w:color w:val="auto"/>
                <w:kern w:val="0"/>
                <w:sz w:val="21"/>
                <w:szCs w:val="21"/>
                <w:highlight w:val="none"/>
                <w:u w:val="single"/>
              </w:rPr>
              <w:t xml:space="preserve">                       </w:t>
            </w:r>
          </w:p>
          <w:p w14:paraId="5CD81E3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投标人地址：</w:t>
            </w:r>
            <w:r>
              <w:rPr>
                <w:rFonts w:hint="eastAsia" w:ascii="宋体" w:hAnsi="宋体" w:eastAsia="宋体" w:cs="宋体"/>
                <w:snapToGrid w:val="0"/>
                <w:color w:val="auto"/>
                <w:kern w:val="0"/>
                <w:sz w:val="21"/>
                <w:szCs w:val="21"/>
                <w:highlight w:val="none"/>
                <w:u w:val="single"/>
              </w:rPr>
              <w:t xml:space="preserve">                         </w:t>
            </w:r>
          </w:p>
          <w:p w14:paraId="5BBFC75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 系 人：</w:t>
            </w:r>
            <w:r>
              <w:rPr>
                <w:rFonts w:hint="eastAsia" w:ascii="宋体" w:hAnsi="宋体" w:eastAsia="宋体" w:cs="宋体"/>
                <w:snapToGrid w:val="0"/>
                <w:color w:val="auto"/>
                <w:kern w:val="0"/>
                <w:sz w:val="21"/>
                <w:szCs w:val="21"/>
                <w:highlight w:val="none"/>
                <w:u w:val="single"/>
              </w:rPr>
              <w:t xml:space="preserve">          </w:t>
            </w:r>
          </w:p>
          <w:p w14:paraId="0AF0B78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u w:val="single"/>
              </w:rPr>
            </w:pPr>
            <w:r>
              <w:rPr>
                <w:rFonts w:hint="eastAsia" w:ascii="宋体" w:hAnsi="宋体" w:eastAsia="宋体" w:cs="宋体"/>
                <w:snapToGrid w:val="0"/>
                <w:color w:val="auto"/>
                <w:kern w:val="0"/>
                <w:sz w:val="21"/>
                <w:szCs w:val="21"/>
                <w:highlight w:val="none"/>
              </w:rPr>
              <w:t>手机号码：</w:t>
            </w:r>
            <w:r>
              <w:rPr>
                <w:rFonts w:hint="eastAsia" w:ascii="宋体" w:hAnsi="宋体" w:eastAsia="宋体" w:cs="宋体"/>
                <w:snapToGrid w:val="0"/>
                <w:color w:val="auto"/>
                <w:kern w:val="0"/>
                <w:sz w:val="21"/>
                <w:szCs w:val="21"/>
                <w:highlight w:val="none"/>
                <w:u w:val="single"/>
              </w:rPr>
              <w:t xml:space="preserve">          </w:t>
            </w:r>
          </w:p>
          <w:p w14:paraId="5FF4D14E">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电子邮箱：</w:t>
            </w:r>
            <w:r>
              <w:rPr>
                <w:rFonts w:hint="eastAsia" w:ascii="宋体" w:hAnsi="宋体" w:eastAsia="宋体" w:cs="宋体"/>
                <w:snapToGrid w:val="0"/>
                <w:color w:val="auto"/>
                <w:kern w:val="0"/>
                <w:sz w:val="21"/>
                <w:szCs w:val="21"/>
                <w:highlight w:val="none"/>
                <w:u w:val="single"/>
              </w:rPr>
              <w:t xml:space="preserve">          </w:t>
            </w:r>
            <w:bookmarkEnd w:id="4"/>
          </w:p>
        </w:tc>
      </w:tr>
      <w:tr w14:paraId="036A8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0C8ED7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4.7.</w:t>
            </w:r>
            <w:r>
              <w:rPr>
                <w:rFonts w:hint="eastAsia" w:ascii="宋体" w:hAnsi="宋体" w:eastAsia="宋体" w:cs="宋体"/>
                <w:snapToGrid w:val="0"/>
                <w:color w:val="auto"/>
                <w:kern w:val="0"/>
                <w:sz w:val="21"/>
                <w:szCs w:val="21"/>
                <w:highlight w:val="none"/>
                <w:lang w:val="en-US"/>
              </w:rPr>
              <w:t>1</w:t>
            </w:r>
          </w:p>
        </w:tc>
        <w:tc>
          <w:tcPr>
            <w:tcW w:w="1911" w:type="dxa"/>
            <w:noWrap w:val="0"/>
            <w:vAlign w:val="center"/>
          </w:tcPr>
          <w:p w14:paraId="00F6A63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投标</w:t>
            </w:r>
            <w:r>
              <w:rPr>
                <w:rFonts w:hint="eastAsia" w:ascii="宋体" w:hAnsi="宋体" w:eastAsia="宋体" w:cs="宋体"/>
                <w:snapToGrid w:val="0"/>
                <w:color w:val="auto"/>
                <w:kern w:val="0"/>
                <w:sz w:val="21"/>
                <w:szCs w:val="21"/>
                <w:highlight w:val="none"/>
                <w:lang w:val="en-US" w:eastAsia="zh-CN"/>
              </w:rPr>
              <w:t>文件递交</w:t>
            </w:r>
          </w:p>
        </w:tc>
        <w:tc>
          <w:tcPr>
            <w:tcW w:w="6255" w:type="dxa"/>
            <w:noWrap w:val="0"/>
            <w:vAlign w:val="center"/>
          </w:tcPr>
          <w:p w14:paraId="2EA49279">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文件递交地点：见招标公告。</w:t>
            </w:r>
          </w:p>
          <w:p w14:paraId="2D360DCF">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文件递交方式：采用以下第</w:t>
            </w:r>
            <w:r>
              <w:rPr>
                <w:rFonts w:hint="eastAsia" w:ascii="宋体" w:hAnsi="宋体" w:eastAsia="宋体" w:cs="宋体"/>
                <w:snapToGrid w:val="0"/>
                <w:color w:val="auto"/>
                <w:kern w:val="0"/>
                <w:sz w:val="21"/>
                <w:szCs w:val="21"/>
                <w:highlight w:val="none"/>
                <w:u w:val="single"/>
                <w:lang w:val="en-US" w:eastAsia="zh-CN" w:bidi="ar-SA"/>
              </w:rPr>
              <w:t xml:space="preserve">  </w:t>
            </w:r>
            <w:r>
              <w:rPr>
                <w:rFonts w:hint="eastAsia" w:ascii="宋体" w:hAnsi="宋体" w:eastAsia="宋体" w:cs="宋体"/>
                <w:snapToGrid w:val="0"/>
                <w:color w:val="auto"/>
                <w:kern w:val="0"/>
                <w:sz w:val="21"/>
                <w:szCs w:val="21"/>
                <w:highlight w:val="none"/>
                <w:u w:val="single"/>
                <w:lang w:val="en-US" w:eastAsia="zh-CN" w:bidi="ar-SA"/>
              </w:rPr>
              <w:fldChar w:fldCharType="begin"/>
            </w:r>
            <w:r>
              <w:rPr>
                <w:rFonts w:hint="eastAsia" w:ascii="宋体" w:hAnsi="宋体" w:eastAsia="宋体" w:cs="宋体"/>
                <w:snapToGrid w:val="0"/>
                <w:color w:val="auto"/>
                <w:kern w:val="0"/>
                <w:sz w:val="21"/>
                <w:szCs w:val="21"/>
                <w:highlight w:val="none"/>
                <w:u w:val="single"/>
                <w:lang w:val="en-US" w:eastAsia="zh-CN" w:bidi="ar-SA"/>
              </w:rPr>
              <w:instrText xml:space="preserve"> = 1 \* GB3 \* MERGEFORMAT </w:instrText>
            </w:r>
            <w:r>
              <w:rPr>
                <w:rFonts w:hint="eastAsia" w:ascii="宋体" w:hAnsi="宋体" w:eastAsia="宋体" w:cs="宋体"/>
                <w:snapToGrid w:val="0"/>
                <w:color w:val="auto"/>
                <w:kern w:val="0"/>
                <w:sz w:val="21"/>
                <w:szCs w:val="21"/>
                <w:highlight w:val="none"/>
                <w:u w:val="single"/>
                <w:lang w:val="en-US" w:eastAsia="zh-CN" w:bidi="ar-SA"/>
              </w:rPr>
              <w:fldChar w:fldCharType="separate"/>
            </w:r>
            <w:r>
              <w:rPr>
                <w:rFonts w:hint="eastAsia" w:ascii="宋体" w:hAnsi="宋体" w:eastAsia="宋体" w:cs="宋体"/>
                <w:snapToGrid w:val="0"/>
                <w:color w:val="auto"/>
                <w:kern w:val="0"/>
                <w:sz w:val="21"/>
                <w:szCs w:val="21"/>
                <w:highlight w:val="none"/>
                <w:u w:val="single"/>
                <w:lang w:val="en-US" w:eastAsia="zh-CN" w:bidi="ar-SA"/>
              </w:rPr>
              <w:t>①</w:t>
            </w:r>
            <w:r>
              <w:rPr>
                <w:rFonts w:hint="eastAsia" w:ascii="宋体" w:hAnsi="宋体" w:eastAsia="宋体" w:cs="宋体"/>
                <w:snapToGrid w:val="0"/>
                <w:color w:val="auto"/>
                <w:kern w:val="0"/>
                <w:sz w:val="21"/>
                <w:szCs w:val="21"/>
                <w:highlight w:val="none"/>
                <w:u w:val="single"/>
                <w:lang w:val="en-US" w:eastAsia="zh-CN" w:bidi="ar-SA"/>
              </w:rPr>
              <w:fldChar w:fldCharType="end"/>
            </w:r>
            <w:r>
              <w:rPr>
                <w:rFonts w:hint="eastAsia" w:ascii="宋体" w:hAnsi="宋体" w:eastAsia="宋体" w:cs="宋体"/>
                <w:snapToGrid w:val="0"/>
                <w:color w:val="auto"/>
                <w:kern w:val="0"/>
                <w:sz w:val="21"/>
                <w:szCs w:val="21"/>
                <w:highlight w:val="none"/>
                <w:u w:val="single"/>
                <w:lang w:val="en-US" w:eastAsia="zh-CN" w:bidi="ar-SA"/>
              </w:rPr>
              <w:t xml:space="preserve">  </w:t>
            </w:r>
            <w:r>
              <w:rPr>
                <w:rFonts w:hint="eastAsia" w:ascii="宋体" w:hAnsi="宋体" w:eastAsia="宋体" w:cs="宋体"/>
                <w:snapToGrid w:val="0"/>
                <w:color w:val="auto"/>
                <w:kern w:val="0"/>
                <w:sz w:val="21"/>
                <w:szCs w:val="21"/>
                <w:highlight w:val="none"/>
                <w:lang w:val="en-US" w:eastAsia="zh-CN" w:bidi="ar-SA"/>
              </w:rPr>
              <w:t>种方式。</w:t>
            </w:r>
          </w:p>
          <w:p w14:paraId="51670D07">
            <w:pPr>
              <w:keepNext w:val="0"/>
              <w:keepLines w:val="0"/>
              <w:suppressLineNumbers w:val="0"/>
              <w:wordWrap w:val="0"/>
              <w:spacing w:before="0" w:beforeAutospacing="0" w:after="0" w:afterAutospacing="0" w:line="400" w:lineRule="exact"/>
              <w:ind w:left="0" w:right="0"/>
              <w:rPr>
                <w:rFonts w:hint="eastAsia" w:ascii="宋体" w:hAnsi="宋体" w:eastAsia="宋体" w:cs="宋体"/>
                <w:b/>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fldChar w:fldCharType="begin"/>
            </w:r>
            <w:r>
              <w:rPr>
                <w:rFonts w:hint="eastAsia" w:ascii="宋体" w:hAnsi="宋体" w:eastAsia="宋体" w:cs="宋体"/>
                <w:snapToGrid w:val="0"/>
                <w:color w:val="auto"/>
                <w:kern w:val="0"/>
                <w:sz w:val="21"/>
                <w:szCs w:val="21"/>
                <w:highlight w:val="none"/>
                <w:lang w:val="en-US" w:eastAsia="zh-CN" w:bidi="ar-SA"/>
              </w:rPr>
              <w:instrText xml:space="preserve"> = 1 \* GB3 \* MERGEFORMAT </w:instrText>
            </w:r>
            <w:r>
              <w:rPr>
                <w:rFonts w:hint="eastAsia" w:ascii="宋体" w:hAnsi="宋体" w:eastAsia="宋体" w:cs="宋体"/>
                <w:snapToGrid w:val="0"/>
                <w:color w:val="auto"/>
                <w:kern w:val="0"/>
                <w:sz w:val="21"/>
                <w:szCs w:val="21"/>
                <w:highlight w:val="none"/>
                <w:lang w:val="en-US" w:eastAsia="zh-CN" w:bidi="ar-SA"/>
              </w:rPr>
              <w:fldChar w:fldCharType="separate"/>
            </w:r>
            <w:r>
              <w:rPr>
                <w:rFonts w:hint="eastAsia" w:ascii="宋体" w:hAnsi="宋体" w:eastAsia="宋体" w:cs="宋体"/>
                <w:snapToGrid w:val="0"/>
                <w:color w:val="auto"/>
                <w:kern w:val="0"/>
                <w:sz w:val="21"/>
                <w:szCs w:val="21"/>
                <w:highlight w:val="none"/>
                <w:lang w:val="en-US" w:eastAsia="zh-CN" w:bidi="ar-SA"/>
              </w:rPr>
              <w:t>①</w:t>
            </w:r>
            <w:r>
              <w:rPr>
                <w:rFonts w:hint="eastAsia" w:ascii="宋体" w:hAnsi="宋体" w:eastAsia="宋体" w:cs="宋体"/>
                <w:snapToGrid w:val="0"/>
                <w:color w:val="auto"/>
                <w:kern w:val="0"/>
                <w:sz w:val="21"/>
                <w:szCs w:val="21"/>
                <w:highlight w:val="none"/>
                <w:lang w:val="en-US" w:eastAsia="zh-CN" w:bidi="ar-SA"/>
              </w:rPr>
              <w:fldChar w:fldCharType="end"/>
            </w:r>
            <w:r>
              <w:rPr>
                <w:rFonts w:hint="eastAsia" w:ascii="宋体" w:hAnsi="宋体" w:eastAsia="宋体" w:cs="宋体"/>
                <w:snapToGrid w:val="0"/>
                <w:color w:val="auto"/>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1"/>
                <w:szCs w:val="21"/>
                <w:highlight w:val="none"/>
                <w:u w:val="single"/>
                <w:lang w:val="en-US" w:eastAsia="zh-CN" w:bidi="ar-SA"/>
              </w:rPr>
              <w:t xml:space="preserve">  见招标公告      </w:t>
            </w:r>
            <w:r>
              <w:rPr>
                <w:rFonts w:hint="eastAsia" w:ascii="宋体" w:hAnsi="宋体" w:eastAsia="宋体" w:cs="宋体"/>
                <w:snapToGrid w:val="0"/>
                <w:color w:val="auto"/>
                <w:kern w:val="0"/>
                <w:sz w:val="21"/>
                <w:szCs w:val="21"/>
                <w:highlight w:val="none"/>
                <w:lang w:val="en-US" w:eastAsia="zh-CN" w:bidi="ar-SA"/>
              </w:rPr>
              <w:t>。</w:t>
            </w:r>
          </w:p>
        </w:tc>
      </w:tr>
      <w:tr w14:paraId="76BDA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825109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4.7.4</w:t>
            </w:r>
          </w:p>
        </w:tc>
        <w:tc>
          <w:tcPr>
            <w:tcW w:w="1911" w:type="dxa"/>
            <w:noWrap w:val="0"/>
            <w:vAlign w:val="center"/>
          </w:tcPr>
          <w:p w14:paraId="0720345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投标截止时间</w:t>
            </w:r>
          </w:p>
        </w:tc>
        <w:tc>
          <w:tcPr>
            <w:tcW w:w="6255" w:type="dxa"/>
            <w:noWrap w:val="0"/>
            <w:vAlign w:val="center"/>
          </w:tcPr>
          <w:p w14:paraId="7DC8901B">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rPr>
                <w:rFonts w:hint="eastAsia" w:ascii="宋体" w:hAnsi="宋体" w:eastAsia="宋体" w:cs="宋体"/>
                <w:b/>
                <w:color w:val="auto"/>
                <w:sz w:val="21"/>
                <w:szCs w:val="21"/>
                <w:highlight w:val="none"/>
              </w:rPr>
            </w:pPr>
            <w:r>
              <w:rPr>
                <w:rFonts w:hint="eastAsia" w:ascii="宋体" w:hAnsi="宋体" w:eastAsia="宋体" w:cs="宋体"/>
                <w:snapToGrid w:val="0"/>
                <w:color w:val="auto"/>
                <w:kern w:val="0"/>
                <w:sz w:val="21"/>
                <w:szCs w:val="21"/>
                <w:highlight w:val="none"/>
              </w:rPr>
              <w:t>详见招标公告</w:t>
            </w:r>
          </w:p>
        </w:tc>
      </w:tr>
      <w:tr w14:paraId="3268D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0424C1A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4.8.1</w:t>
            </w:r>
          </w:p>
        </w:tc>
        <w:tc>
          <w:tcPr>
            <w:tcW w:w="1911" w:type="dxa"/>
            <w:noWrap w:val="0"/>
            <w:vAlign w:val="center"/>
          </w:tcPr>
          <w:p w14:paraId="5B72D6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投标有效期</w:t>
            </w:r>
          </w:p>
        </w:tc>
        <w:tc>
          <w:tcPr>
            <w:tcW w:w="6255" w:type="dxa"/>
            <w:noWrap w:val="0"/>
            <w:vAlign w:val="center"/>
          </w:tcPr>
          <w:p w14:paraId="16368A6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u w:val="single"/>
              </w:rPr>
              <w:t>90</w:t>
            </w:r>
            <w:r>
              <w:rPr>
                <w:rFonts w:hint="eastAsia" w:ascii="宋体" w:hAnsi="宋体" w:eastAsia="宋体" w:cs="宋体"/>
                <w:snapToGrid w:val="0"/>
                <w:color w:val="auto"/>
                <w:kern w:val="0"/>
                <w:sz w:val="21"/>
                <w:szCs w:val="21"/>
                <w:highlight w:val="none"/>
              </w:rPr>
              <w:t>日历天（从投标截止之日算起）</w:t>
            </w:r>
          </w:p>
        </w:tc>
      </w:tr>
      <w:tr w14:paraId="1B0A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642B0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5.1.1</w:t>
            </w:r>
          </w:p>
        </w:tc>
        <w:tc>
          <w:tcPr>
            <w:tcW w:w="1911" w:type="dxa"/>
            <w:noWrap w:val="0"/>
            <w:vAlign w:val="center"/>
          </w:tcPr>
          <w:p w14:paraId="5581FAA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开标时间和地点</w:t>
            </w:r>
          </w:p>
        </w:tc>
        <w:tc>
          <w:tcPr>
            <w:tcW w:w="6255" w:type="dxa"/>
            <w:noWrap w:val="0"/>
            <w:vAlign w:val="center"/>
          </w:tcPr>
          <w:p w14:paraId="4EE1D15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开标时间：同投标截止时间。</w:t>
            </w:r>
          </w:p>
          <w:p w14:paraId="41820EF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开标地点：同投标文件递交地点。</w:t>
            </w:r>
          </w:p>
        </w:tc>
      </w:tr>
      <w:tr w14:paraId="0504A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ABC4C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5.2.1</w:t>
            </w:r>
          </w:p>
        </w:tc>
        <w:tc>
          <w:tcPr>
            <w:tcW w:w="1911" w:type="dxa"/>
            <w:noWrap w:val="0"/>
            <w:vAlign w:val="center"/>
          </w:tcPr>
          <w:p w14:paraId="5DCCA9E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开标时</w:t>
            </w:r>
          </w:p>
          <w:p w14:paraId="5D0742A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应携带的资料</w:t>
            </w:r>
          </w:p>
        </w:tc>
        <w:tc>
          <w:tcPr>
            <w:tcW w:w="6255" w:type="dxa"/>
            <w:noWrap w:val="0"/>
            <w:vAlign w:val="center"/>
          </w:tcPr>
          <w:p w14:paraId="7737ED7B">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参加开标的投标人法定代表人或其</w:t>
            </w:r>
            <w:r>
              <w:rPr>
                <w:rFonts w:hint="eastAsia" w:ascii="宋体" w:hAnsi="宋体" w:eastAsia="宋体" w:cs="宋体"/>
                <w:b/>
                <w:bCs/>
                <w:color w:val="auto"/>
                <w:sz w:val="21"/>
                <w:szCs w:val="21"/>
                <w:highlight w:val="none"/>
                <w:lang w:val="en-US"/>
              </w:rPr>
              <w:t>委托代理人</w:t>
            </w:r>
            <w:r>
              <w:rPr>
                <w:rFonts w:hint="eastAsia" w:ascii="宋体" w:hAnsi="宋体" w:eastAsia="宋体" w:cs="宋体"/>
                <w:b/>
                <w:bCs/>
                <w:color w:val="auto"/>
                <w:sz w:val="21"/>
                <w:szCs w:val="21"/>
                <w:highlight w:val="none"/>
              </w:rPr>
              <w:t>必须随带本人身份证（或驾驶证或公安机关出具的临时身份证明或港澳台胞证或护照）原件（其他诸如市民卡等无效）、法定代表人身份证明</w:t>
            </w:r>
            <w:r>
              <w:rPr>
                <w:rFonts w:hint="eastAsia" w:ascii="宋体" w:hAnsi="宋体" w:eastAsia="宋体" w:cs="宋体"/>
                <w:color w:val="auto"/>
                <w:sz w:val="21"/>
                <w:szCs w:val="21"/>
                <w:highlight w:val="none"/>
              </w:rPr>
              <w:t>（详见第五章“投标文件格式”，委托代理人还须提供授权委托书）原件，</w:t>
            </w:r>
          </w:p>
          <w:p w14:paraId="5AE8272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注：投标文件递交有效（</w:t>
            </w:r>
            <w:r>
              <w:rPr>
                <w:rFonts w:hint="eastAsia" w:ascii="宋体" w:hAnsi="宋体" w:eastAsia="宋体" w:cs="宋体"/>
                <w:color w:val="auto"/>
                <w:sz w:val="21"/>
                <w:szCs w:val="21"/>
                <w:highlight w:val="none"/>
              </w:rPr>
              <w:t>投标文件递交有效性以纸质投标文件递交时间为准，下同</w:t>
            </w:r>
            <w:r>
              <w:rPr>
                <w:rFonts w:hint="eastAsia" w:ascii="宋体" w:hAnsi="宋体" w:eastAsia="宋体" w:cs="宋体"/>
                <w:snapToGrid w:val="0"/>
                <w:color w:val="auto"/>
                <w:kern w:val="0"/>
                <w:sz w:val="21"/>
                <w:szCs w:val="21"/>
                <w:highlight w:val="none"/>
              </w:rPr>
              <w:t>），而</w:t>
            </w:r>
            <w:r>
              <w:rPr>
                <w:rFonts w:hint="eastAsia" w:ascii="宋体" w:hAnsi="宋体" w:eastAsia="宋体" w:cs="宋体"/>
                <w:color w:val="auto"/>
                <w:sz w:val="21"/>
                <w:szCs w:val="21"/>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1EB29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7723F4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5.3.1</w:t>
            </w:r>
          </w:p>
        </w:tc>
        <w:tc>
          <w:tcPr>
            <w:tcW w:w="1911" w:type="dxa"/>
            <w:noWrap w:val="0"/>
            <w:vAlign w:val="center"/>
          </w:tcPr>
          <w:p w14:paraId="10537CF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开标顺序</w:t>
            </w:r>
          </w:p>
        </w:tc>
        <w:tc>
          <w:tcPr>
            <w:tcW w:w="6255" w:type="dxa"/>
            <w:noWrap w:val="0"/>
            <w:vAlign w:val="center"/>
          </w:tcPr>
          <w:p w14:paraId="3762D7BB">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按照投标文件</w:t>
            </w:r>
            <w:r>
              <w:rPr>
                <w:rFonts w:hint="eastAsia" w:ascii="宋体" w:hAnsi="宋体" w:eastAsia="宋体" w:cs="宋体"/>
                <w:color w:val="auto"/>
                <w:kern w:val="0"/>
                <w:sz w:val="21"/>
                <w:szCs w:val="21"/>
                <w:highlight w:val="none"/>
                <w:lang w:eastAsia="zh-CN"/>
              </w:rPr>
              <w:t>后</w:t>
            </w:r>
            <w:r>
              <w:rPr>
                <w:rFonts w:hint="eastAsia" w:ascii="宋体" w:hAnsi="宋体" w:eastAsia="宋体" w:cs="宋体"/>
                <w:color w:val="auto"/>
                <w:kern w:val="0"/>
                <w:sz w:val="21"/>
                <w:szCs w:val="21"/>
                <w:highlight w:val="none"/>
              </w:rPr>
              <w:t>递交</w:t>
            </w:r>
            <w:r>
              <w:rPr>
                <w:rFonts w:hint="eastAsia" w:ascii="宋体" w:hAnsi="宋体" w:eastAsia="宋体" w:cs="宋体"/>
                <w:color w:val="auto"/>
                <w:kern w:val="0"/>
                <w:sz w:val="21"/>
                <w:szCs w:val="21"/>
                <w:highlight w:val="none"/>
                <w:lang w:eastAsia="zh-CN"/>
              </w:rPr>
              <w:t>先</w:t>
            </w:r>
            <w:r>
              <w:rPr>
                <w:rFonts w:hint="eastAsia" w:ascii="宋体" w:hAnsi="宋体" w:eastAsia="宋体" w:cs="宋体"/>
                <w:color w:val="auto"/>
                <w:kern w:val="0"/>
                <w:sz w:val="21"/>
                <w:szCs w:val="21"/>
                <w:highlight w:val="none"/>
              </w:rPr>
              <w:t>启封</w:t>
            </w:r>
            <w:r>
              <w:rPr>
                <w:rFonts w:hint="eastAsia" w:ascii="宋体" w:hAnsi="宋体" w:eastAsia="宋体" w:cs="宋体"/>
                <w:color w:val="auto"/>
                <w:kern w:val="0"/>
                <w:sz w:val="21"/>
                <w:szCs w:val="21"/>
                <w:highlight w:val="none"/>
                <w:lang w:val="en-US" w:eastAsia="zh-CN"/>
              </w:rPr>
              <w:t>的顺序确定</w:t>
            </w:r>
          </w:p>
        </w:tc>
      </w:tr>
      <w:tr w14:paraId="59256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396093F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5.5</w:t>
            </w:r>
          </w:p>
        </w:tc>
        <w:tc>
          <w:tcPr>
            <w:tcW w:w="1911" w:type="dxa"/>
            <w:noWrap w:val="0"/>
            <w:vAlign w:val="center"/>
          </w:tcPr>
          <w:p w14:paraId="34CDA29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14:paraId="582DC9E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拒收、退还</w:t>
            </w:r>
          </w:p>
        </w:tc>
        <w:tc>
          <w:tcPr>
            <w:tcW w:w="6255" w:type="dxa"/>
            <w:noWrap w:val="0"/>
            <w:vAlign w:val="center"/>
          </w:tcPr>
          <w:p w14:paraId="50CF6C26">
            <w:pPr>
              <w:pStyle w:val="8"/>
              <w:adjustRightInd w:val="0"/>
              <w:snapToGrid w:val="0"/>
              <w:spacing w:before="0" w:beforeAutospacing="0" w:after="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出现以下情形之一的，投标文件将被拒绝接收或予以退还：</w:t>
            </w:r>
          </w:p>
          <w:p w14:paraId="6B649E49">
            <w:pPr>
              <w:pStyle w:val="8"/>
              <w:adjustRightInd w:val="0"/>
              <w:snapToGrid w:val="0"/>
              <w:spacing w:before="0" w:beforeAutospacing="0" w:after="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投标文件逾期送达</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zh-CN"/>
              </w:rPr>
              <w:t>未送达指定地点</w:t>
            </w:r>
            <w:r>
              <w:rPr>
                <w:rFonts w:hint="eastAsia" w:ascii="宋体" w:hAnsi="宋体" w:eastAsia="宋体" w:cs="宋体"/>
                <w:color w:val="auto"/>
                <w:sz w:val="21"/>
                <w:szCs w:val="21"/>
                <w:highlight w:val="none"/>
              </w:rPr>
              <w:t>的，招标人将拒绝接收；</w:t>
            </w:r>
          </w:p>
          <w:p w14:paraId="1090DDF3">
            <w:pPr>
              <w:pStyle w:val="8"/>
              <w:adjustRightInd w:val="0"/>
              <w:snapToGrid w:val="0"/>
              <w:spacing w:before="0" w:beforeAutospacing="0" w:after="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（2）投标人在投标截止时间前提交撤回函的投标文件不予启封，并退还给投标人；</w:t>
            </w:r>
          </w:p>
          <w:p w14:paraId="4B97E4B1">
            <w:pPr>
              <w:pStyle w:val="8"/>
              <w:adjustRightInd w:val="0"/>
              <w:snapToGrid w:val="0"/>
              <w:spacing w:before="0" w:beforeAutospacing="0" w:after="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lang w:val="zh-CN"/>
              </w:rPr>
              <w:t>按照第4.7款要求密封和标识的，其投标文件</w:t>
            </w:r>
            <w:r>
              <w:rPr>
                <w:rFonts w:hint="eastAsia" w:ascii="宋体" w:hAnsi="宋体" w:eastAsia="宋体" w:cs="宋体"/>
                <w:color w:val="auto"/>
                <w:sz w:val="21"/>
                <w:szCs w:val="21"/>
                <w:highlight w:val="none"/>
              </w:rPr>
              <w:t>不予启封，并退还给投标人；</w:t>
            </w:r>
          </w:p>
          <w:p w14:paraId="2AFCE076">
            <w:pPr>
              <w:pStyle w:val="8"/>
              <w:adjustRightInd w:val="0"/>
              <w:snapToGrid w:val="0"/>
              <w:spacing w:before="0" w:beforeAutospacing="0" w:after="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（4）至投标截止时间，投标人数不足</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家的不得开标，招标人将投标文件退还投标人。</w:t>
            </w:r>
          </w:p>
          <w:p w14:paraId="1AC5E1D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投标文件有下列情形之一的，视为拒收：</w:t>
            </w:r>
          </w:p>
          <w:p w14:paraId="4F69CBD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投标文件份数不满足要求的；</w:t>
            </w:r>
          </w:p>
          <w:p w14:paraId="1ECD654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纸质投标文件不符合装订要求的</w:t>
            </w:r>
            <w:r>
              <w:rPr>
                <w:rFonts w:hint="eastAsia" w:ascii="宋体" w:hAnsi="宋体" w:eastAsia="宋体" w:cs="宋体"/>
                <w:color w:val="auto"/>
                <w:sz w:val="21"/>
                <w:szCs w:val="21"/>
                <w:highlight w:val="none"/>
                <w:lang w:eastAsia="zh-CN"/>
              </w:rPr>
              <w:t>。</w:t>
            </w:r>
          </w:p>
          <w:p w14:paraId="02B7D0A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3.开标后不退还投标文件</w:t>
            </w:r>
          </w:p>
        </w:tc>
      </w:tr>
      <w:tr w14:paraId="1B9C2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0E00FCA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6.1.1</w:t>
            </w:r>
          </w:p>
        </w:tc>
        <w:tc>
          <w:tcPr>
            <w:tcW w:w="1911" w:type="dxa"/>
            <w:noWrap w:val="0"/>
            <w:vAlign w:val="center"/>
          </w:tcPr>
          <w:p w14:paraId="4892E9F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评标委员会的组建</w:t>
            </w:r>
          </w:p>
        </w:tc>
        <w:tc>
          <w:tcPr>
            <w:tcW w:w="6255" w:type="dxa"/>
            <w:noWrap w:val="0"/>
            <w:vAlign w:val="center"/>
          </w:tcPr>
          <w:p w14:paraId="4BA9D10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评标委员会由招标人依法组建，评标委员会由</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人及以上单数组成，其中招标人代表不超过三分之一。</w:t>
            </w:r>
          </w:p>
          <w:p w14:paraId="1165B9AC">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评标委员会组成方式：由招标人代表和有关技术、经济方面的专家组成。</w:t>
            </w:r>
          </w:p>
        </w:tc>
      </w:tr>
      <w:tr w14:paraId="2034C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9512B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6.3.2</w:t>
            </w:r>
          </w:p>
        </w:tc>
        <w:tc>
          <w:tcPr>
            <w:tcW w:w="1911" w:type="dxa"/>
            <w:noWrap w:val="0"/>
            <w:vAlign w:val="center"/>
          </w:tcPr>
          <w:p w14:paraId="31169C5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评标办法</w:t>
            </w:r>
          </w:p>
          <w:p w14:paraId="6566D8A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及否决投标条款</w:t>
            </w:r>
          </w:p>
        </w:tc>
        <w:tc>
          <w:tcPr>
            <w:tcW w:w="6255" w:type="dxa"/>
            <w:noWrap w:val="0"/>
            <w:vAlign w:val="center"/>
          </w:tcPr>
          <w:p w14:paraId="065C5568">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color w:val="auto"/>
                <w:sz w:val="21"/>
                <w:szCs w:val="21"/>
                <w:highlight w:val="none"/>
              </w:rPr>
              <w:t>综合评分法</w:t>
            </w:r>
          </w:p>
          <w:p w14:paraId="4FF3B2B2">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经评审最低价法</w:t>
            </w:r>
          </w:p>
          <w:p w14:paraId="0832804D">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408AA7F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否决投标条款：详见招标文件第四章“评标办法及评价标准”。</w:t>
            </w:r>
          </w:p>
        </w:tc>
      </w:tr>
      <w:tr w14:paraId="5E0B6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346CC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6.3.3</w:t>
            </w:r>
          </w:p>
        </w:tc>
        <w:tc>
          <w:tcPr>
            <w:tcW w:w="1911" w:type="dxa"/>
            <w:noWrap w:val="0"/>
            <w:vAlign w:val="center"/>
          </w:tcPr>
          <w:p w14:paraId="6B5C998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评标委员会推荐中标候选人的数量</w:t>
            </w:r>
          </w:p>
        </w:tc>
        <w:tc>
          <w:tcPr>
            <w:tcW w:w="6255" w:type="dxa"/>
            <w:noWrap w:val="0"/>
            <w:vAlign w:val="center"/>
          </w:tcPr>
          <w:p w14:paraId="1216E586">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1</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个</w:t>
            </w:r>
            <w:r>
              <w:rPr>
                <w:rFonts w:hint="eastAsia" w:ascii="宋体" w:hAnsi="宋体" w:eastAsia="宋体" w:cs="宋体"/>
                <w:color w:val="auto"/>
                <w:sz w:val="21"/>
                <w:szCs w:val="21"/>
                <w:highlight w:val="none"/>
              </w:rPr>
              <w:t>。</w:t>
            </w:r>
          </w:p>
        </w:tc>
      </w:tr>
      <w:tr w14:paraId="4440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1C90E2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8.2.1</w:t>
            </w:r>
          </w:p>
        </w:tc>
        <w:tc>
          <w:tcPr>
            <w:tcW w:w="1911" w:type="dxa"/>
            <w:noWrap w:val="0"/>
            <w:vAlign w:val="center"/>
          </w:tcPr>
          <w:p w14:paraId="00CD54E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履约保证金</w:t>
            </w:r>
          </w:p>
        </w:tc>
        <w:tc>
          <w:tcPr>
            <w:tcW w:w="6255" w:type="dxa"/>
            <w:noWrap w:val="0"/>
            <w:vAlign w:val="center"/>
          </w:tcPr>
          <w:p w14:paraId="45173E6E">
            <w:pPr>
              <w:pStyle w:val="43"/>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eastAsia="zh-CN"/>
              </w:rPr>
              <w:t>要求中标人</w:t>
            </w:r>
            <w:r>
              <w:rPr>
                <w:rFonts w:hint="eastAsia" w:ascii="宋体" w:hAnsi="宋体" w:eastAsia="宋体" w:cs="宋体"/>
                <w:snapToGrid w:val="0"/>
                <w:color w:val="auto"/>
                <w:sz w:val="21"/>
                <w:szCs w:val="21"/>
                <w:highlight w:val="none"/>
                <w:lang w:val="en-US" w:eastAsia="zh-CN"/>
              </w:rPr>
              <w:t>缴纳</w:t>
            </w:r>
            <w:r>
              <w:rPr>
                <w:rFonts w:hint="eastAsia" w:ascii="宋体" w:hAnsi="宋体" w:eastAsia="宋体" w:cs="宋体"/>
                <w:snapToGrid w:val="0"/>
                <w:color w:val="auto"/>
                <w:sz w:val="21"/>
                <w:szCs w:val="21"/>
                <w:highlight w:val="none"/>
                <w:lang w:eastAsia="zh-CN"/>
              </w:rPr>
              <w:t>履约保证金，</w:t>
            </w:r>
            <w:r>
              <w:rPr>
                <w:rFonts w:hint="eastAsia" w:ascii="宋体" w:hAnsi="宋体" w:eastAsia="宋体" w:cs="宋体"/>
                <w:snapToGrid w:val="0"/>
                <w:color w:val="auto"/>
                <w:sz w:val="21"/>
                <w:szCs w:val="21"/>
                <w:highlight w:val="none"/>
                <w:lang w:val="en-US" w:eastAsia="zh-CN"/>
              </w:rPr>
              <w:t>具体如下：</w:t>
            </w:r>
          </w:p>
          <w:p w14:paraId="40E1D06A">
            <w:pPr>
              <w:pStyle w:val="44"/>
              <w:snapToGrid w:val="0"/>
              <w:spacing w:before="0" w:beforeAutospacing="0" w:after="0" w:line="320" w:lineRule="exact"/>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1、履约保证金缴纳信息：</w:t>
            </w:r>
          </w:p>
          <w:p w14:paraId="024D8528">
            <w:pPr>
              <w:pStyle w:val="44"/>
              <w:snapToGrid w:val="0"/>
              <w:spacing w:before="0" w:beforeAutospacing="0" w:after="0" w:line="320" w:lineRule="exact"/>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金额：合同价的5%；</w:t>
            </w:r>
          </w:p>
          <w:p w14:paraId="7D394751">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履约保证金接收人：杭州临江环境能源有限公司。</w:t>
            </w:r>
          </w:p>
          <w:p w14:paraId="197D2D64">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缴纳形式：支票/汇票/电汇/转账</w:t>
            </w:r>
          </w:p>
          <w:p w14:paraId="7B7EAE81">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缴纳时间：中标通知书领取之后，合同签订之前。</w:t>
            </w:r>
          </w:p>
          <w:p w14:paraId="14A97642">
            <w:pPr>
              <w:pStyle w:val="44"/>
              <w:snapToGrid w:val="0"/>
              <w:spacing w:before="0" w:beforeAutospacing="0" w:after="0" w:line="320" w:lineRule="exact"/>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2、其他说明：</w:t>
            </w:r>
          </w:p>
          <w:p w14:paraId="067B861C">
            <w:pPr>
              <w:pStyle w:val="44"/>
              <w:snapToGrid w:val="0"/>
              <w:spacing w:before="0" w:beforeAutospacing="0" w:after="0" w:line="320" w:lineRule="exact"/>
              <w:ind w:left="0" w:right="0"/>
              <w:jc w:val="left"/>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投标人在履约保证金缴纳时必须注明项目名称和招标</w:t>
            </w:r>
            <w:r>
              <w:rPr>
                <w:rFonts w:hint="eastAsia" w:ascii="宋体" w:hAnsi="宋体" w:eastAsia="宋体" w:cs="宋体"/>
                <w:b w:val="0"/>
                <w:bCs w:val="0"/>
                <w:color w:val="auto"/>
                <w:kern w:val="2"/>
                <w:sz w:val="21"/>
                <w:szCs w:val="21"/>
                <w:highlight w:val="none"/>
                <w:lang w:val="en-US" w:eastAsia="zh-CN"/>
              </w:rPr>
              <w:t>编号</w:t>
            </w:r>
            <w:r>
              <w:rPr>
                <w:rFonts w:hint="eastAsia" w:ascii="宋体" w:hAnsi="宋体" w:eastAsia="宋体" w:cs="宋体"/>
                <w:b w:val="0"/>
                <w:bCs w:val="0"/>
                <w:color w:val="auto"/>
                <w:kern w:val="2"/>
                <w:sz w:val="21"/>
                <w:szCs w:val="21"/>
                <w:highlight w:val="none"/>
                <w:lang w:val="en-US"/>
              </w:rPr>
              <w:t>。</w:t>
            </w:r>
          </w:p>
          <w:p w14:paraId="39A0BFE2">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投标人应将履约保证金的</w:t>
            </w:r>
            <w:r>
              <w:rPr>
                <w:rFonts w:hint="eastAsia" w:ascii="宋体" w:hAnsi="宋体" w:eastAsia="宋体" w:cs="宋体"/>
                <w:color w:val="auto"/>
                <w:sz w:val="21"/>
                <w:szCs w:val="21"/>
                <w:highlight w:val="none"/>
                <w:lang w:val="en-US" w:eastAsia="zh-CN"/>
              </w:rPr>
              <w:t>缴纳</w:t>
            </w:r>
            <w:r>
              <w:rPr>
                <w:rFonts w:hint="eastAsia" w:ascii="宋体" w:hAnsi="宋体" w:eastAsia="宋体" w:cs="宋体"/>
                <w:color w:val="auto"/>
                <w:sz w:val="21"/>
                <w:szCs w:val="21"/>
                <w:highlight w:val="none"/>
              </w:rPr>
              <w:t>凭证在合同签订前提交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如超出期限未缴纳的，招标人将视其拒绝履行投标承诺，招标人有权单方取消其中标资格，并有权扣除其全部投标保证金。</w:t>
            </w:r>
          </w:p>
        </w:tc>
      </w:tr>
      <w:tr w14:paraId="2D883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AC3562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1"/>
                <w:szCs w:val="21"/>
                <w:highlight w:val="none"/>
                <w:lang w:val="en-US" w:eastAsia="zh-CN"/>
              </w:rPr>
            </w:pPr>
            <w:r>
              <w:rPr>
                <w:rFonts w:hint="eastAsia" w:ascii="宋体" w:hAnsi="宋体" w:eastAsia="宋体" w:cs="宋体"/>
                <w:b/>
                <w:snapToGrid w:val="0"/>
                <w:color w:val="auto"/>
                <w:kern w:val="0"/>
                <w:sz w:val="21"/>
                <w:szCs w:val="21"/>
                <w:highlight w:val="none"/>
              </w:rPr>
              <w:t>11.1</w:t>
            </w:r>
          </w:p>
        </w:tc>
        <w:tc>
          <w:tcPr>
            <w:tcW w:w="8166" w:type="dxa"/>
            <w:gridSpan w:val="2"/>
            <w:noWrap w:val="0"/>
            <w:vAlign w:val="center"/>
          </w:tcPr>
          <w:p w14:paraId="1A66DAF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需要补充的其他内容</w:t>
            </w:r>
          </w:p>
        </w:tc>
      </w:tr>
      <w:tr w14:paraId="262A7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6EAC2C8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11.1.1</w:t>
            </w:r>
          </w:p>
        </w:tc>
        <w:tc>
          <w:tcPr>
            <w:tcW w:w="1911" w:type="dxa"/>
            <w:noWrap w:val="0"/>
            <w:vAlign w:val="center"/>
          </w:tcPr>
          <w:p w14:paraId="737CC2B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备注</w:t>
            </w:r>
          </w:p>
        </w:tc>
        <w:tc>
          <w:tcPr>
            <w:tcW w:w="6255" w:type="dxa"/>
            <w:noWrap w:val="0"/>
            <w:vAlign w:val="center"/>
          </w:tcPr>
          <w:p w14:paraId="2F5BF1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本招标文件由招标人负责解释。</w:t>
            </w:r>
          </w:p>
          <w:p w14:paraId="78C0A6F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投标人须知内容和本前附表内容不一致的，以本前附表中所载内容为准。</w:t>
            </w:r>
          </w:p>
          <w:p w14:paraId="5A8402C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4370D5A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）招标文件中打▲符号的条款为实质性条款，不满足的按无效标处理。</w:t>
            </w:r>
          </w:p>
          <w:p w14:paraId="438065E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）招标人认为需要补充的其他内容：/    </w:t>
            </w:r>
          </w:p>
        </w:tc>
      </w:tr>
    </w:tbl>
    <w:p w14:paraId="1A6E0D1A">
      <w:pPr>
        <w:rPr>
          <w:rFonts w:hint="eastAsia" w:ascii="宋体" w:hAnsi="宋体" w:eastAsia="宋体" w:cs="宋体"/>
          <w:b/>
          <w:color w:val="auto"/>
          <w:sz w:val="28"/>
          <w:szCs w:val="28"/>
          <w:highlight w:val="none"/>
        </w:rPr>
      </w:pPr>
    </w:p>
    <w:p w14:paraId="6C25D7F0">
      <w:pPr>
        <w:pStyle w:val="16"/>
        <w:rPr>
          <w:rFonts w:hint="eastAsia" w:ascii="宋体" w:hAnsi="宋体" w:eastAsia="宋体" w:cs="宋体"/>
          <w:b/>
          <w:color w:val="auto"/>
          <w:sz w:val="28"/>
          <w:szCs w:val="28"/>
          <w:highlight w:val="none"/>
        </w:rPr>
      </w:pPr>
    </w:p>
    <w:p w14:paraId="69272547">
      <w:pPr>
        <w:spacing w:before="312" w:beforeLines="100" w:after="156" w:afterLines="50" w:line="360" w:lineRule="auto"/>
        <w:jc w:val="center"/>
        <w:rPr>
          <w:rStyle w:val="40"/>
          <w:rFonts w:hint="eastAsia" w:ascii="宋体" w:hAnsi="宋体" w:eastAsia="宋体" w:cs="宋体"/>
          <w:color w:val="auto"/>
          <w:kern w:val="0"/>
          <w:szCs w:val="20"/>
          <w:highlight w:val="none"/>
        </w:rPr>
      </w:pPr>
    </w:p>
    <w:p w14:paraId="4ECE9588">
      <w:pPr>
        <w:spacing w:before="0" w:beforeLines="-2147483648" w:after="0" w:afterLines="-2147483648" w:line="240" w:lineRule="auto"/>
        <w:jc w:val="left"/>
        <w:rPr>
          <w:rStyle w:val="40"/>
          <w:rFonts w:hint="eastAsia" w:ascii="宋体" w:hAnsi="宋体" w:eastAsia="宋体" w:cs="宋体"/>
          <w:color w:val="auto"/>
          <w:kern w:val="0"/>
          <w:szCs w:val="20"/>
          <w:highlight w:val="none"/>
        </w:rPr>
      </w:pPr>
      <w:r>
        <w:rPr>
          <w:rStyle w:val="40"/>
          <w:rFonts w:hint="eastAsia" w:ascii="宋体" w:hAnsi="宋体" w:eastAsia="宋体" w:cs="宋体"/>
          <w:color w:val="auto"/>
          <w:kern w:val="0"/>
          <w:szCs w:val="20"/>
          <w:highlight w:val="none"/>
        </w:rPr>
        <w:br w:type="page"/>
      </w:r>
    </w:p>
    <w:p w14:paraId="45F22F2F">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5" w:name="_Toc32085"/>
      <w:bookmarkStart w:id="6" w:name="_Toc16513"/>
      <w:bookmarkStart w:id="7" w:name="_Toc83886015"/>
      <w:r>
        <w:rPr>
          <w:rFonts w:hint="eastAsia" w:ascii="宋体" w:hAnsi="宋体" w:eastAsia="宋体" w:cs="宋体"/>
          <w:b/>
          <w:snapToGrid w:val="0"/>
          <w:color w:val="auto"/>
          <w:kern w:val="0"/>
          <w:sz w:val="24"/>
          <w:szCs w:val="24"/>
          <w:highlight w:val="none"/>
        </w:rPr>
        <w:t>1、总则</w:t>
      </w:r>
      <w:bookmarkEnd w:id="5"/>
      <w:bookmarkEnd w:id="6"/>
      <w:bookmarkEnd w:id="7"/>
    </w:p>
    <w:p w14:paraId="0A9A627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8" w:name="_Toc26216"/>
      <w:r>
        <w:rPr>
          <w:rFonts w:hint="eastAsia" w:ascii="宋体" w:hAnsi="宋体" w:eastAsia="宋体" w:cs="宋体"/>
          <w:b/>
          <w:bCs/>
          <w:snapToGrid w:val="0"/>
          <w:color w:val="auto"/>
          <w:kern w:val="0"/>
          <w:sz w:val="24"/>
          <w:szCs w:val="24"/>
          <w:highlight w:val="none"/>
        </w:rPr>
        <w:t>1.1项目</w:t>
      </w:r>
      <w:bookmarkEnd w:id="8"/>
      <w:r>
        <w:rPr>
          <w:rFonts w:hint="eastAsia" w:ascii="宋体" w:hAnsi="宋体" w:eastAsia="宋体" w:cs="宋体"/>
          <w:b/>
          <w:bCs/>
          <w:snapToGrid w:val="0"/>
          <w:color w:val="auto"/>
          <w:kern w:val="0"/>
          <w:sz w:val="24"/>
          <w:szCs w:val="24"/>
          <w:highlight w:val="none"/>
        </w:rPr>
        <w:t>说明</w:t>
      </w:r>
    </w:p>
    <w:p w14:paraId="3DD43724">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9" w:name="_Toc6246"/>
      <w:r>
        <w:rPr>
          <w:rFonts w:hint="eastAsia" w:ascii="宋体" w:hAnsi="宋体" w:eastAsia="宋体" w:cs="宋体"/>
          <w:snapToGrid w:val="0"/>
          <w:color w:val="auto"/>
          <w:kern w:val="0"/>
          <w:sz w:val="24"/>
          <w:szCs w:val="24"/>
          <w:highlight w:val="none"/>
        </w:rPr>
        <w:t>1.1.1本项目招标适用以下规定：《中华人民共和国招标投标法》、《中华人民共和国招标投标法实施条例》。</w:t>
      </w:r>
    </w:p>
    <w:bookmarkEnd w:id="9"/>
    <w:p w14:paraId="48FDAD9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10" w:name="_Toc9136"/>
      <w:r>
        <w:rPr>
          <w:rFonts w:hint="eastAsia" w:ascii="宋体" w:hAnsi="宋体" w:eastAsia="宋体" w:cs="宋体"/>
          <w:snapToGrid w:val="0"/>
          <w:color w:val="auto"/>
          <w:kern w:val="0"/>
          <w:sz w:val="24"/>
          <w:szCs w:val="24"/>
          <w:highlight w:val="none"/>
        </w:rPr>
        <w:t>1.1.2招标组织形式：见投标人须知前附表。</w:t>
      </w:r>
    </w:p>
    <w:p w14:paraId="3774A6A6">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1.1.3招标人：</w:t>
      </w:r>
      <w:r>
        <w:rPr>
          <w:rFonts w:hint="eastAsia" w:ascii="宋体" w:hAnsi="宋体" w:eastAsia="宋体" w:cs="宋体"/>
          <w:snapToGrid w:val="0"/>
          <w:color w:val="auto"/>
          <w:kern w:val="0"/>
          <w:sz w:val="24"/>
          <w:szCs w:val="24"/>
          <w:highlight w:val="none"/>
          <w:lang w:val="en-US" w:eastAsia="zh-CN"/>
        </w:rPr>
        <w:t>提出招标项目、进行招标的法人或者其他组织。</w:t>
      </w:r>
      <w:r>
        <w:rPr>
          <w:rFonts w:hint="eastAsia" w:ascii="宋体" w:hAnsi="宋体" w:eastAsia="宋体" w:cs="宋体"/>
          <w:snapToGrid w:val="0"/>
          <w:color w:val="auto"/>
          <w:kern w:val="0"/>
          <w:sz w:val="24"/>
          <w:szCs w:val="24"/>
          <w:highlight w:val="none"/>
        </w:rPr>
        <w:t>见投标人须知前附表。</w:t>
      </w:r>
    </w:p>
    <w:p w14:paraId="71D160D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1.1.4</w:t>
      </w:r>
      <w:r>
        <w:rPr>
          <w:rFonts w:hint="eastAsia" w:ascii="宋体" w:hAnsi="宋体" w:eastAsia="宋体" w:cs="宋体"/>
          <w:snapToGrid w:val="0"/>
          <w:color w:val="auto"/>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color w:val="auto"/>
          <w:kern w:val="0"/>
          <w:sz w:val="24"/>
          <w:szCs w:val="24"/>
          <w:highlight w:val="none"/>
        </w:rPr>
        <w:t>见投标人须知前附表。</w:t>
      </w:r>
    </w:p>
    <w:p w14:paraId="0BAC017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1.1.5招标代理机构：见投标人须知前附表。</w:t>
      </w:r>
    </w:p>
    <w:p w14:paraId="78961FA0">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1.1.6</w:t>
      </w:r>
      <w:r>
        <w:rPr>
          <w:rFonts w:hint="eastAsia" w:ascii="宋体" w:hAnsi="宋体" w:eastAsia="宋体" w:cs="宋体"/>
          <w:snapToGrid w:val="0"/>
          <w:color w:val="auto"/>
          <w:kern w:val="0"/>
          <w:sz w:val="24"/>
          <w:szCs w:val="24"/>
          <w:highlight w:val="none"/>
        </w:rPr>
        <w:t>项目概况：见投标人须知前附表。</w:t>
      </w:r>
    </w:p>
    <w:p w14:paraId="18F6B9B5">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1.2资金来源</w:t>
      </w:r>
      <w:bookmarkEnd w:id="10"/>
      <w:r>
        <w:rPr>
          <w:rFonts w:hint="eastAsia" w:ascii="宋体" w:hAnsi="宋体" w:eastAsia="宋体" w:cs="宋体"/>
          <w:b/>
          <w:bCs/>
          <w:snapToGrid w:val="0"/>
          <w:color w:val="auto"/>
          <w:kern w:val="0"/>
          <w:sz w:val="24"/>
          <w:szCs w:val="24"/>
          <w:highlight w:val="none"/>
        </w:rPr>
        <w:t>和落实情况</w:t>
      </w:r>
    </w:p>
    <w:p w14:paraId="68609BA4">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11" w:name="_Toc10673"/>
      <w:r>
        <w:rPr>
          <w:rFonts w:hint="eastAsia" w:ascii="宋体" w:hAnsi="宋体" w:eastAsia="宋体" w:cs="宋体"/>
          <w:snapToGrid w:val="0"/>
          <w:color w:val="auto"/>
          <w:kern w:val="0"/>
          <w:sz w:val="24"/>
          <w:szCs w:val="24"/>
          <w:highlight w:val="none"/>
        </w:rPr>
        <w:t>1.2.1资金来源及落实情况：见投标人须知前附表。</w:t>
      </w:r>
    </w:p>
    <w:p w14:paraId="4603FA2D">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1.3招标范围及内容</w:t>
      </w:r>
    </w:p>
    <w:p w14:paraId="2DAF585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1.3.1招标范围及内容：见投标人须知前附表。</w:t>
      </w:r>
    </w:p>
    <w:bookmarkEnd w:id="11"/>
    <w:p w14:paraId="27F761F8">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12" w:name="_Toc13012"/>
      <w:r>
        <w:rPr>
          <w:rFonts w:hint="eastAsia" w:ascii="宋体" w:hAnsi="宋体" w:eastAsia="宋体" w:cs="宋体"/>
          <w:b/>
          <w:bCs/>
          <w:snapToGrid w:val="0"/>
          <w:color w:val="auto"/>
          <w:kern w:val="0"/>
          <w:sz w:val="24"/>
          <w:szCs w:val="24"/>
          <w:highlight w:val="none"/>
        </w:rPr>
        <w:t>1.4投标人</w:t>
      </w:r>
      <w:bookmarkEnd w:id="12"/>
      <w:r>
        <w:rPr>
          <w:rFonts w:hint="eastAsia" w:ascii="宋体" w:hAnsi="宋体" w:eastAsia="宋体" w:cs="宋体"/>
          <w:b/>
          <w:bCs/>
          <w:snapToGrid w:val="0"/>
          <w:color w:val="auto"/>
          <w:kern w:val="0"/>
          <w:sz w:val="24"/>
          <w:szCs w:val="24"/>
          <w:highlight w:val="none"/>
        </w:rPr>
        <w:t>资格审查方式、资格条件</w:t>
      </w:r>
    </w:p>
    <w:p w14:paraId="3C6D07F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1.4.1投标人资格审查方式：见投标人须知前附表。</w:t>
      </w:r>
    </w:p>
    <w:p w14:paraId="79ED576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1.4.2投标人资格条件：见投标人须知前附表。</w:t>
      </w:r>
    </w:p>
    <w:p w14:paraId="0716B909">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1.5联合体投标</w:t>
      </w:r>
    </w:p>
    <w:p w14:paraId="6F819FAC">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1.5.1本项目是否接受联合体投标：见投标人须知前附表。</w:t>
      </w:r>
    </w:p>
    <w:p w14:paraId="6BCAB44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1.5.2投标人须知前附表规定接受联合体投标的，联合体应满足以下要求：</w:t>
      </w:r>
    </w:p>
    <w:p w14:paraId="52E5646B">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1）符合《中华人民共和国招标投标法》、《中华人民共和国招标投标法实施条例》的规定；</w:t>
      </w:r>
    </w:p>
    <w:p w14:paraId="136F547C">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2）以联合体形式参加投标的，应当提交联合体协议，指定牵头人并出具由联合体成员各方共同签署的投标授权书；</w:t>
      </w:r>
    </w:p>
    <w:p w14:paraId="007D79C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3）除非另有规定或说明，本招标文件中“投标人”一词亦指联合体各成员。</w:t>
      </w:r>
    </w:p>
    <w:p w14:paraId="5DF85A29">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1.6关联性投标</w:t>
      </w:r>
    </w:p>
    <w:p w14:paraId="73FB9A7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1.6.1项目关联性投标要求：见投标人须知前附表。</w:t>
      </w:r>
    </w:p>
    <w:p w14:paraId="20A7B35E">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1.7分包</w:t>
      </w:r>
    </w:p>
    <w:p w14:paraId="41649335">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1.7.1本项目是否允许分包：见投标人须知前附表。</w:t>
      </w:r>
    </w:p>
    <w:p w14:paraId="7769F79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1.7.2投标人拟在中标后将中标项目的非主体、非关键部分工作进行分包的，应满足以下要求：</w:t>
      </w:r>
    </w:p>
    <w:p w14:paraId="6B0DA67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1）符合投标人须知前附表规定的分包内容、分包金额要求，除投标人须知前附表规定的非主体、非关键部分工作外，其他工作不得分包。</w:t>
      </w:r>
    </w:p>
    <w:p w14:paraId="3B19F8E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2）接受分包一方应当具备相应的资格条件，并不得再次分包。中标人应当就分包内容向招标人负责，接受分包一方就分包内容承担连带责任。</w:t>
      </w:r>
    </w:p>
    <w:p w14:paraId="08601622">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1.8响应和偏差</w:t>
      </w:r>
    </w:p>
    <w:p w14:paraId="737F5D7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”中用符号“▲”标注或列入第四章“评标方法及评价标准”中否决投标的全部条款，否则属于非实质性要求条款，下同。）作出满足性或更有利于招标人的明确响应。</w:t>
      </w:r>
    </w:p>
    <w:p w14:paraId="1FB373A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1.8.2投标文件对招标文件的全部偏差，均应在投标文件的商务和技术偏离表中列明，除列明的内容外，视为投标人响应招标文件的全部要求。</w:t>
      </w:r>
    </w:p>
    <w:p w14:paraId="08DACC5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70560635">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13" w:name="_Toc3996"/>
      <w:r>
        <w:rPr>
          <w:rFonts w:hint="eastAsia" w:ascii="宋体" w:hAnsi="宋体" w:eastAsia="宋体" w:cs="宋体"/>
          <w:b/>
          <w:bCs/>
          <w:snapToGrid w:val="0"/>
          <w:color w:val="auto"/>
          <w:kern w:val="0"/>
          <w:sz w:val="24"/>
          <w:szCs w:val="24"/>
          <w:highlight w:val="none"/>
        </w:rPr>
        <w:t>1.</w:t>
      </w:r>
      <w:bookmarkEnd w:id="13"/>
      <w:r>
        <w:rPr>
          <w:rFonts w:hint="eastAsia" w:ascii="宋体" w:hAnsi="宋体" w:eastAsia="宋体" w:cs="宋体"/>
          <w:b/>
          <w:bCs/>
          <w:snapToGrid w:val="0"/>
          <w:color w:val="auto"/>
          <w:kern w:val="0"/>
          <w:sz w:val="24"/>
          <w:szCs w:val="24"/>
          <w:highlight w:val="none"/>
        </w:rPr>
        <w:t>9投标费用</w:t>
      </w:r>
    </w:p>
    <w:p w14:paraId="304F080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1.9.1投标人在投标过程中的一切费用，不论中标与否，均由投标人自理。</w:t>
      </w:r>
    </w:p>
    <w:p w14:paraId="6362DB36">
      <w:pPr>
        <w:pStyle w:val="5"/>
        <w:rPr>
          <w:rFonts w:hint="eastAsia" w:ascii="宋体" w:hAnsi="宋体" w:eastAsia="宋体" w:cs="宋体"/>
          <w:snapToGrid w:val="0"/>
          <w:color w:val="auto"/>
          <w:sz w:val="24"/>
          <w:szCs w:val="24"/>
          <w:highlight w:val="none"/>
        </w:rPr>
      </w:pPr>
      <w:bookmarkStart w:id="14" w:name="_Toc246996181"/>
      <w:bookmarkStart w:id="15" w:name="_Toc247085695"/>
      <w:bookmarkStart w:id="16" w:name="_Toc296602426"/>
      <w:bookmarkStart w:id="17" w:name="_Toc152042312"/>
      <w:bookmarkStart w:id="18" w:name="_Toc246996924"/>
      <w:bookmarkStart w:id="19" w:name="_Toc179632553"/>
      <w:bookmarkStart w:id="20" w:name="_Toc144974504"/>
      <w:bookmarkStart w:id="21" w:name="_Toc152045536"/>
      <w:r>
        <w:rPr>
          <w:rFonts w:hint="eastAsia" w:ascii="宋体" w:hAnsi="宋体" w:eastAsia="宋体" w:cs="宋体"/>
          <w:snapToGrid w:val="0"/>
          <w:color w:val="auto"/>
          <w:sz w:val="24"/>
          <w:szCs w:val="24"/>
          <w:highlight w:val="none"/>
        </w:rPr>
        <w:t>1.10保密</w:t>
      </w:r>
      <w:bookmarkEnd w:id="14"/>
      <w:bookmarkEnd w:id="15"/>
      <w:bookmarkEnd w:id="16"/>
      <w:bookmarkEnd w:id="17"/>
      <w:bookmarkEnd w:id="18"/>
      <w:bookmarkEnd w:id="19"/>
      <w:bookmarkEnd w:id="20"/>
      <w:bookmarkEnd w:id="21"/>
    </w:p>
    <w:p w14:paraId="6F478B3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1.10.1参加招标投标活动的各方应对招投标过程中应当保密的信息资料及招标文件、投标文件中的商业和技术秘密保密，否则应承担相应的法律责任。</w:t>
      </w:r>
    </w:p>
    <w:p w14:paraId="16338497">
      <w:pPr>
        <w:pStyle w:val="5"/>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1.11语言文字</w:t>
      </w:r>
    </w:p>
    <w:p w14:paraId="109C85F8">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1.11.1招标投标文件使用的语言文字为中文。专用术语使用外文的，应附有中文注释。</w:t>
      </w:r>
    </w:p>
    <w:p w14:paraId="6E2FCB81">
      <w:pPr>
        <w:pStyle w:val="5"/>
        <w:rPr>
          <w:rFonts w:hint="eastAsia" w:ascii="宋体" w:hAnsi="宋体" w:eastAsia="宋体" w:cs="宋体"/>
          <w:snapToGrid w:val="0"/>
          <w:color w:val="auto"/>
          <w:sz w:val="24"/>
          <w:szCs w:val="24"/>
          <w:highlight w:val="none"/>
        </w:rPr>
      </w:pPr>
      <w:bookmarkStart w:id="22" w:name="_bookmark28"/>
      <w:bookmarkEnd w:id="22"/>
      <w:r>
        <w:rPr>
          <w:rFonts w:hint="eastAsia" w:ascii="宋体" w:hAnsi="宋体" w:eastAsia="宋体" w:cs="宋体"/>
          <w:snapToGrid w:val="0"/>
          <w:color w:val="auto"/>
          <w:sz w:val="24"/>
          <w:szCs w:val="24"/>
          <w:highlight w:val="none"/>
        </w:rPr>
        <w:t>1.12计量单位</w:t>
      </w:r>
    </w:p>
    <w:p w14:paraId="3639A80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1.12.1所有计量均采用中华人民共和国法定计量单位。</w:t>
      </w:r>
    </w:p>
    <w:p w14:paraId="6A179948">
      <w:pPr>
        <w:pStyle w:val="5"/>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1.13标准时间</w:t>
      </w:r>
    </w:p>
    <w:p w14:paraId="5D498B2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1.13.1本招标文件中出现的时间均指北京时间。</w:t>
      </w:r>
    </w:p>
    <w:p w14:paraId="74AE2E2F">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23" w:name="_Toc28047"/>
      <w:bookmarkStart w:id="24" w:name="_Toc83886016"/>
      <w:bookmarkStart w:id="25" w:name="_Toc15241"/>
      <w:bookmarkStart w:id="26" w:name="_Toc143421657"/>
      <w:bookmarkStart w:id="27" w:name="_Toc26219"/>
      <w:r>
        <w:rPr>
          <w:rFonts w:hint="eastAsia" w:ascii="宋体" w:hAnsi="宋体" w:eastAsia="宋体" w:cs="宋体"/>
          <w:b/>
          <w:snapToGrid w:val="0"/>
          <w:color w:val="auto"/>
          <w:kern w:val="0"/>
          <w:sz w:val="24"/>
          <w:szCs w:val="24"/>
          <w:highlight w:val="none"/>
        </w:rPr>
        <w:t>2、招标文件</w:t>
      </w:r>
      <w:bookmarkEnd w:id="23"/>
      <w:bookmarkEnd w:id="24"/>
      <w:bookmarkEnd w:id="25"/>
      <w:bookmarkEnd w:id="26"/>
      <w:bookmarkEnd w:id="27"/>
    </w:p>
    <w:p w14:paraId="4DB3C06B">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28" w:name="_Toc1426"/>
      <w:r>
        <w:rPr>
          <w:rFonts w:hint="eastAsia" w:ascii="宋体" w:hAnsi="宋体" w:eastAsia="宋体" w:cs="宋体"/>
          <w:b/>
          <w:bCs/>
          <w:snapToGrid w:val="0"/>
          <w:color w:val="auto"/>
          <w:kern w:val="0"/>
          <w:sz w:val="24"/>
          <w:szCs w:val="24"/>
          <w:highlight w:val="none"/>
        </w:rPr>
        <w:t>2.1招标文件的组成</w:t>
      </w:r>
      <w:bookmarkEnd w:id="28"/>
    </w:p>
    <w:p w14:paraId="62B42CE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本招标文件包括：</w:t>
      </w:r>
    </w:p>
    <w:p w14:paraId="4B6D7FD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（1）招标公告；</w:t>
      </w:r>
    </w:p>
    <w:p w14:paraId="57F5672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（2）投标人须知；</w:t>
      </w:r>
    </w:p>
    <w:p w14:paraId="70B3518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w:t>
      </w:r>
    </w:p>
    <w:p w14:paraId="15FF6D2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（4）评标方法及评价标准；</w:t>
      </w:r>
    </w:p>
    <w:p w14:paraId="5FFC4AF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（5）投标文件格式；</w:t>
      </w:r>
    </w:p>
    <w:p w14:paraId="1B15734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（6）合同条款及格式（仅供参考）；</w:t>
      </w:r>
    </w:p>
    <w:p w14:paraId="5DF33F3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（7）投标人须知前附表规定的其他材料。</w:t>
      </w:r>
    </w:p>
    <w:p w14:paraId="676B0BB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根据本须知第2.3款对招标文件做出的澄清、修改、答复内容，共同构成招标文件的组成部分。</w:t>
      </w:r>
    </w:p>
    <w:p w14:paraId="15D596DB">
      <w:pPr>
        <w:spacing w:line="360" w:lineRule="auto"/>
        <w:ind w:firstLine="480" w:firstLineChars="200"/>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除上述所列内容外，招标人的任何工作人员对投标人所作的任何口头解释、介绍、答复，只能供投标人参考，对招标人和投标人无任何约束力。</w:t>
      </w:r>
    </w:p>
    <w:p w14:paraId="32DDB196">
      <w:pPr>
        <w:pStyle w:val="8"/>
        <w:adjustRightInd w:val="0"/>
        <w:snapToGrid w:val="0"/>
        <w:spacing w:after="0" w:line="360" w:lineRule="auto"/>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2.2招标文件的获取</w:t>
      </w:r>
    </w:p>
    <w:p w14:paraId="6E7A07F7">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2.2.1招标文件的获取方式、要求：见投标人须知前附表。</w:t>
      </w:r>
    </w:p>
    <w:p w14:paraId="0B8DF9FA">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29" w:name="_Toc18230"/>
      <w:r>
        <w:rPr>
          <w:rFonts w:hint="eastAsia" w:ascii="宋体" w:hAnsi="宋体" w:eastAsia="宋体" w:cs="宋体"/>
          <w:b/>
          <w:bCs/>
          <w:snapToGrid w:val="0"/>
          <w:color w:val="auto"/>
          <w:kern w:val="0"/>
          <w:sz w:val="24"/>
          <w:szCs w:val="24"/>
          <w:highlight w:val="none"/>
        </w:rPr>
        <w:t>2.3招标文件的澄清</w:t>
      </w:r>
      <w:bookmarkEnd w:id="29"/>
      <w:r>
        <w:rPr>
          <w:rFonts w:hint="eastAsia" w:ascii="宋体" w:hAnsi="宋体" w:eastAsia="宋体" w:cs="宋体"/>
          <w:b/>
          <w:bCs/>
          <w:snapToGrid w:val="0"/>
          <w:color w:val="auto"/>
          <w:kern w:val="0"/>
          <w:sz w:val="24"/>
          <w:szCs w:val="24"/>
          <w:highlight w:val="none"/>
        </w:rPr>
        <w:t>和修改</w:t>
      </w:r>
    </w:p>
    <w:p w14:paraId="4C184B1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14:paraId="2BCB04B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5D2B52D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2.3.3除非招标人认为确有必要答复，否则，招标人有权拒绝回复投标人在本章第2.3.1项规定的时间后的任何澄清要求。</w:t>
      </w:r>
    </w:p>
    <w:p w14:paraId="78537BDA">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30" w:name="_Toc8308"/>
      <w:bookmarkStart w:id="31" w:name="_Toc143421658"/>
      <w:bookmarkStart w:id="32" w:name="_Toc83886017"/>
      <w:bookmarkStart w:id="33" w:name="_Toc26730"/>
      <w:bookmarkStart w:id="34" w:name="_Toc18870"/>
      <w:r>
        <w:rPr>
          <w:rFonts w:hint="eastAsia" w:ascii="宋体" w:hAnsi="宋体" w:eastAsia="宋体" w:cs="宋体"/>
          <w:b/>
          <w:snapToGrid w:val="0"/>
          <w:color w:val="auto"/>
          <w:kern w:val="0"/>
          <w:sz w:val="24"/>
          <w:szCs w:val="24"/>
          <w:highlight w:val="none"/>
        </w:rPr>
        <w:t>3、投标文件</w:t>
      </w:r>
      <w:bookmarkEnd w:id="30"/>
      <w:bookmarkEnd w:id="31"/>
      <w:bookmarkEnd w:id="32"/>
      <w:bookmarkEnd w:id="33"/>
      <w:bookmarkEnd w:id="34"/>
    </w:p>
    <w:p w14:paraId="5BC7821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5" w:name="_Toc1411"/>
      <w:bookmarkStart w:id="36" w:name="_Toc32652"/>
      <w:bookmarkStart w:id="37" w:name="_Toc143421659"/>
      <w:r>
        <w:rPr>
          <w:rFonts w:hint="eastAsia" w:ascii="宋体" w:hAnsi="宋体" w:eastAsia="宋体" w:cs="宋体"/>
          <w:b/>
          <w:bCs/>
          <w:snapToGrid w:val="0"/>
          <w:color w:val="auto"/>
          <w:kern w:val="0"/>
          <w:sz w:val="24"/>
          <w:szCs w:val="24"/>
          <w:highlight w:val="none"/>
        </w:rPr>
        <w:t>3.1投标文件的组成</w:t>
      </w:r>
      <w:bookmarkEnd w:id="35"/>
    </w:p>
    <w:p w14:paraId="7BA4F5A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3.1</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 xml:space="preserve"> 投标文件</w:t>
      </w:r>
      <w:r>
        <w:rPr>
          <w:rFonts w:hint="eastAsia" w:ascii="宋体" w:hAnsi="宋体" w:eastAsia="宋体" w:cs="宋体"/>
          <w:snapToGrid w:val="0"/>
          <w:color w:val="auto"/>
          <w:kern w:val="0"/>
          <w:sz w:val="24"/>
          <w:szCs w:val="24"/>
          <w:highlight w:val="none"/>
          <w:lang w:val="en-US" w:eastAsia="zh-CN"/>
        </w:rPr>
        <w:t>的组成：</w:t>
      </w:r>
      <w:r>
        <w:rPr>
          <w:rFonts w:hint="eastAsia" w:ascii="宋体" w:hAnsi="宋体" w:eastAsia="宋体" w:cs="宋体"/>
          <w:snapToGrid w:val="0"/>
          <w:color w:val="auto"/>
          <w:kern w:val="0"/>
          <w:sz w:val="24"/>
          <w:szCs w:val="24"/>
          <w:highlight w:val="none"/>
        </w:rPr>
        <w:t>见投标人须知前附表。</w:t>
      </w:r>
    </w:p>
    <w:p w14:paraId="6D7DBE74">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投标人在评标过程中作出的符合法律法规和招标文件规定的澄清确认，构成投标文件的组成部分。</w:t>
      </w:r>
    </w:p>
    <w:p w14:paraId="274BD0D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3.1.2投标人须知前附表规定不接受联合体投标的，或投标人没有组成联合体的，投标文件不包括投标人须知前附表所指的联合体协议书。</w:t>
      </w:r>
    </w:p>
    <w:p w14:paraId="687F299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3.1.3投标人须知前附表未要求提交投标保证金的，投标文件不包括投标人须知前附表所指的投标保证金缴存证明。</w:t>
      </w:r>
    </w:p>
    <w:p w14:paraId="06E7CF5C">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3.2资格审查资料</w:t>
      </w:r>
    </w:p>
    <w:p w14:paraId="05A7D53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3.2.1投标人应按本章第1.4款要求提供相关资格审查资料。</w:t>
      </w:r>
    </w:p>
    <w:p w14:paraId="24B463A4">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3.2.2“资格文件”中的“营业执照”等复印件是指：</w:t>
      </w:r>
    </w:p>
    <w:p w14:paraId="112E4B27">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投标人根据企业、非企业性质不同，可分别提供营业执照、事业单位法人证书、社会团体法人登记证书或其他组织登记证明文件的复印件；</w:t>
      </w:r>
    </w:p>
    <w:p w14:paraId="1100E93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0CFC8FAF">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8" w:name="_Toc32225"/>
      <w:r>
        <w:rPr>
          <w:rFonts w:hint="eastAsia" w:ascii="宋体" w:hAnsi="宋体" w:eastAsia="宋体" w:cs="宋体"/>
          <w:b/>
          <w:bCs/>
          <w:snapToGrid w:val="0"/>
          <w:color w:val="auto"/>
          <w:kern w:val="0"/>
          <w:sz w:val="24"/>
          <w:szCs w:val="24"/>
          <w:highlight w:val="none"/>
        </w:rPr>
        <w:t>3.3投标报价</w:t>
      </w:r>
      <w:bookmarkEnd w:id="38"/>
    </w:p>
    <w:p w14:paraId="447C1681">
      <w:pPr>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bookmarkStart w:id="39" w:name="_Toc13307"/>
      <w:r>
        <w:rPr>
          <w:rFonts w:hint="eastAsia" w:ascii="宋体" w:hAnsi="宋体" w:eastAsia="宋体" w:cs="宋体"/>
          <w:snapToGrid w:val="0"/>
          <w:color w:val="auto"/>
          <w:kern w:val="0"/>
          <w:sz w:val="24"/>
          <w:szCs w:val="24"/>
          <w:highlight w:val="none"/>
        </w:rPr>
        <w:t>3.3.1投标人应按第五章“投标文件格式”的要求在“投标函”中进行报价。</w:t>
      </w:r>
      <w:r>
        <w:rPr>
          <w:rFonts w:hint="eastAsia" w:ascii="宋体" w:hAnsi="宋体" w:eastAsia="宋体" w:cs="宋体"/>
          <w:color w:val="auto"/>
          <w:sz w:val="24"/>
          <w:szCs w:val="24"/>
          <w:highlight w:val="none"/>
        </w:rPr>
        <w:t>有关本项目建设或采购所需的所有费用均计入报价。</w:t>
      </w:r>
      <w:r>
        <w:rPr>
          <w:rFonts w:hint="eastAsia" w:ascii="宋体" w:hAnsi="宋体" w:eastAsia="宋体" w:cs="宋体"/>
          <w:snapToGrid w:val="0"/>
          <w:color w:val="auto"/>
          <w:kern w:val="0"/>
          <w:sz w:val="24"/>
          <w:szCs w:val="24"/>
          <w:highlight w:val="none"/>
        </w:rPr>
        <w:t>投标文件中价格全部采用人民币报价。</w:t>
      </w:r>
    </w:p>
    <w:p w14:paraId="66EB5B4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3.3.2投标人应充分了解该项目的总体情况以及影响投标报价的其他要素。</w:t>
      </w:r>
    </w:p>
    <w:p w14:paraId="049DD6CC">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3.3.3招标人设有最高投标限价的，投标人的投标报价不得超过最高投标限价，最高投标限价在投标人须知前附表中载明。</w:t>
      </w:r>
    </w:p>
    <w:p w14:paraId="1DB3AE66">
      <w:pPr>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3.3.4投标报价的具体要求详见第三章“</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w:t>
      </w:r>
    </w:p>
    <w:bookmarkEnd w:id="39"/>
    <w:p w14:paraId="3C05A377">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40" w:name="_Toc29989"/>
      <w:r>
        <w:rPr>
          <w:rFonts w:hint="eastAsia" w:ascii="宋体" w:hAnsi="宋体" w:eastAsia="宋体" w:cs="宋体"/>
          <w:b/>
          <w:bCs/>
          <w:snapToGrid w:val="0"/>
          <w:color w:val="auto"/>
          <w:kern w:val="0"/>
          <w:sz w:val="24"/>
          <w:szCs w:val="24"/>
          <w:highlight w:val="none"/>
        </w:rPr>
        <w:t>3.4投标文件的编制</w:t>
      </w:r>
      <w:bookmarkEnd w:id="40"/>
    </w:p>
    <w:p w14:paraId="58366CE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C15315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3.4.2投标人按投标人须知前附表规定的份数编制投标文件。投标文件的正本和副本均需打印或使用不褪色的墨水笔书写，字迹应清晰易于辨认。正本和副本的封面</w:t>
      </w:r>
      <w:r>
        <w:rPr>
          <w:rFonts w:hint="eastAsia" w:ascii="宋体" w:hAnsi="宋体" w:eastAsia="宋体" w:cs="宋体"/>
          <w:snapToGrid w:val="0"/>
          <w:color w:val="auto"/>
          <w:kern w:val="0"/>
          <w:sz w:val="24"/>
          <w:szCs w:val="24"/>
          <w:highlight w:val="none"/>
          <w:lang w:eastAsia="zh-CN"/>
        </w:rPr>
        <w:t>右上角</w:t>
      </w:r>
      <w:r>
        <w:rPr>
          <w:rFonts w:hint="eastAsia" w:ascii="宋体" w:hAnsi="宋体" w:eastAsia="宋体" w:cs="宋体"/>
          <w:snapToGrid w:val="0"/>
          <w:color w:val="auto"/>
          <w:kern w:val="0"/>
          <w:sz w:val="24"/>
          <w:szCs w:val="24"/>
          <w:highlight w:val="none"/>
        </w:rPr>
        <w:t>应清楚地标记“正本”或“副本”的字样。投标人应根据前附表要求提供电子版文件。当副本和正本不一致或电子版文件和纸质正本文件不一致时，以纸质正本文件为准。</w:t>
      </w:r>
    </w:p>
    <w:p w14:paraId="2BE6BEB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1DF58E5">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并经法定代表人或其委托代理人签字或盖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。由委托代理人签字或盖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、注明日期予以确认。</w:t>
      </w:r>
    </w:p>
    <w:p w14:paraId="741A50E4">
      <w:pPr>
        <w:adjustRightInd w:val="0"/>
        <w:snapToGrid w:val="0"/>
        <w:spacing w:line="360" w:lineRule="auto"/>
        <w:ind w:firstLine="482" w:firstLineChars="200"/>
        <w:jc w:val="center"/>
        <w:outlineLvl w:val="1"/>
        <w:rPr>
          <w:rFonts w:hint="eastAsia" w:ascii="宋体" w:hAnsi="宋体" w:eastAsia="宋体" w:cs="宋体"/>
          <w:b/>
          <w:snapToGrid w:val="0"/>
          <w:color w:val="auto"/>
          <w:kern w:val="0"/>
          <w:sz w:val="24"/>
          <w:szCs w:val="24"/>
          <w:highlight w:val="none"/>
        </w:rPr>
      </w:pPr>
      <w:bookmarkStart w:id="41" w:name="_Toc83886018"/>
      <w:bookmarkStart w:id="42" w:name="_Toc9866"/>
      <w:bookmarkStart w:id="43" w:name="_Toc13653"/>
      <w:r>
        <w:rPr>
          <w:rFonts w:hint="eastAsia" w:ascii="宋体" w:hAnsi="宋体" w:eastAsia="宋体" w:cs="宋体"/>
          <w:b/>
          <w:snapToGrid w:val="0"/>
          <w:color w:val="auto"/>
          <w:kern w:val="0"/>
          <w:sz w:val="24"/>
          <w:szCs w:val="24"/>
          <w:highlight w:val="none"/>
        </w:rPr>
        <w:t>4、投标</w:t>
      </w:r>
      <w:bookmarkEnd w:id="41"/>
      <w:bookmarkEnd w:id="42"/>
      <w:bookmarkEnd w:id="43"/>
    </w:p>
    <w:bookmarkEnd w:id="36"/>
    <w:bookmarkEnd w:id="37"/>
    <w:p w14:paraId="0C5CA240">
      <w:pPr>
        <w:adjustRightInd w:val="0"/>
        <w:snapToGrid w:val="0"/>
        <w:spacing w:after="0" w:line="360" w:lineRule="auto"/>
        <w:jc w:val="left"/>
        <w:rPr>
          <w:rFonts w:hint="eastAsia" w:ascii="宋体" w:hAnsi="宋体" w:eastAsia="宋体" w:cs="宋体"/>
          <w:b/>
          <w:bCs/>
          <w:snapToGrid w:val="0"/>
          <w:color w:val="auto"/>
          <w:kern w:val="0"/>
          <w:sz w:val="24"/>
          <w:szCs w:val="24"/>
          <w:highlight w:val="none"/>
          <w:lang w:eastAsia="zh-CN"/>
        </w:rPr>
      </w:pPr>
      <w:bookmarkStart w:id="44" w:name="_Toc649"/>
      <w:r>
        <w:rPr>
          <w:rFonts w:hint="eastAsia" w:ascii="宋体" w:hAnsi="宋体" w:eastAsia="宋体" w:cs="宋体"/>
          <w:b/>
          <w:bCs/>
          <w:snapToGrid w:val="0"/>
          <w:color w:val="auto"/>
          <w:kern w:val="0"/>
          <w:sz w:val="24"/>
          <w:szCs w:val="24"/>
          <w:highlight w:val="none"/>
        </w:rPr>
        <w:t>4.1 踏勘现场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14:paraId="4A24D1A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14:paraId="0C9C846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4.1.2 投标人踏勘现场发生的费用自理。 除招标人的原因外，投标人自行负责在踏勘现场中所发生的人员伤亡和财产损失。</w:t>
      </w:r>
    </w:p>
    <w:p w14:paraId="1850FE8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4.1.3 招标人在踏勘现场中介绍的项目情况和提供的资料，仅供投标人在编制投标文件时参考，招标人不对投标人据此作出的判断和决策负责。</w:t>
      </w:r>
    </w:p>
    <w:p w14:paraId="2D9D9F1C">
      <w:pPr>
        <w:pStyle w:val="8"/>
        <w:adjustRightInd w:val="0"/>
        <w:snapToGrid w:val="0"/>
        <w:spacing w:after="0" w:line="360" w:lineRule="auto"/>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 投标预备会</w:t>
      </w:r>
    </w:p>
    <w:p w14:paraId="17B954F8">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565CF6A5">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6CB310A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4.2.3招标人在投标预备会上所做出的澄清和解答，以书面答复为准，该答疑纪要文件构成招标文件的一部分，具有约束作用，并按第2.3.2项要求予以公布并通知。</w:t>
      </w:r>
    </w:p>
    <w:p w14:paraId="3B55CE8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45" w:name="_Toc360398511"/>
      <w:bookmarkStart w:id="46" w:name="_Toc30464"/>
      <w:r>
        <w:rPr>
          <w:rFonts w:hint="eastAsia" w:ascii="宋体" w:hAnsi="宋体" w:eastAsia="宋体" w:cs="宋体"/>
          <w:b/>
          <w:bCs/>
          <w:snapToGrid w:val="0"/>
          <w:color w:val="auto"/>
          <w:kern w:val="0"/>
          <w:sz w:val="24"/>
          <w:szCs w:val="24"/>
          <w:highlight w:val="none"/>
        </w:rPr>
        <w:t>4.3 投标保证金</w:t>
      </w:r>
      <w:bookmarkEnd w:id="45"/>
      <w:bookmarkEnd w:id="46"/>
    </w:p>
    <w:p w14:paraId="471013F1">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kern w:val="0"/>
          <w:sz w:val="24"/>
          <w:szCs w:val="24"/>
          <w:highlight w:val="none"/>
          <w:lang w:val="en-US" w:eastAsia="zh-CN" w:bidi="ar"/>
        </w:rPr>
        <w:t>不予退还</w:t>
      </w:r>
      <w:r>
        <w:rPr>
          <w:rFonts w:hint="eastAsia" w:ascii="宋体" w:hAnsi="宋体" w:eastAsia="宋体" w:cs="宋体"/>
          <w:snapToGrid w:val="0"/>
          <w:color w:val="auto"/>
          <w:kern w:val="0"/>
          <w:sz w:val="24"/>
          <w:szCs w:val="24"/>
          <w:highlight w:val="none"/>
        </w:rPr>
        <w:t>。</w:t>
      </w:r>
    </w:p>
    <w:p w14:paraId="20C392F1">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4.3.2对于未能按要求提交投标保证金的投标，招标人将视为不响应招标文件而予以拒绝。</w:t>
      </w:r>
    </w:p>
    <w:p w14:paraId="52898915">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4.3.3未中标的投标人的投标保证金将在中标公示期满后两周内予以</w:t>
      </w:r>
      <w:r>
        <w:rPr>
          <w:rFonts w:hint="eastAsia" w:ascii="宋体" w:hAnsi="宋体" w:eastAsia="宋体" w:cs="宋体"/>
          <w:color w:val="auto"/>
          <w:kern w:val="0"/>
          <w:sz w:val="24"/>
          <w:szCs w:val="24"/>
          <w:highlight w:val="none"/>
          <w:lang w:val="en-US" w:eastAsia="zh-CN" w:bidi="ar"/>
        </w:rPr>
        <w:t>无息</w:t>
      </w:r>
      <w:r>
        <w:rPr>
          <w:rFonts w:hint="eastAsia" w:ascii="宋体" w:hAnsi="宋体" w:eastAsia="宋体" w:cs="宋体"/>
          <w:snapToGrid w:val="0"/>
          <w:color w:val="auto"/>
          <w:kern w:val="0"/>
          <w:sz w:val="24"/>
          <w:szCs w:val="24"/>
          <w:highlight w:val="none"/>
        </w:rPr>
        <w:t>退还。</w:t>
      </w:r>
    </w:p>
    <w:p w14:paraId="74F0BD5A">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4.3.4中标人的投标保证金，在中标人签订合同后两周内予以</w:t>
      </w:r>
      <w:r>
        <w:rPr>
          <w:rFonts w:hint="eastAsia" w:ascii="宋体" w:hAnsi="宋体" w:eastAsia="宋体" w:cs="宋体"/>
          <w:color w:val="auto"/>
          <w:kern w:val="0"/>
          <w:sz w:val="24"/>
          <w:szCs w:val="24"/>
          <w:highlight w:val="none"/>
          <w:lang w:val="en-US" w:eastAsia="zh-CN" w:bidi="ar"/>
        </w:rPr>
        <w:t>无息</w:t>
      </w:r>
      <w:r>
        <w:rPr>
          <w:rFonts w:hint="eastAsia" w:ascii="宋体" w:hAnsi="宋体" w:eastAsia="宋体" w:cs="宋体"/>
          <w:snapToGrid w:val="0"/>
          <w:color w:val="auto"/>
          <w:kern w:val="0"/>
          <w:sz w:val="24"/>
          <w:szCs w:val="24"/>
          <w:highlight w:val="none"/>
        </w:rPr>
        <w:t>退还。</w:t>
      </w:r>
    </w:p>
    <w:p w14:paraId="3346A2CB">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4.3.5如投标人有下列任何情况发生时，投标保证金将</w:t>
      </w:r>
      <w:r>
        <w:rPr>
          <w:rFonts w:hint="eastAsia" w:ascii="宋体" w:hAnsi="宋体" w:eastAsia="宋体" w:cs="宋体"/>
          <w:color w:val="auto"/>
          <w:kern w:val="0"/>
          <w:sz w:val="24"/>
          <w:szCs w:val="24"/>
          <w:highlight w:val="none"/>
          <w:lang w:val="en-US" w:eastAsia="zh-CN" w:bidi="ar"/>
        </w:rPr>
        <w:t>不予退还</w:t>
      </w:r>
      <w:r>
        <w:rPr>
          <w:rFonts w:hint="eastAsia" w:ascii="宋体" w:hAnsi="宋体" w:eastAsia="宋体" w:cs="宋体"/>
          <w:snapToGrid w:val="0"/>
          <w:color w:val="auto"/>
          <w:kern w:val="0"/>
          <w:sz w:val="24"/>
          <w:szCs w:val="24"/>
          <w:highlight w:val="none"/>
        </w:rPr>
        <w:t>：</w:t>
      </w:r>
    </w:p>
    <w:p w14:paraId="02ABA1EC">
      <w:pPr>
        <w:pStyle w:val="8"/>
        <w:numPr>
          <w:ilvl w:val="0"/>
          <w:numId w:val="0"/>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rPr>
        <w:t>在投标有效期内撤回投标文件的；</w:t>
      </w:r>
    </w:p>
    <w:p w14:paraId="6CD15622">
      <w:pPr>
        <w:pStyle w:val="8"/>
        <w:numPr>
          <w:ilvl w:val="0"/>
          <w:numId w:val="0"/>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（2）</w:t>
      </w:r>
      <w:r>
        <w:rPr>
          <w:rFonts w:hint="eastAsia" w:ascii="宋体" w:hAnsi="宋体" w:eastAsia="宋体" w:cs="宋体"/>
          <w:snapToGrid w:val="0"/>
          <w:color w:val="auto"/>
          <w:kern w:val="0"/>
          <w:sz w:val="24"/>
          <w:szCs w:val="24"/>
          <w:highlight w:val="none"/>
        </w:rPr>
        <w:t>拒绝接受投标文件中已确认的承诺或条款；</w:t>
      </w:r>
    </w:p>
    <w:p w14:paraId="4A4EB475">
      <w:pPr>
        <w:pStyle w:val="8"/>
        <w:numPr>
          <w:ilvl w:val="0"/>
          <w:numId w:val="0"/>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rPr>
        <w:t>中标人未能在规定期限内提交履约保证金或签署合同协议的；</w:t>
      </w:r>
    </w:p>
    <w:p w14:paraId="2157D517">
      <w:pPr>
        <w:pStyle w:val="8"/>
        <w:numPr>
          <w:ilvl w:val="0"/>
          <w:numId w:val="0"/>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rPr>
        <w:t>投标人提供虚假资料，经查实的；</w:t>
      </w:r>
    </w:p>
    <w:p w14:paraId="0A0B5F3C">
      <w:pPr>
        <w:pStyle w:val="8"/>
        <w:numPr>
          <w:ilvl w:val="0"/>
          <w:numId w:val="0"/>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（5）投标人在投标期间有串标、哄抬标价等违规违法行为。</w:t>
      </w:r>
    </w:p>
    <w:p w14:paraId="475BC0E1">
      <w:pPr>
        <w:keepNext/>
        <w:keepLines/>
        <w:adjustRightInd w:val="0"/>
        <w:snapToGrid w:val="0"/>
        <w:spacing w:line="360" w:lineRule="auto"/>
        <w:jc w:val="left"/>
        <w:outlineLvl w:val="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4.4投标样品</w:t>
      </w:r>
    </w:p>
    <w:p w14:paraId="0EA571B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4.4.1本项目投标样品提供的要求：见投标人须知前附表。</w:t>
      </w:r>
    </w:p>
    <w:p w14:paraId="3FAF99F9">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4.5投标文件的密封和标识</w:t>
      </w:r>
      <w:bookmarkEnd w:id="44"/>
    </w:p>
    <w:p w14:paraId="503E1FAC">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47" w:name="_Toc16616"/>
      <w:r>
        <w:rPr>
          <w:rFonts w:hint="eastAsia" w:ascii="宋体" w:hAnsi="宋体" w:eastAsia="宋体" w:cs="宋体"/>
          <w:snapToGrid w:val="0"/>
          <w:color w:val="auto"/>
          <w:kern w:val="0"/>
          <w:sz w:val="24"/>
          <w:szCs w:val="24"/>
          <w:highlight w:val="none"/>
        </w:rPr>
        <w:t>4.5.1投标文件必须密封包装，并在封套的封口处加盖投标人单位章或由投标人的法定代表人或其授权的代理人签字。</w:t>
      </w:r>
    </w:p>
    <w:p w14:paraId="05D95925">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4.5.2投标文件封套上应写明的内容见投标人须知前附表。</w:t>
      </w:r>
    </w:p>
    <w:p w14:paraId="685F2FD5">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4.5.3未按本章第4.7.2项要求填写内容的投标文件，招标人将不承担投标文件错放或提前开封导致投标被拒绝的责任。</w:t>
      </w:r>
    </w:p>
    <w:p w14:paraId="4F708925">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4.6投标文件的递交</w:t>
      </w:r>
      <w:bookmarkEnd w:id="47"/>
    </w:p>
    <w:p w14:paraId="1919645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4.6.1投标人应在投标人须知前附表规定的投标截止时间前、规定的投标文件递交地点递交投标文件。</w:t>
      </w:r>
    </w:p>
    <w:p w14:paraId="5FE5EDA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4.6.2除投标人须知前附表另有规定外，投标人有效递交的投标文件不予退还。</w:t>
      </w:r>
    </w:p>
    <w:p w14:paraId="65E9E186">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48" w:name="_Toc26099"/>
      <w:r>
        <w:rPr>
          <w:rFonts w:hint="eastAsia" w:ascii="宋体" w:hAnsi="宋体" w:eastAsia="宋体" w:cs="宋体"/>
          <w:b/>
          <w:bCs/>
          <w:snapToGrid w:val="0"/>
          <w:color w:val="auto"/>
          <w:kern w:val="0"/>
          <w:sz w:val="24"/>
          <w:szCs w:val="24"/>
          <w:highlight w:val="none"/>
        </w:rPr>
        <w:t>4.7投标文件的补充、修改、撤回</w:t>
      </w:r>
      <w:bookmarkEnd w:id="48"/>
      <w:r>
        <w:rPr>
          <w:rFonts w:hint="eastAsia" w:ascii="宋体" w:hAnsi="宋体" w:eastAsia="宋体" w:cs="宋体"/>
          <w:b/>
          <w:bCs/>
          <w:snapToGrid w:val="0"/>
          <w:color w:val="auto"/>
          <w:kern w:val="0"/>
          <w:sz w:val="24"/>
          <w:szCs w:val="24"/>
          <w:highlight w:val="none"/>
        </w:rPr>
        <w:t>和撤销</w:t>
      </w:r>
    </w:p>
    <w:p w14:paraId="0D13356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4.7.1投标人递交投标文件以后，在规定的投标截止时间之前，投标人可以补充、修改或撤回已递交的投标文件，但应以书面形式通知招标人。</w:t>
      </w:r>
    </w:p>
    <w:p w14:paraId="67CC516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4.7.2投标人补充、修改或撤回已递交投标文件的书面通知应按照第3条、第4条的有关规定进行编制、密封、标识和递交，并标明“补充修改”或“撤回”字样。</w:t>
      </w:r>
    </w:p>
    <w:p w14:paraId="6236CF6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4.7.3补充、修改的内容为投标文件的组成部分。补充、修改的内容与投标文件不一致的，以补充、修改的内容为准。</w:t>
      </w:r>
    </w:p>
    <w:p w14:paraId="3C62AC8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4.7.4在投标截止时间以后，不能补充、修改投标文件。投标截止时间以后至招标文件规定的投标有效期内，投标人不能撤销或修改投标文件。</w:t>
      </w:r>
    </w:p>
    <w:p w14:paraId="20C630D5">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4.8投标有效期</w:t>
      </w:r>
    </w:p>
    <w:p w14:paraId="194D26B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4.8.1除投标人须知前附表另有规定外，投标有效期为90日历天。投标人的投标文件中承诺的投标有效期不得少于招标文件中载明的投标有效期。</w:t>
      </w:r>
    </w:p>
    <w:p w14:paraId="0EAF3A1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4.8.2在投标有效期内，投标人撤销或修改投标文件的，应承担招标文件和法律规定的责任。</w:t>
      </w:r>
    </w:p>
    <w:p w14:paraId="7AA718B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24E24A05">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49" w:name="_Toc29641"/>
      <w:bookmarkStart w:id="50" w:name="_Toc30158"/>
      <w:bookmarkStart w:id="51" w:name="_Toc83886019"/>
      <w:bookmarkStart w:id="52" w:name="_Toc4395"/>
      <w:r>
        <w:rPr>
          <w:rFonts w:hint="eastAsia" w:ascii="宋体" w:hAnsi="宋体" w:eastAsia="宋体" w:cs="宋体"/>
          <w:b/>
          <w:snapToGrid w:val="0"/>
          <w:color w:val="auto"/>
          <w:kern w:val="0"/>
          <w:sz w:val="24"/>
          <w:szCs w:val="24"/>
          <w:highlight w:val="none"/>
        </w:rPr>
        <w:t>5、开标</w:t>
      </w:r>
      <w:bookmarkEnd w:id="49"/>
      <w:bookmarkEnd w:id="50"/>
      <w:bookmarkEnd w:id="51"/>
      <w:bookmarkEnd w:id="52"/>
    </w:p>
    <w:p w14:paraId="31E93E6B">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3" w:name="_Toc15123"/>
      <w:r>
        <w:rPr>
          <w:rFonts w:hint="eastAsia" w:ascii="宋体" w:hAnsi="宋体" w:eastAsia="宋体" w:cs="宋体"/>
          <w:b/>
          <w:bCs/>
          <w:snapToGrid w:val="0"/>
          <w:color w:val="auto"/>
          <w:kern w:val="0"/>
          <w:sz w:val="24"/>
          <w:szCs w:val="24"/>
          <w:highlight w:val="none"/>
        </w:rPr>
        <w:t>5.1开标时间和地点</w:t>
      </w:r>
      <w:bookmarkEnd w:id="53"/>
    </w:p>
    <w:p w14:paraId="4E41861C">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5.1.1本项目按照投标人须知前附表规定的时间和地点公开举行开标会议，并邀请所有投标人法定代表人或其委托代理人（简称投标人代表，下同）参加开标会议。</w:t>
      </w:r>
    </w:p>
    <w:p w14:paraId="1530772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5.2开标应携带的资料</w:t>
      </w:r>
    </w:p>
    <w:p w14:paraId="13E2998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5.2.1投标人代表参加开标时，应携带投标人须知前附表规定的资料。</w:t>
      </w:r>
    </w:p>
    <w:p w14:paraId="5D60E4AA">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5.3开标顺序</w:t>
      </w:r>
    </w:p>
    <w:p w14:paraId="027CDB35">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5.3.1</w:t>
      </w:r>
      <w:r>
        <w:rPr>
          <w:rFonts w:hint="eastAsia" w:ascii="宋体" w:hAnsi="宋体" w:eastAsia="宋体" w:cs="宋体"/>
          <w:color w:val="auto"/>
          <w:kern w:val="0"/>
          <w:sz w:val="24"/>
          <w:szCs w:val="24"/>
          <w:highlight w:val="none"/>
        </w:rPr>
        <w:t>开标顺序依据</w:t>
      </w:r>
      <w:r>
        <w:rPr>
          <w:rFonts w:hint="eastAsia" w:ascii="宋体" w:hAnsi="宋体" w:eastAsia="宋体" w:cs="宋体"/>
          <w:snapToGrid w:val="0"/>
          <w:color w:val="auto"/>
          <w:kern w:val="0"/>
          <w:sz w:val="24"/>
          <w:szCs w:val="24"/>
          <w:highlight w:val="none"/>
        </w:rPr>
        <w:t>投标人须知前附表的规定</w:t>
      </w:r>
      <w:r>
        <w:rPr>
          <w:rFonts w:hint="eastAsia" w:ascii="宋体" w:hAnsi="宋体" w:eastAsia="宋体" w:cs="宋体"/>
          <w:color w:val="auto"/>
          <w:kern w:val="0"/>
          <w:sz w:val="24"/>
          <w:szCs w:val="24"/>
          <w:highlight w:val="none"/>
        </w:rPr>
        <w:t>。</w:t>
      </w:r>
    </w:p>
    <w:p w14:paraId="7C80BB5C">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5.4开标程序</w:t>
      </w:r>
    </w:p>
    <w:p w14:paraId="2831B858">
      <w:pPr>
        <w:adjustRightInd w:val="0"/>
        <w:snapToGrid w:val="0"/>
        <w:spacing w:line="360" w:lineRule="auto"/>
        <w:ind w:firstLine="590" w:firstLineChars="245"/>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5.4.1开标由招标人（或招标代理）主持，按下列程序进行开标：</w:t>
      </w:r>
    </w:p>
    <w:p w14:paraId="6E010B57">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（1）宣布开标纪律；</w:t>
      </w:r>
    </w:p>
    <w:p w14:paraId="5A94BD34">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（2）公布在投标截止时间前递交投标文件的投标人家数及名称；</w:t>
      </w:r>
    </w:p>
    <w:p w14:paraId="6DBFEC23">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（3）宣布：开标人、唱标人、记录人、监标人等有关工作人员；</w:t>
      </w:r>
    </w:p>
    <w:p w14:paraId="1931CBAB">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（4）监标人对各投标人法定代表人（或其委托代理人）身份证明进行核验；</w:t>
      </w:r>
    </w:p>
    <w:p w14:paraId="071871EC">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（5）投标人代表或者其集体推选的代表检查投标文件的密封情况；</w:t>
      </w:r>
    </w:p>
    <w:p w14:paraId="0959E08C">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（6）按照投标人须知第5.3.1规定的开标顺序当众开启投标文件，清点投标文件正、副本数量，公布投标函内容（投标人全称、报价、服务期等其他内容），并记录在案；</w:t>
      </w:r>
    </w:p>
    <w:p w14:paraId="535E8E3E">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（7）投标人代表、唱标人、监标人、记录人等有关人员在开标记录上签字确认；</w:t>
      </w:r>
    </w:p>
    <w:p w14:paraId="60E996E7">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（8）开标结束。</w:t>
      </w:r>
    </w:p>
    <w:p w14:paraId="293E7AD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5.4.2投标人代表如发现唱标内容或记录结果与投标文件不一致的，应在开标现场当即提出予以纠正。</w:t>
      </w:r>
    </w:p>
    <w:p w14:paraId="1B6D538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5.4.3投标人未参加开标或参加开标但</w:t>
      </w:r>
      <w:r>
        <w:rPr>
          <w:rFonts w:hint="eastAsia" w:ascii="宋体" w:hAnsi="宋体" w:eastAsia="宋体" w:cs="宋体"/>
          <w:snapToGrid w:val="0"/>
          <w:color w:val="auto"/>
          <w:kern w:val="0"/>
          <w:sz w:val="24"/>
          <w:szCs w:val="24"/>
          <w:highlight w:val="none"/>
          <w:lang w:val="zh-CN"/>
        </w:rPr>
        <w:t>未在开标记录上签字的，</w:t>
      </w:r>
      <w:r>
        <w:rPr>
          <w:rFonts w:hint="eastAsia" w:ascii="宋体" w:hAnsi="宋体" w:eastAsia="宋体" w:cs="宋体"/>
          <w:snapToGrid w:val="0"/>
          <w:color w:val="auto"/>
          <w:kern w:val="0"/>
          <w:sz w:val="24"/>
          <w:szCs w:val="24"/>
          <w:highlight w:val="none"/>
        </w:rPr>
        <w:t>均视同认可开标结果。</w:t>
      </w:r>
    </w:p>
    <w:p w14:paraId="3426570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5.4.4投标人在投标截止时间前提交投标文件撤回函的，招标人应在开标时宣读撤回函，并将其投标文件及其投标保证金及时退还投标人。</w:t>
      </w:r>
    </w:p>
    <w:p w14:paraId="1EA056D9">
      <w:pPr>
        <w:adjustRightInd w:val="0"/>
        <w:snapToGrid w:val="0"/>
        <w:spacing w:line="360" w:lineRule="auto"/>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5.5投标文件拒收、退还</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color w:val="auto"/>
          <w:kern w:val="21"/>
          <w:sz w:val="24"/>
          <w:szCs w:val="24"/>
          <w:highlight w:val="none"/>
        </w:rPr>
        <w:t>见</w:t>
      </w:r>
      <w:r>
        <w:rPr>
          <w:rFonts w:hint="eastAsia" w:ascii="宋体" w:hAnsi="宋体" w:eastAsia="宋体" w:cs="宋体"/>
          <w:b/>
          <w:bCs/>
          <w:color w:val="auto"/>
          <w:kern w:val="21"/>
          <w:sz w:val="24"/>
          <w:szCs w:val="24"/>
          <w:highlight w:val="none"/>
          <w:lang w:val="en-US" w:eastAsia="zh-CN"/>
        </w:rPr>
        <w:t>投标人</w:t>
      </w:r>
      <w:r>
        <w:rPr>
          <w:rFonts w:hint="eastAsia" w:ascii="宋体" w:hAnsi="宋体" w:eastAsia="宋体" w:cs="宋体"/>
          <w:b/>
          <w:bCs/>
          <w:color w:val="auto"/>
          <w:kern w:val="21"/>
          <w:sz w:val="24"/>
          <w:szCs w:val="24"/>
          <w:highlight w:val="none"/>
        </w:rPr>
        <w:t>须知前附表。</w:t>
      </w:r>
    </w:p>
    <w:p w14:paraId="7AF4BA76">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54" w:name="_Toc7908"/>
      <w:bookmarkStart w:id="55" w:name="_Toc83886020"/>
      <w:bookmarkStart w:id="56" w:name="_Toc31578"/>
      <w:bookmarkStart w:id="57" w:name="_Toc3856"/>
      <w:r>
        <w:rPr>
          <w:rFonts w:hint="eastAsia" w:ascii="宋体" w:hAnsi="宋体" w:eastAsia="宋体" w:cs="宋体"/>
          <w:b/>
          <w:snapToGrid w:val="0"/>
          <w:color w:val="auto"/>
          <w:kern w:val="0"/>
          <w:sz w:val="24"/>
          <w:szCs w:val="24"/>
          <w:highlight w:val="none"/>
        </w:rPr>
        <w:t>6、评标</w:t>
      </w:r>
      <w:bookmarkEnd w:id="54"/>
      <w:bookmarkEnd w:id="55"/>
      <w:bookmarkEnd w:id="56"/>
      <w:bookmarkEnd w:id="57"/>
    </w:p>
    <w:p w14:paraId="16CAFC16">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8" w:name="_Toc10279"/>
      <w:r>
        <w:rPr>
          <w:rFonts w:hint="eastAsia" w:ascii="宋体" w:hAnsi="宋体" w:eastAsia="宋体" w:cs="宋体"/>
          <w:b/>
          <w:bCs/>
          <w:snapToGrid w:val="0"/>
          <w:color w:val="auto"/>
          <w:kern w:val="0"/>
          <w:sz w:val="24"/>
          <w:szCs w:val="24"/>
          <w:highlight w:val="none"/>
        </w:rPr>
        <w:t>6.1评标委员会的组建</w:t>
      </w:r>
    </w:p>
    <w:bookmarkEnd w:id="58"/>
    <w:p w14:paraId="4E8D22A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6.1.1评标小组由招标人依法组建，负责评标活动。</w:t>
      </w:r>
    </w:p>
    <w:p w14:paraId="79DFE19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6.1.2评标委员会组成成员与投标人有下列利害关系之一的，应当回避：</w:t>
      </w:r>
    </w:p>
    <w:p w14:paraId="3167B53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71344C8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6AA345C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6F2FF15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7B650FB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070F12D2">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6.2评标原则</w:t>
      </w:r>
    </w:p>
    <w:p w14:paraId="421B527B">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6.2.1评标活动遵循公平、公正、科学和择优的原则。</w:t>
      </w:r>
    </w:p>
    <w:p w14:paraId="53382D75">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6.3评标会议</w:t>
      </w:r>
    </w:p>
    <w:p w14:paraId="71A529C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6.3.1评标委员会原则上要推选一位组长（招标人代表不得担任评标委员会组长），评标委员会组长负责组织评标工作。</w:t>
      </w:r>
    </w:p>
    <w:p w14:paraId="55AF899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0C5A818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6.3.3评标完成后，评标委员会应当向招标人提交书面评标报告和中标候选人名单。评标委员会推荐中标候选人的人数见投标人须知前附表。</w:t>
      </w:r>
    </w:p>
    <w:p w14:paraId="2717528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6.3.4评标委员会对投标文件作出的评审结论，应当符合有关法律、法规和招标文件的规定。评标委员会成员对所提出的评审意见承担个人责任。</w:t>
      </w:r>
    </w:p>
    <w:p w14:paraId="1B115FEA">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6.4评标过程的保密</w:t>
      </w:r>
    </w:p>
    <w:p w14:paraId="3D05AB5C">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6CCE8E2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6.4.2评标工作现场进行全过程录音录像以存档备查。</w:t>
      </w:r>
    </w:p>
    <w:p w14:paraId="6E5C5F5C">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6.4.3评标过程中招标代理机构与评标委员会各司其责。</w:t>
      </w:r>
    </w:p>
    <w:p w14:paraId="24903691">
      <w:pPr>
        <w:snapToGrid w:val="0"/>
        <w:spacing w:line="360" w:lineRule="auto"/>
        <w:jc w:val="center"/>
        <w:outlineLvl w:val="1"/>
        <w:rPr>
          <w:rFonts w:hint="eastAsia" w:ascii="宋体" w:hAnsi="宋体" w:eastAsia="宋体" w:cs="宋体"/>
          <w:bCs/>
          <w:snapToGrid w:val="0"/>
          <w:color w:val="auto"/>
          <w:kern w:val="0"/>
          <w:sz w:val="24"/>
          <w:szCs w:val="24"/>
          <w:highlight w:val="none"/>
        </w:rPr>
      </w:pPr>
      <w:bookmarkStart w:id="59" w:name="_Toc24237"/>
      <w:bookmarkStart w:id="60" w:name="_Toc32437"/>
      <w:bookmarkStart w:id="61" w:name="_Toc83886021"/>
      <w:bookmarkStart w:id="62" w:name="_Toc911"/>
      <w:r>
        <w:rPr>
          <w:rFonts w:hint="eastAsia" w:ascii="宋体" w:hAnsi="宋体" w:eastAsia="宋体" w:cs="宋体"/>
          <w:b/>
          <w:snapToGrid w:val="0"/>
          <w:color w:val="auto"/>
          <w:kern w:val="0"/>
          <w:sz w:val="24"/>
          <w:szCs w:val="24"/>
          <w:highlight w:val="none"/>
        </w:rPr>
        <w:t>7、</w:t>
      </w:r>
      <w:bookmarkEnd w:id="59"/>
      <w:r>
        <w:rPr>
          <w:rFonts w:hint="eastAsia" w:ascii="宋体" w:hAnsi="宋体" w:eastAsia="宋体" w:cs="宋体"/>
          <w:b/>
          <w:snapToGrid w:val="0"/>
          <w:color w:val="auto"/>
          <w:kern w:val="0"/>
          <w:sz w:val="24"/>
          <w:szCs w:val="24"/>
          <w:highlight w:val="none"/>
        </w:rPr>
        <w:t>定标</w:t>
      </w:r>
      <w:bookmarkEnd w:id="60"/>
      <w:bookmarkEnd w:id="61"/>
      <w:bookmarkEnd w:id="62"/>
    </w:p>
    <w:p w14:paraId="3EB91C0F">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63" w:name="_Toc18809"/>
      <w:r>
        <w:rPr>
          <w:rFonts w:hint="eastAsia" w:ascii="宋体" w:hAnsi="宋体" w:eastAsia="宋体" w:cs="宋体"/>
          <w:b/>
          <w:bCs/>
          <w:snapToGrid w:val="0"/>
          <w:color w:val="auto"/>
          <w:kern w:val="0"/>
          <w:sz w:val="24"/>
          <w:szCs w:val="24"/>
          <w:highlight w:val="none"/>
        </w:rPr>
        <w:t>7.1中标候选人公示</w:t>
      </w:r>
    </w:p>
    <w:p w14:paraId="6A0D126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365FD338">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64" w:name="_bookmark61"/>
      <w:bookmarkEnd w:id="64"/>
      <w:r>
        <w:rPr>
          <w:rFonts w:hint="eastAsia" w:ascii="宋体" w:hAnsi="宋体" w:eastAsia="宋体" w:cs="宋体"/>
          <w:b/>
          <w:bCs/>
          <w:snapToGrid w:val="0"/>
          <w:color w:val="auto"/>
          <w:kern w:val="0"/>
          <w:sz w:val="24"/>
          <w:szCs w:val="24"/>
          <w:highlight w:val="none"/>
        </w:rPr>
        <w:t>7.2定标方式</w:t>
      </w:r>
    </w:p>
    <w:p w14:paraId="128DDDE1">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snapToGrid w:val="0"/>
          <w:color w:val="auto"/>
          <w:kern w:val="0"/>
          <w:sz w:val="24"/>
          <w:szCs w:val="24"/>
          <w:highlight w:val="none"/>
        </w:rPr>
        <w:t>7.2.1</w:t>
      </w:r>
      <w:r>
        <w:rPr>
          <w:rFonts w:hint="eastAsia" w:ascii="宋体" w:hAnsi="宋体" w:eastAsia="宋体" w:cs="宋体"/>
          <w:color w:val="auto"/>
          <w:kern w:val="0"/>
          <w:sz w:val="24"/>
          <w:szCs w:val="24"/>
          <w:highlight w:val="none"/>
          <w:lang w:val="zh-CN"/>
        </w:rPr>
        <w:t>定标由招标人负责，原则上应坚持评审小组推荐的第一中标候选人为中标人。</w:t>
      </w:r>
    </w:p>
    <w:p w14:paraId="11D488FB">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但如出现下列情形之一的，招标人将重新组织招标或按中标候选人名单排序依次确定其他中标候选人为中标人，也可以重新招标：</w:t>
      </w:r>
    </w:p>
    <w:p w14:paraId="5C0B0CA8">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（1）排名第一的中标候选人放弃中标、因不可抗力不能履行合同、不按照招标文件要求提交履约保证金的、拒绝签订合同的；</w:t>
      </w:r>
    </w:p>
    <w:p w14:paraId="78442125">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（2）质疑成立的、被查实存在影响中标结果的违法行为等情形，不符合中标条件的。</w:t>
      </w:r>
    </w:p>
    <w:p w14:paraId="69F4FCD3">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0C87B62B">
      <w:pPr>
        <w:pStyle w:val="8"/>
        <w:rPr>
          <w:rFonts w:hint="eastAsia" w:ascii="宋体" w:hAnsi="宋体" w:eastAsia="宋体" w:cs="宋体"/>
          <w:b/>
          <w:bCs/>
          <w:snapToGrid w:val="0"/>
          <w:color w:val="auto"/>
          <w:kern w:val="0"/>
          <w:sz w:val="24"/>
          <w:szCs w:val="24"/>
          <w:highlight w:val="none"/>
        </w:rPr>
      </w:pPr>
      <w:bookmarkStart w:id="65" w:name="_bookmark64"/>
      <w:bookmarkEnd w:id="65"/>
      <w:bookmarkStart w:id="66" w:name="_bookmark63"/>
      <w:bookmarkEnd w:id="66"/>
      <w:r>
        <w:rPr>
          <w:rFonts w:hint="eastAsia" w:ascii="宋体" w:hAnsi="宋体" w:eastAsia="宋体" w:cs="宋体"/>
          <w:b/>
          <w:bCs/>
          <w:snapToGrid w:val="0"/>
          <w:color w:val="auto"/>
          <w:kern w:val="0"/>
          <w:sz w:val="24"/>
          <w:szCs w:val="24"/>
          <w:highlight w:val="none"/>
        </w:rPr>
        <w:t>7.3中标通知</w:t>
      </w:r>
    </w:p>
    <w:p w14:paraId="135344A7">
      <w:pPr>
        <w:pStyle w:val="8"/>
        <w:adjustRightInd w:val="0"/>
        <w:snapToGrid w:val="0"/>
        <w:spacing w:after="0" w:line="360" w:lineRule="auto"/>
        <w:ind w:firstLine="480" w:firstLineChars="20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7.3.1中标候选人公示期满，经招标人决标批准，</w:t>
      </w:r>
      <w:r>
        <w:rPr>
          <w:rFonts w:hint="eastAsia" w:ascii="宋体" w:hAnsi="宋体" w:eastAsia="宋体" w:cs="宋体"/>
          <w:b/>
          <w:snapToGrid w:val="0"/>
          <w:color w:val="auto"/>
          <w:kern w:val="0"/>
          <w:sz w:val="24"/>
          <w:szCs w:val="24"/>
          <w:highlight w:val="none"/>
        </w:rPr>
        <w:t>确定中标人</w:t>
      </w:r>
      <w:r>
        <w:rPr>
          <w:rFonts w:hint="eastAsia" w:ascii="宋体" w:hAnsi="宋体" w:eastAsia="宋体" w:cs="宋体"/>
          <w:snapToGrid w:val="0"/>
          <w:color w:val="auto"/>
          <w:kern w:val="0"/>
          <w:sz w:val="24"/>
          <w:szCs w:val="24"/>
          <w:highlight w:val="none"/>
        </w:rPr>
        <w:t>，在本章第4.10.1项规定的投标有效期内，招标人以书面形式向中标人发出中标通知书。</w:t>
      </w:r>
    </w:p>
    <w:p w14:paraId="3F034E09">
      <w:pPr>
        <w:snapToGrid w:val="0"/>
        <w:spacing w:line="360" w:lineRule="auto"/>
        <w:jc w:val="center"/>
        <w:outlineLvl w:val="1"/>
        <w:rPr>
          <w:rFonts w:hint="eastAsia" w:ascii="宋体" w:hAnsi="宋体" w:eastAsia="宋体" w:cs="宋体"/>
          <w:bCs/>
          <w:snapToGrid w:val="0"/>
          <w:color w:val="auto"/>
          <w:kern w:val="0"/>
          <w:sz w:val="24"/>
          <w:szCs w:val="24"/>
          <w:highlight w:val="none"/>
        </w:rPr>
      </w:pPr>
      <w:bookmarkStart w:id="67" w:name="_bookmark66"/>
      <w:bookmarkEnd w:id="67"/>
      <w:bookmarkStart w:id="68" w:name="_Toc19383"/>
      <w:bookmarkStart w:id="69" w:name="_Toc6008"/>
      <w:bookmarkStart w:id="70" w:name="_Toc83886022"/>
      <w:r>
        <w:rPr>
          <w:rFonts w:hint="eastAsia" w:ascii="宋体" w:hAnsi="宋体" w:eastAsia="宋体" w:cs="宋体"/>
          <w:b/>
          <w:snapToGrid w:val="0"/>
          <w:color w:val="auto"/>
          <w:kern w:val="0"/>
          <w:sz w:val="24"/>
          <w:szCs w:val="24"/>
          <w:highlight w:val="none"/>
        </w:rPr>
        <w:t>8、合同的授予</w:t>
      </w:r>
      <w:bookmarkEnd w:id="68"/>
      <w:bookmarkEnd w:id="69"/>
      <w:bookmarkEnd w:id="70"/>
    </w:p>
    <w:p w14:paraId="546B763D">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8.1签订合同</w:t>
      </w:r>
    </w:p>
    <w:p w14:paraId="3E339EE0">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给招标人造成的损失超过投标保证金数额的，中标人还应当对超过部分予以赔偿。</w:t>
      </w:r>
    </w:p>
    <w:p w14:paraId="0F30F3E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5EDBD35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8.1.3联合体中标的，联合体各方应当共同与招标人签订合同，就中标项目向招标人承担连带责任。</w:t>
      </w:r>
    </w:p>
    <w:p w14:paraId="323733CF">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8.2履约保证金</w:t>
      </w:r>
    </w:p>
    <w:p w14:paraId="4FC5FFF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03D9FF47">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3D66B52A">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71" w:name="_Toc11806"/>
      <w:bookmarkStart w:id="72" w:name="_Toc219809801"/>
      <w:bookmarkStart w:id="73" w:name="_Toc220123241"/>
      <w:bookmarkStart w:id="74" w:name="_Toc18704"/>
      <w:bookmarkStart w:id="75" w:name="_Toc83886023"/>
      <w:bookmarkStart w:id="76" w:name="_Toc12528"/>
      <w:r>
        <w:rPr>
          <w:rFonts w:hint="eastAsia" w:ascii="宋体" w:hAnsi="宋体" w:eastAsia="宋体" w:cs="宋体"/>
          <w:b/>
          <w:snapToGrid w:val="0"/>
          <w:color w:val="auto"/>
          <w:kern w:val="0"/>
          <w:sz w:val="24"/>
          <w:szCs w:val="24"/>
          <w:highlight w:val="none"/>
        </w:rPr>
        <w:t>9、</w:t>
      </w:r>
      <w:bookmarkEnd w:id="71"/>
      <w:bookmarkEnd w:id="72"/>
      <w:bookmarkEnd w:id="73"/>
      <w:r>
        <w:rPr>
          <w:rFonts w:hint="eastAsia" w:ascii="宋体" w:hAnsi="宋体" w:eastAsia="宋体" w:cs="宋体"/>
          <w:b/>
          <w:snapToGrid w:val="0"/>
          <w:color w:val="auto"/>
          <w:kern w:val="0"/>
          <w:sz w:val="24"/>
          <w:szCs w:val="24"/>
          <w:highlight w:val="none"/>
        </w:rPr>
        <w:t>招标失败</w:t>
      </w:r>
      <w:bookmarkEnd w:id="74"/>
      <w:bookmarkEnd w:id="75"/>
      <w:bookmarkEnd w:id="76"/>
      <w:bookmarkStart w:id="77" w:name="_Toc15553"/>
      <w:bookmarkStart w:id="78" w:name="_Toc219809802"/>
      <w:bookmarkStart w:id="79" w:name="_Toc220123242"/>
    </w:p>
    <w:p w14:paraId="4A77B9A0">
      <w:pPr>
        <w:snapToGrid w:val="0"/>
        <w:spacing w:line="360" w:lineRule="auto"/>
        <w:rPr>
          <w:rFonts w:hint="eastAsia" w:ascii="宋体" w:hAnsi="宋体" w:eastAsia="宋体" w:cs="宋体"/>
          <w:b/>
          <w:bCs/>
          <w:snapToGrid w:val="0"/>
          <w:color w:val="auto"/>
          <w:kern w:val="0"/>
          <w:sz w:val="24"/>
          <w:szCs w:val="24"/>
          <w:highlight w:val="none"/>
        </w:rPr>
      </w:pPr>
      <w:bookmarkStart w:id="80" w:name="_Toc21538"/>
      <w:r>
        <w:rPr>
          <w:rFonts w:hint="eastAsia" w:ascii="宋体" w:hAnsi="宋体" w:eastAsia="宋体" w:cs="宋体"/>
          <w:b/>
          <w:bCs/>
          <w:snapToGrid w:val="0"/>
          <w:color w:val="auto"/>
          <w:kern w:val="0"/>
          <w:sz w:val="24"/>
          <w:szCs w:val="24"/>
          <w:highlight w:val="none"/>
        </w:rPr>
        <w:t>9.1 招标</w:t>
      </w:r>
      <w:bookmarkEnd w:id="77"/>
      <w:bookmarkEnd w:id="78"/>
      <w:bookmarkEnd w:id="79"/>
      <w:r>
        <w:rPr>
          <w:rFonts w:hint="eastAsia" w:ascii="宋体" w:hAnsi="宋体" w:eastAsia="宋体" w:cs="宋体"/>
          <w:b/>
          <w:bCs/>
          <w:snapToGrid w:val="0"/>
          <w:color w:val="auto"/>
          <w:kern w:val="0"/>
          <w:sz w:val="24"/>
          <w:szCs w:val="24"/>
          <w:highlight w:val="none"/>
        </w:rPr>
        <w:t>失败</w:t>
      </w:r>
      <w:bookmarkEnd w:id="80"/>
    </w:p>
    <w:p w14:paraId="39D30D4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9.1.1有下列情形之一的，本次项目招标失败：</w:t>
      </w:r>
    </w:p>
    <w:p w14:paraId="2F35B0C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（1）招标文件的内容不符合法律法规的规定或存在重大缺陷影响潜在投标人投标的；</w:t>
      </w:r>
    </w:p>
    <w:p w14:paraId="75DB382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（2）至投标截止时间，投标人数不足3家的；</w:t>
      </w:r>
    </w:p>
    <w:p w14:paraId="5FF43C2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（3）经评标委员会评审后否决所有投标的；</w:t>
      </w:r>
    </w:p>
    <w:p w14:paraId="33E5641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（4）中标候选人放弃中标或不符合中标条件，招标人未选择其余中标候选人的。</w:t>
      </w:r>
    </w:p>
    <w:bookmarkEnd w:id="63"/>
    <w:p w14:paraId="6E62CC92">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81" w:name="_bookmark65"/>
      <w:bookmarkEnd w:id="81"/>
      <w:bookmarkStart w:id="82" w:name="_bookmark62"/>
      <w:bookmarkEnd w:id="82"/>
      <w:bookmarkStart w:id="83" w:name="_Toc2986"/>
      <w:bookmarkStart w:id="84" w:name="_Toc220123244"/>
      <w:bookmarkStart w:id="85" w:name="_Toc215941254"/>
      <w:bookmarkStart w:id="86" w:name="_Toc219809804"/>
      <w:bookmarkStart w:id="87" w:name="_Toc15191"/>
      <w:bookmarkStart w:id="88" w:name="_Toc83886024"/>
      <w:bookmarkStart w:id="89" w:name="_Toc3631"/>
      <w:r>
        <w:rPr>
          <w:rFonts w:hint="eastAsia" w:ascii="宋体" w:hAnsi="宋体" w:eastAsia="宋体" w:cs="宋体"/>
          <w:b/>
          <w:snapToGrid w:val="0"/>
          <w:color w:val="auto"/>
          <w:kern w:val="0"/>
          <w:sz w:val="24"/>
          <w:szCs w:val="24"/>
          <w:highlight w:val="none"/>
        </w:rPr>
        <w:t>10、异议、投</w:t>
      </w:r>
      <w:bookmarkEnd w:id="83"/>
      <w:bookmarkEnd w:id="84"/>
      <w:bookmarkEnd w:id="85"/>
      <w:bookmarkEnd w:id="86"/>
      <w:r>
        <w:rPr>
          <w:rFonts w:hint="eastAsia" w:ascii="宋体" w:hAnsi="宋体" w:eastAsia="宋体" w:cs="宋体"/>
          <w:b/>
          <w:snapToGrid w:val="0"/>
          <w:color w:val="auto"/>
          <w:kern w:val="0"/>
          <w:sz w:val="24"/>
          <w:szCs w:val="24"/>
          <w:highlight w:val="none"/>
        </w:rPr>
        <w:t>诉、监督</w:t>
      </w:r>
      <w:bookmarkEnd w:id="87"/>
      <w:bookmarkEnd w:id="88"/>
      <w:bookmarkEnd w:id="89"/>
    </w:p>
    <w:p w14:paraId="39185370">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10.1异议</w:t>
      </w:r>
    </w:p>
    <w:p w14:paraId="4F18D46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5E6F6C8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10.1.2投标人对开标有异议的，应当在开标会议结束前提出，招标人当场作出答复，并制作记录。</w:t>
      </w:r>
    </w:p>
    <w:p w14:paraId="67D8BB1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05E27E2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10.1.4异议书须包括以下内容（加盖单位公章）：</w:t>
      </w:r>
    </w:p>
    <w:p w14:paraId="05ACBF78">
      <w:pPr>
        <w:pStyle w:val="46"/>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异议人的名称、地址、邮政编码、联系人、联系电话，以及被异议人名称及联系方式；</w:t>
      </w:r>
    </w:p>
    <w:p w14:paraId="0B772BF3">
      <w:pPr>
        <w:pStyle w:val="46"/>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被异议采购项目名称、编号及采购内容；</w:t>
      </w:r>
    </w:p>
    <w:p w14:paraId="79EC4C56">
      <w:pPr>
        <w:pStyle w:val="46"/>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具体的异议事项及事实依据；</w:t>
      </w:r>
    </w:p>
    <w:p w14:paraId="33B44C4D">
      <w:pPr>
        <w:pStyle w:val="46"/>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认为自己合法权益受到损害或可能受到损害的相关证据材料；</w:t>
      </w:r>
    </w:p>
    <w:p w14:paraId="4CF94A89">
      <w:pPr>
        <w:pStyle w:val="46"/>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提出异议的日期。</w:t>
      </w:r>
    </w:p>
    <w:p w14:paraId="6D0835B4">
      <w:pPr>
        <w:pStyle w:val="46"/>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4DCB130B">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10.2投诉</w:t>
      </w:r>
    </w:p>
    <w:p w14:paraId="3FBB664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color w:val="auto"/>
          <w:kern w:val="0"/>
          <w:sz w:val="24"/>
          <w:szCs w:val="24"/>
          <w:highlight w:val="none"/>
          <w:lang w:val="en-US" w:eastAsia="zh-CN"/>
        </w:rPr>
        <w:t>人</w:t>
      </w:r>
      <w:r>
        <w:rPr>
          <w:rFonts w:hint="eastAsia" w:ascii="宋体" w:hAnsi="宋体" w:eastAsia="宋体" w:cs="宋体"/>
          <w:snapToGrid w:val="0"/>
          <w:color w:val="auto"/>
          <w:kern w:val="0"/>
          <w:sz w:val="24"/>
          <w:szCs w:val="24"/>
          <w:highlight w:val="none"/>
        </w:rPr>
        <w:t>投诉。投诉应当有明确的请求和必要的证明材料。</w:t>
      </w:r>
    </w:p>
    <w:p w14:paraId="2AF7AC1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70EB0BF8">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10.2.3因有异议，招标人具有最终解释权，并对由此而引起的对投标人的影响不承担责任，也不解释原因。</w:t>
      </w:r>
    </w:p>
    <w:p w14:paraId="58239879">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10.3纪律和监督</w:t>
      </w:r>
    </w:p>
    <w:p w14:paraId="53458825">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0F4C62A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bookmarkStart w:id="90" w:name="_bookmark69"/>
      <w:bookmarkEnd w:id="90"/>
      <w:r>
        <w:rPr>
          <w:rFonts w:hint="eastAsia" w:ascii="宋体" w:hAnsi="宋体" w:eastAsia="宋体" w:cs="宋体"/>
          <w:snapToGrid w:val="0"/>
          <w:color w:val="auto"/>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1" w:name="_bookmark70"/>
      <w:bookmarkEnd w:id="91"/>
    </w:p>
    <w:p w14:paraId="2590DBB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64B1F04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bookmarkStart w:id="92" w:name="_bookmark71"/>
      <w:bookmarkEnd w:id="92"/>
      <w:r>
        <w:rPr>
          <w:rFonts w:hint="eastAsia" w:ascii="宋体" w:hAnsi="宋体" w:eastAsia="宋体" w:cs="宋体"/>
          <w:snapToGrid w:val="0"/>
          <w:color w:val="auto"/>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91F9309">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93" w:name="_bookmark73"/>
      <w:bookmarkEnd w:id="93"/>
      <w:bookmarkStart w:id="94" w:name="_bookmark74"/>
      <w:bookmarkEnd w:id="94"/>
      <w:bookmarkStart w:id="95" w:name="_bookmark72"/>
      <w:bookmarkEnd w:id="95"/>
      <w:bookmarkStart w:id="96" w:name="_Toc83886025"/>
      <w:bookmarkStart w:id="97" w:name="_Toc7994"/>
      <w:bookmarkStart w:id="98" w:name="_Toc24016"/>
      <w:r>
        <w:rPr>
          <w:rFonts w:hint="eastAsia" w:ascii="宋体" w:hAnsi="宋体" w:eastAsia="宋体" w:cs="宋体"/>
          <w:b/>
          <w:snapToGrid w:val="0"/>
          <w:color w:val="auto"/>
          <w:kern w:val="0"/>
          <w:sz w:val="24"/>
          <w:szCs w:val="24"/>
          <w:highlight w:val="none"/>
        </w:rPr>
        <w:t>11、需要补充的其他内容</w:t>
      </w:r>
      <w:bookmarkEnd w:id="96"/>
      <w:bookmarkEnd w:id="97"/>
      <w:bookmarkEnd w:id="98"/>
    </w:p>
    <w:p w14:paraId="5476DC5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11.1需要补充的其他内容</w:t>
      </w:r>
    </w:p>
    <w:p w14:paraId="719BE8A1">
      <w:pPr>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11.1.1需要补充的其他内容：见投标人须知前附表。</w:t>
      </w:r>
    </w:p>
    <w:p w14:paraId="570FBA4F">
      <w:pPr>
        <w:pStyle w:val="3"/>
        <w:numPr>
          <w:ilvl w:val="0"/>
          <w:numId w:val="2"/>
        </w:numPr>
        <w:tabs>
          <w:tab w:val="left" w:pos="2544"/>
          <w:tab w:val="center" w:pos="4320"/>
        </w:tabs>
        <w:adjustRightInd w:val="0"/>
        <w:snapToGrid w:val="0"/>
        <w:spacing w:before="0" w:after="0" w:line="360" w:lineRule="auto"/>
        <w:jc w:val="center"/>
        <w:rPr>
          <w:rFonts w:hint="eastAsia" w:ascii="宋体" w:hAnsi="宋体" w:eastAsia="宋体" w:cs="宋体"/>
          <w:b w:val="0"/>
          <w:bCs/>
          <w:color w:val="auto"/>
          <w:sz w:val="32"/>
          <w:highlight w:val="none"/>
        </w:rPr>
      </w:pPr>
      <w:r>
        <w:rPr>
          <w:rFonts w:hint="eastAsia" w:ascii="宋体" w:hAnsi="宋体" w:eastAsia="宋体" w:cs="宋体"/>
          <w:b w:val="0"/>
          <w:bCs/>
          <w:color w:val="auto"/>
          <w:sz w:val="32"/>
          <w:highlight w:val="none"/>
        </w:rPr>
        <w:br w:type="page"/>
      </w:r>
      <w:r>
        <w:rPr>
          <w:rFonts w:hint="eastAsia" w:ascii="宋体" w:hAnsi="宋体" w:eastAsia="宋体" w:cs="宋体"/>
          <w:b w:val="0"/>
          <w:bCs/>
          <w:color w:val="auto"/>
          <w:sz w:val="32"/>
          <w:highlight w:val="none"/>
        </w:rPr>
        <w:t xml:space="preserve"> </w:t>
      </w:r>
      <w:bookmarkStart w:id="99" w:name="_Toc31617"/>
      <w:bookmarkStart w:id="100" w:name="_Toc5721"/>
      <w:r>
        <w:rPr>
          <w:rFonts w:hint="eastAsia" w:ascii="宋体" w:hAnsi="宋体" w:eastAsia="宋体" w:cs="宋体"/>
          <w:b w:val="0"/>
          <w:bCs/>
          <w:color w:val="auto"/>
          <w:sz w:val="32"/>
          <w:highlight w:val="none"/>
        </w:rPr>
        <w:t>用户需求</w:t>
      </w:r>
      <w:bookmarkEnd w:id="99"/>
      <w:r>
        <w:rPr>
          <w:rFonts w:hint="eastAsia" w:ascii="宋体" w:hAnsi="宋体" w:eastAsia="宋体" w:cs="宋体"/>
          <w:b w:val="0"/>
          <w:bCs/>
          <w:color w:val="auto"/>
          <w:sz w:val="32"/>
          <w:highlight w:val="none"/>
          <w:lang w:val="en-US" w:eastAsia="zh-CN"/>
        </w:rPr>
        <w:t>及技术要求</w:t>
      </w:r>
      <w:bookmarkEnd w:id="100"/>
    </w:p>
    <w:p w14:paraId="429D271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1"/>
        <w:rPr>
          <w:rFonts w:hint="eastAsia" w:ascii="宋体" w:hAnsi="宋体" w:eastAsia="宋体" w:cs="宋体"/>
          <w:b/>
          <w:bCs/>
          <w:color w:val="auto"/>
          <w:sz w:val="24"/>
          <w:szCs w:val="24"/>
          <w:highlight w:val="none"/>
          <w:lang w:val="en-US" w:eastAsia="zh-CN"/>
        </w:rPr>
      </w:pPr>
      <w:bookmarkStart w:id="101" w:name="_Toc4053"/>
      <w:r>
        <w:rPr>
          <w:rFonts w:hint="eastAsia" w:ascii="宋体" w:hAnsi="宋体" w:eastAsia="宋体" w:cs="宋体"/>
          <w:b/>
          <w:bCs/>
          <w:color w:val="auto"/>
          <w:sz w:val="24"/>
          <w:szCs w:val="24"/>
          <w:highlight w:val="none"/>
          <w:lang w:val="en-US" w:eastAsia="zh-CN"/>
        </w:rPr>
        <w:t>一、项目概况</w:t>
      </w:r>
      <w:bookmarkEnd w:id="101"/>
    </w:p>
    <w:p w14:paraId="631D5A5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bookmarkStart w:id="102" w:name="_Toc29002"/>
      <w:r>
        <w:rPr>
          <w:rFonts w:hint="eastAsia" w:ascii="宋体" w:hAnsi="宋体" w:eastAsia="宋体" w:cs="宋体"/>
          <w:color w:val="auto"/>
          <w:sz w:val="24"/>
          <w:szCs w:val="24"/>
          <w:highlight w:val="none"/>
          <w:lang w:val="en-US" w:eastAsia="zh-CN"/>
        </w:rPr>
        <w:t>杭州临江环境能源有限公司能源运行中心现有水表采用人工抄表方式，效率和准确性低，存在少抄、错抄、估抄、飞抄、漏抄等情况，未能实现数据实时读取；不能检测和报警异常用水，智能化水平低。现计划对水表进行改造，实现用户水表远程智能抄表、自动计费功能和故障监测功能。</w:t>
      </w:r>
      <w:bookmarkEnd w:id="102"/>
    </w:p>
    <w:p w14:paraId="6B8162A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2"/>
        <w:rPr>
          <w:rFonts w:hint="eastAsia" w:ascii="宋体" w:hAnsi="宋体" w:eastAsia="宋体" w:cs="宋体"/>
          <w:b/>
          <w:bCs/>
          <w:color w:val="auto"/>
          <w:sz w:val="24"/>
          <w:szCs w:val="24"/>
          <w:highlight w:val="none"/>
          <w:lang w:val="en-US" w:eastAsia="zh-CN"/>
        </w:rPr>
      </w:pPr>
      <w:bookmarkStart w:id="103" w:name="_Toc25568"/>
      <w:r>
        <w:rPr>
          <w:rFonts w:hint="eastAsia" w:ascii="宋体" w:hAnsi="宋体" w:eastAsia="宋体" w:cs="宋体"/>
          <w:b/>
          <w:bCs/>
          <w:color w:val="auto"/>
          <w:sz w:val="24"/>
          <w:szCs w:val="24"/>
          <w:highlight w:val="none"/>
          <w:lang w:val="en-US" w:eastAsia="zh-CN"/>
        </w:rPr>
        <w:t>1.改造主要内容</w:t>
      </w:r>
      <w:bookmarkEnd w:id="103"/>
    </w:p>
    <w:p w14:paraId="650C3DB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bookmarkStart w:id="104" w:name="_Toc1321"/>
      <w:r>
        <w:rPr>
          <w:rFonts w:hint="eastAsia" w:ascii="宋体" w:hAnsi="宋体" w:eastAsia="宋体" w:cs="宋体"/>
          <w:color w:val="auto"/>
          <w:sz w:val="24"/>
          <w:szCs w:val="24"/>
          <w:highlight w:val="none"/>
          <w:lang w:val="en-US" w:eastAsia="zh-CN"/>
        </w:rPr>
        <w:t>（1）数据采集：对水表进行更换，进行用水信息数据的自动读取。</w:t>
      </w:r>
      <w:bookmarkEnd w:id="104"/>
    </w:p>
    <w:p w14:paraId="31191B7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bookmarkStart w:id="105" w:name="_Toc15452"/>
      <w:r>
        <w:rPr>
          <w:rFonts w:hint="eastAsia" w:ascii="宋体" w:hAnsi="宋体" w:eastAsia="宋体" w:cs="宋体"/>
          <w:color w:val="auto"/>
          <w:sz w:val="24"/>
          <w:szCs w:val="24"/>
          <w:highlight w:val="none"/>
          <w:lang w:val="en-US" w:eastAsia="zh-CN"/>
        </w:rPr>
        <w:t>（2）数据远传：对所采集到的数据，实时远传至管理处的水量实时监测软件进行数据显示。</w:t>
      </w:r>
      <w:bookmarkEnd w:id="105"/>
    </w:p>
    <w:p w14:paraId="66C0A09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bookmarkStart w:id="106" w:name="_Toc29455"/>
      <w:r>
        <w:rPr>
          <w:rFonts w:hint="eastAsia" w:ascii="宋体" w:hAnsi="宋体" w:eastAsia="宋体" w:cs="宋体"/>
          <w:color w:val="auto"/>
          <w:sz w:val="24"/>
          <w:szCs w:val="24"/>
          <w:highlight w:val="none"/>
          <w:lang w:val="en-US" w:eastAsia="zh-CN"/>
        </w:rPr>
        <w:t>（3）数据的存储分析：能够实现用水信息数据的安全存储功能。通过存储的历史数据，进行深入统计分析。</w:t>
      </w:r>
      <w:bookmarkEnd w:id="106"/>
    </w:p>
    <w:p w14:paraId="6D3761C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2"/>
        <w:rPr>
          <w:rFonts w:hint="eastAsia" w:ascii="宋体" w:hAnsi="宋体" w:eastAsia="宋体" w:cs="宋体"/>
          <w:b/>
          <w:bCs/>
          <w:color w:val="auto"/>
          <w:sz w:val="24"/>
          <w:szCs w:val="24"/>
          <w:highlight w:val="none"/>
          <w:lang w:val="en-US" w:eastAsia="zh-CN"/>
        </w:rPr>
      </w:pPr>
      <w:bookmarkStart w:id="107" w:name="_Toc29127"/>
      <w:r>
        <w:rPr>
          <w:rFonts w:hint="eastAsia" w:ascii="宋体" w:hAnsi="宋体" w:eastAsia="宋体" w:cs="宋体"/>
          <w:b/>
          <w:bCs/>
          <w:color w:val="auto"/>
          <w:sz w:val="24"/>
          <w:szCs w:val="24"/>
          <w:highlight w:val="none"/>
          <w:lang w:val="en-US" w:eastAsia="zh-CN"/>
        </w:rPr>
        <w:t>2.结构示意图</w:t>
      </w:r>
      <w:bookmarkEnd w:id="107"/>
    </w:p>
    <w:p w14:paraId="34B649A4">
      <w:pPr>
        <w:keepNext w:val="0"/>
        <w:keepLines w:val="0"/>
        <w:widowControl w:val="0"/>
        <w:numPr>
          <w:ilvl w:val="0"/>
          <w:numId w:val="0"/>
        </w:numPr>
        <w:suppressLineNumbers w:val="0"/>
        <w:wordWrap w:val="0"/>
        <w:spacing w:before="0" w:beforeAutospacing="0" w:after="0" w:afterAutospacing="0" w:line="440" w:lineRule="exact"/>
        <w:ind w:right="0" w:rightChars="0"/>
        <w:jc w:val="both"/>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584200</wp:posOffset>
            </wp:positionH>
            <wp:positionV relativeFrom="paragraph">
              <wp:posOffset>97790</wp:posOffset>
            </wp:positionV>
            <wp:extent cx="4725035" cy="2865120"/>
            <wp:effectExtent l="0" t="0" r="1460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4725035" cy="2865120"/>
                    </a:xfrm>
                    <a:prstGeom prst="rect">
                      <a:avLst/>
                    </a:prstGeom>
                    <a:noFill/>
                    <a:ln>
                      <a:noFill/>
                    </a:ln>
                  </pic:spPr>
                </pic:pic>
              </a:graphicData>
            </a:graphic>
          </wp:anchor>
        </w:drawing>
      </w:r>
    </w:p>
    <w:p w14:paraId="02A99C1C">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0" w:firstLineChars="200"/>
        <w:jc w:val="both"/>
        <w:outlineLvl w:val="9"/>
        <w:rPr>
          <w:rFonts w:hint="eastAsia" w:ascii="宋体" w:hAnsi="宋体" w:eastAsia="宋体" w:cs="宋体"/>
          <w:b w:val="0"/>
          <w:bCs w:val="0"/>
          <w:color w:val="auto"/>
          <w:sz w:val="24"/>
          <w:szCs w:val="24"/>
          <w:highlight w:val="none"/>
          <w:lang w:val="en-US" w:eastAsia="zh-CN"/>
        </w:rPr>
      </w:pPr>
    </w:p>
    <w:p w14:paraId="6826BF33">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0" w:firstLineChars="200"/>
        <w:jc w:val="both"/>
        <w:outlineLvl w:val="9"/>
        <w:rPr>
          <w:rFonts w:hint="eastAsia" w:ascii="宋体" w:hAnsi="宋体" w:eastAsia="宋体" w:cs="宋体"/>
          <w:b w:val="0"/>
          <w:bCs w:val="0"/>
          <w:color w:val="auto"/>
          <w:sz w:val="24"/>
          <w:szCs w:val="24"/>
          <w:highlight w:val="none"/>
          <w:lang w:val="en-US" w:eastAsia="zh-CN"/>
        </w:rPr>
      </w:pPr>
    </w:p>
    <w:p w14:paraId="2B76D2F2">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0" w:firstLineChars="200"/>
        <w:jc w:val="both"/>
        <w:outlineLvl w:val="9"/>
        <w:rPr>
          <w:rFonts w:hint="eastAsia" w:ascii="宋体" w:hAnsi="宋体" w:eastAsia="宋体" w:cs="宋体"/>
          <w:b w:val="0"/>
          <w:bCs w:val="0"/>
          <w:color w:val="auto"/>
          <w:sz w:val="24"/>
          <w:szCs w:val="24"/>
          <w:highlight w:val="none"/>
          <w:lang w:val="en-US" w:eastAsia="zh-CN"/>
        </w:rPr>
      </w:pPr>
    </w:p>
    <w:p w14:paraId="7FA3EE22">
      <w:pPr>
        <w:keepNext w:val="0"/>
        <w:keepLines w:val="0"/>
        <w:widowControl w:val="0"/>
        <w:numPr>
          <w:ilvl w:val="0"/>
          <w:numId w:val="0"/>
        </w:numPr>
        <w:suppressLineNumbers w:val="0"/>
        <w:wordWrap w:val="0"/>
        <w:spacing w:before="0" w:beforeAutospacing="0" w:after="0" w:afterAutospacing="0" w:line="440" w:lineRule="exact"/>
        <w:ind w:right="0" w:rightChars="0"/>
        <w:jc w:val="both"/>
        <w:outlineLvl w:val="9"/>
        <w:rPr>
          <w:rFonts w:hint="eastAsia" w:ascii="宋体" w:hAnsi="宋体" w:eastAsia="宋体" w:cs="宋体"/>
          <w:b w:val="0"/>
          <w:bCs w:val="0"/>
          <w:color w:val="auto"/>
          <w:sz w:val="24"/>
          <w:szCs w:val="24"/>
          <w:highlight w:val="none"/>
          <w:lang w:val="en-US" w:eastAsia="zh-CN"/>
        </w:rPr>
      </w:pPr>
    </w:p>
    <w:p w14:paraId="236E50B6">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0" w:firstLineChars="200"/>
        <w:jc w:val="both"/>
        <w:outlineLvl w:val="9"/>
        <w:rPr>
          <w:rFonts w:hint="eastAsia" w:ascii="宋体" w:hAnsi="宋体" w:eastAsia="宋体" w:cs="宋体"/>
          <w:b w:val="0"/>
          <w:bCs w:val="0"/>
          <w:color w:val="auto"/>
          <w:sz w:val="24"/>
          <w:szCs w:val="24"/>
          <w:highlight w:val="none"/>
          <w:lang w:val="en-US" w:eastAsia="zh-CN"/>
        </w:rPr>
      </w:pPr>
    </w:p>
    <w:p w14:paraId="0B4BC461">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0" w:firstLineChars="200"/>
        <w:jc w:val="both"/>
        <w:outlineLvl w:val="9"/>
        <w:rPr>
          <w:rFonts w:hint="eastAsia" w:ascii="宋体" w:hAnsi="宋体" w:eastAsia="宋体" w:cs="宋体"/>
          <w:b w:val="0"/>
          <w:bCs w:val="0"/>
          <w:color w:val="auto"/>
          <w:sz w:val="24"/>
          <w:szCs w:val="24"/>
          <w:highlight w:val="none"/>
          <w:lang w:val="en-US" w:eastAsia="zh-CN"/>
        </w:rPr>
      </w:pPr>
    </w:p>
    <w:p w14:paraId="449DDF65">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0" w:firstLineChars="200"/>
        <w:jc w:val="both"/>
        <w:outlineLvl w:val="9"/>
        <w:rPr>
          <w:rFonts w:hint="eastAsia" w:ascii="宋体" w:hAnsi="宋体" w:eastAsia="宋体" w:cs="宋体"/>
          <w:b w:val="0"/>
          <w:bCs w:val="0"/>
          <w:color w:val="auto"/>
          <w:sz w:val="24"/>
          <w:szCs w:val="24"/>
          <w:highlight w:val="none"/>
          <w:lang w:val="en-US" w:eastAsia="zh-CN"/>
        </w:rPr>
      </w:pPr>
    </w:p>
    <w:p w14:paraId="693C0980">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0" w:firstLineChars="200"/>
        <w:jc w:val="both"/>
        <w:outlineLvl w:val="9"/>
        <w:rPr>
          <w:rFonts w:hint="eastAsia" w:ascii="宋体" w:hAnsi="宋体" w:eastAsia="宋体" w:cs="宋体"/>
          <w:b w:val="0"/>
          <w:bCs w:val="0"/>
          <w:color w:val="auto"/>
          <w:sz w:val="24"/>
          <w:szCs w:val="24"/>
          <w:highlight w:val="none"/>
          <w:lang w:val="en-US" w:eastAsia="zh-CN"/>
        </w:rPr>
      </w:pPr>
    </w:p>
    <w:p w14:paraId="6B4B2A92">
      <w:pPr>
        <w:keepNext w:val="0"/>
        <w:keepLines w:val="0"/>
        <w:widowControl w:val="0"/>
        <w:numPr>
          <w:ilvl w:val="0"/>
          <w:numId w:val="0"/>
        </w:numPr>
        <w:suppressLineNumbers w:val="0"/>
        <w:wordWrap w:val="0"/>
        <w:spacing w:before="0" w:beforeAutospacing="0" w:after="0" w:afterAutospacing="0" w:line="440" w:lineRule="exact"/>
        <w:ind w:right="0" w:rightChars="0"/>
        <w:jc w:val="both"/>
        <w:outlineLvl w:val="9"/>
        <w:rPr>
          <w:rFonts w:hint="eastAsia" w:ascii="宋体" w:hAnsi="宋体" w:eastAsia="宋体" w:cs="宋体"/>
          <w:b w:val="0"/>
          <w:bCs w:val="0"/>
          <w:color w:val="auto"/>
          <w:sz w:val="24"/>
          <w:szCs w:val="24"/>
          <w:highlight w:val="none"/>
          <w:lang w:val="en-US" w:eastAsia="zh-CN"/>
        </w:rPr>
      </w:pPr>
    </w:p>
    <w:p w14:paraId="6B2B4D42">
      <w:pPr>
        <w:keepNext w:val="0"/>
        <w:keepLines w:val="0"/>
        <w:widowControl w:val="0"/>
        <w:numPr>
          <w:ilvl w:val="0"/>
          <w:numId w:val="0"/>
        </w:numPr>
        <w:suppressLineNumbers w:val="0"/>
        <w:wordWrap w:val="0"/>
        <w:spacing w:before="0" w:beforeAutospacing="0" w:after="0" w:afterAutospacing="0" w:line="440" w:lineRule="exact"/>
        <w:ind w:right="0" w:rightChars="0"/>
        <w:jc w:val="both"/>
        <w:outlineLvl w:val="9"/>
        <w:rPr>
          <w:rFonts w:hint="eastAsia" w:ascii="宋体" w:hAnsi="宋体" w:eastAsia="宋体" w:cs="宋体"/>
          <w:color w:val="auto"/>
          <w:sz w:val="24"/>
          <w:szCs w:val="24"/>
          <w:highlight w:val="none"/>
          <w:lang w:val="en-US" w:eastAsia="zh-CN"/>
        </w:rPr>
      </w:pPr>
    </w:p>
    <w:p w14:paraId="57C680B3">
      <w:pPr>
        <w:pStyle w:val="14"/>
        <w:spacing w:line="360" w:lineRule="auto"/>
        <w:ind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注：供水在线监测系统同时具备局域网网址和远端网址，具备与招标人的MIS系统数据连接能力</w:t>
      </w:r>
      <w:r>
        <w:rPr>
          <w:rFonts w:hint="eastAsia" w:ascii="宋体" w:hAnsi="宋体" w:eastAsia="宋体" w:cs="宋体"/>
          <w:b w:val="0"/>
          <w:bCs w:val="0"/>
          <w:color w:val="0000FF"/>
          <w:kern w:val="2"/>
          <w:sz w:val="24"/>
          <w:szCs w:val="24"/>
          <w:highlight w:val="none"/>
          <w:lang w:val="en-US" w:eastAsia="zh-CN" w:bidi="ar-SA"/>
        </w:rPr>
        <w:t>（MIS系统为‌南京科远智慧科技集团股份有限公司提供，接入MIS系统由招标人负责，投标人提供供水在线监测系统数据接口，同时免费协助招标人接入MIS系统。）</w:t>
      </w:r>
    </w:p>
    <w:p w14:paraId="66C6010F">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2" w:firstLineChars="200"/>
        <w:jc w:val="both"/>
        <w:outlineLvl w:val="2"/>
        <w:rPr>
          <w:rFonts w:hint="eastAsia" w:ascii="宋体" w:hAnsi="宋体" w:eastAsia="宋体" w:cs="宋体"/>
          <w:b/>
          <w:bCs/>
          <w:color w:val="auto"/>
          <w:sz w:val="24"/>
          <w:szCs w:val="24"/>
          <w:highlight w:val="none"/>
          <w:lang w:val="en-US" w:eastAsia="zh-CN"/>
        </w:rPr>
      </w:pPr>
      <w:bookmarkStart w:id="108" w:name="_Toc27869"/>
      <w:r>
        <w:rPr>
          <w:rFonts w:hint="eastAsia" w:ascii="宋体" w:hAnsi="宋体" w:eastAsia="宋体" w:cs="宋体"/>
          <w:b/>
          <w:bCs/>
          <w:color w:val="auto"/>
          <w:sz w:val="24"/>
          <w:szCs w:val="24"/>
          <w:highlight w:val="none"/>
          <w:lang w:val="en-US" w:eastAsia="zh-CN"/>
        </w:rPr>
        <w:t>3.主要设备清单</w:t>
      </w:r>
      <w:bookmarkEnd w:id="108"/>
    </w:p>
    <w:tbl>
      <w:tblPr>
        <w:tblStyle w:val="25"/>
        <w:tblW w:w="96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4"/>
        <w:gridCol w:w="1355"/>
        <w:gridCol w:w="1621"/>
        <w:gridCol w:w="4519"/>
        <w:gridCol w:w="663"/>
        <w:gridCol w:w="805"/>
      </w:tblGrid>
      <w:tr w14:paraId="4A49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490D57F1">
            <w:pPr>
              <w:keepNext w:val="0"/>
              <w:keepLines w:val="0"/>
              <w:widowControl/>
              <w:suppressLineNumbers w:val="0"/>
              <w:jc w:val="center"/>
              <w:textAlignment w:val="center"/>
              <w:outlineLvl w:val="9"/>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B5B921">
            <w:pPr>
              <w:keepNext w:val="0"/>
              <w:keepLines w:val="0"/>
              <w:widowControl/>
              <w:suppressLineNumbers w:val="0"/>
              <w:jc w:val="center"/>
              <w:textAlignment w:val="center"/>
              <w:outlineLvl w:val="9"/>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货物名称</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0F7E40C5">
            <w:pPr>
              <w:keepNext w:val="0"/>
              <w:keepLines w:val="0"/>
              <w:widowControl/>
              <w:suppressLineNumbers w:val="0"/>
              <w:jc w:val="center"/>
              <w:textAlignment w:val="center"/>
              <w:outlineLvl w:val="9"/>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推荐品牌</w:t>
            </w: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793CCE98">
            <w:pPr>
              <w:keepNext w:val="0"/>
              <w:keepLines w:val="0"/>
              <w:widowControl/>
              <w:suppressLineNumbers w:val="0"/>
              <w:jc w:val="center"/>
              <w:textAlignment w:val="center"/>
              <w:outlineLvl w:val="9"/>
              <w:rPr>
                <w:rFonts w:hint="eastAsia" w:ascii="宋体" w:hAnsi="宋体" w:eastAsia="宋体" w:cs="宋体"/>
                <w:b/>
                <w:bCs/>
                <w:i w:val="0"/>
                <w:iCs w:val="0"/>
                <w:color w:val="auto"/>
                <w:sz w:val="20"/>
                <w:szCs w:val="20"/>
                <w:highlight w:val="none"/>
                <w:u w:val="none"/>
                <w:lang w:val="en-US"/>
              </w:rPr>
            </w:pPr>
            <w:r>
              <w:rPr>
                <w:rFonts w:hint="eastAsia" w:ascii="宋体" w:hAnsi="宋体" w:eastAsia="宋体" w:cs="宋体"/>
                <w:b/>
                <w:bCs/>
                <w:i w:val="0"/>
                <w:iCs w:val="0"/>
                <w:color w:val="auto"/>
                <w:kern w:val="0"/>
                <w:sz w:val="20"/>
                <w:szCs w:val="20"/>
                <w:highlight w:val="none"/>
                <w:u w:val="none"/>
                <w:lang w:val="en-US" w:eastAsia="zh-CN" w:bidi="ar"/>
              </w:rPr>
              <w:t>技术要求</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0808539">
            <w:pPr>
              <w:keepNext w:val="0"/>
              <w:keepLines w:val="0"/>
              <w:widowControl/>
              <w:suppressLineNumbers w:val="0"/>
              <w:jc w:val="center"/>
              <w:textAlignment w:val="center"/>
              <w:outlineLvl w:val="9"/>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9423AF4">
            <w:pPr>
              <w:keepNext w:val="0"/>
              <w:keepLines w:val="0"/>
              <w:widowControl/>
              <w:suppressLineNumbers w:val="0"/>
              <w:jc w:val="center"/>
              <w:textAlignment w:val="center"/>
              <w:outlineLvl w:val="9"/>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14:paraId="73CD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23BAFFF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4D51DA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机柜</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018414D6">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70A3AA9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42U/2055*600*1000(高*宽*深)/黑色，含PDU插排，风扇，托盘等</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573AD0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5F00F21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08F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2AF1AABF">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A712ED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机架式服务器</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5D200128">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DELL，联想，华为或同等档次品牌</w:t>
            </w: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1375744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2*10核/64G/2*600G SAS 10K+3*1.2T SAS 10K/Raid 5/4*千兆网口/23.8寸显示器/2u</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5FBCCCA">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3B695E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8D4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6A79763">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3FDB0DB">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上位机</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A20CCA0">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DELL，HP，联想或同等档次品牌</w:t>
            </w: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3F5184CB">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14代i7/16G/1T M.2/1T 硬盘/23.8寸显示器</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E854A8A">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63F32A5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7B05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17FD53A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588B49B">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机架式防火墙</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6F5331E6">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华为，思科，深信服或同等档次品牌</w:t>
            </w: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087A9838">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企业级防火墙,2*GE(SFP)+10*GE,USG6307E，2U</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16B55A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0ADB211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EA4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110C22B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65712A7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供水在线监测系统</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19DB22D8">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5EB497F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包括并不限于：数据采集监视；实时报警、历史报警；历史曲线、曲线分析；常规日、月、年报表；动态展示图；第三方平台数据接口；独立计费页面；具备网络拓扑展示以及数据点表，端口拓展能力</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20E0990">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DF62D2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4C0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89723D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012069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光伏供电系统</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7C9A30C6">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2A42D330">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20W，连续3天阴雨配置，含光伏组件、立杆、电池,防雷组件</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A6686DB">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48030E75">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10B1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351DF2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C72B7C3">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光伏供电系统</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B9305E5">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49A1B52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50W，连续3天阴雨配置，含光伏组件、立杆、电池,防雷组件</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78EFA5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55DCB1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5A3F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53F840FB">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585AF35">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现场采集箱</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437FB03">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7ECE0F7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壁挂式不锈钢箱，含485通讯数据采集、4G DTU、开关电源,空气开关，防雷组件，IP66级以上，材质：304</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F771A80">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85E362F">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34</w:t>
            </w:r>
          </w:p>
        </w:tc>
      </w:tr>
      <w:tr w14:paraId="4D22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505AEBC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D63D6E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现场采集箱</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08C066E7">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48616B8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壁挂式不锈钢箱，含485通讯数据采集、4G DTU、开关电源,空气开关，防雷组件，IP66级以上，材质：304，防爆等级：ExdⅡCT6或以上</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39279F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86EE19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14:paraId="460E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177225BF">
            <w:pPr>
              <w:keepNext w:val="0"/>
              <w:keepLines w:val="0"/>
              <w:widowControl/>
              <w:suppressLineNumbers w:val="0"/>
              <w:jc w:val="center"/>
              <w:textAlignment w:val="center"/>
              <w:outlineLvl w:val="9"/>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11</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EC57BA0">
            <w:pPr>
              <w:keepNext w:val="0"/>
              <w:keepLines w:val="0"/>
              <w:widowControl/>
              <w:suppressLineNumbers w:val="0"/>
              <w:jc w:val="center"/>
              <w:textAlignment w:val="center"/>
              <w:outlineLvl w:val="9"/>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7EB9B131">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6BD2B24F">
            <w:pPr>
              <w:keepNext w:val="0"/>
              <w:keepLines w:val="0"/>
              <w:widowControl/>
              <w:suppressLineNumbers w:val="0"/>
              <w:jc w:val="center"/>
              <w:textAlignment w:val="center"/>
              <w:outlineLvl w:val="9"/>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DN32,24V供电，485通讯，精度等级：0.2，具备瞬时流量、累计流量、设备故障传输，材质：碳钢，内衬：F4(PTFE)，电极：不锈钢316，IP67</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2469EF3">
            <w:pPr>
              <w:keepNext w:val="0"/>
              <w:keepLines w:val="0"/>
              <w:widowControl/>
              <w:suppressLineNumbers w:val="0"/>
              <w:jc w:val="center"/>
              <w:textAlignment w:val="center"/>
              <w:outlineLvl w:val="9"/>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461EE205">
            <w:pPr>
              <w:keepNext w:val="0"/>
              <w:keepLines w:val="0"/>
              <w:widowControl/>
              <w:suppressLineNumbers w:val="0"/>
              <w:jc w:val="center"/>
              <w:textAlignment w:val="center"/>
              <w:outlineLvl w:val="9"/>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r>
      <w:tr w14:paraId="0AF0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85AA94F">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DF5A3E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0A208C85">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562E31AF">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DN40,24V供电，485通讯，精度等级：0.2，具备瞬时流量、累计流量、设备故障传输，材质：碳钢，内衬：F4(PTFE)，电极：不锈钢316，IP67</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1364DDF">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6438762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4AD7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51EEE19D">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44A14F8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7EC12470">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5C755B05">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DN50,24V供电，485通讯，精度等级：0.2，具备瞬时流量、累计流量、设备故障传输，材质：碳钢，内衬：F4(PTFE)，电极：不锈钢316，IP67</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9927C73">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4C8F8BC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20B8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219099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816C28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D49FAE9">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3695AF4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DN65,24V供电，485通讯，精度等级：0.2，具备瞬时流量、累计流量、设备故障传输，材质：碳钢，内衬：F4(PTFE)，电极：不锈钢316，IP67</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540624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DF0F5FB">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31B5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43DDB2B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78DE83B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1946290B">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132C3A0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DN80,24V供电，485通讯，精度等级：0.2，具备瞬时流量、累计流量、设备故障传输，材质：碳钢，内衬：F4(PTFE)，电极：不锈钢316，IP67</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76B4FDA">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0535816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14:paraId="0057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4AE9D888">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C9FFDD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DC6D771">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1CF78CB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DN100,24V供电，485通讯，精度等级：0.2，具备瞬时流量、累计流量、设备故障传输，材质：碳钢，内衬：F4(PTFE)，电极：不锈钢316，IP67</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61E4CF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0924CF3">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r>
      <w:tr w14:paraId="52F8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70AC5D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2B6269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6BF0BF5">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018C57A3">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DN150,24V供电，485通讯，精度等级：0.2，具备瞬时流量、累计流量、设备故障传输，材质：碳钢，内衬：F4(PTFE)，电极：不锈钢316，IP67</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1AC20CE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2C8CD0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6FBF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F3B7928">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63E984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插入式超声流量计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10D4923C">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3504AC5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DN300,24V供电，485通讯，精度等级：0.5，具备瞬时流量、累计流量、设备故障传输，壁挂式，带双层控制箱</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A35DCE0">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3150B9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7E52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993D190">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4BA12B7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插入式超声流量计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2A3FECF">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2C8A087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DN400,24V供电，485通讯，精度等级：0.5，具备瞬时流量、累计流量、设备故障传输，壁挂式，带双层控制箱</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1D02FEE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1B94B3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2655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21B6096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C3F203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22361106">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2213636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DN40,PN1.0Mpa，伸缩式蝶阀</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CA342B5">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bottom"/>
          </w:tcPr>
          <w:p w14:paraId="6978184D">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14:paraId="0336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DA0D41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26487D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0CD76BBE">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62B200A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DN50,PN1.0Mpa，伸缩式蝶阀</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6C8F21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bottom"/>
          </w:tcPr>
          <w:p w14:paraId="4123634C">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r>
      <w:tr w14:paraId="5D2B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5A48613D">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8E3012F">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2783E07">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169C670B">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DN65,PN1.0Mpa，伸缩式蝶阀</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FBF01CA">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bottom"/>
          </w:tcPr>
          <w:p w14:paraId="19792CAA">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r>
      <w:tr w14:paraId="1719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14CF56C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48CF942B">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711A5C5E">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1D2C9A6A">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DN80,PN1.0Mpa，伸缩式蝶阀</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E121B0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bottom"/>
          </w:tcPr>
          <w:p w14:paraId="38B18FE2">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r>
      <w:tr w14:paraId="2F4B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8DD8D40">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C3CCC98">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2746C042">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6DFE89E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DN100,PN1.0Mpa，伸缩式蝶阀</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DDFFD35">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bottom"/>
          </w:tcPr>
          <w:p w14:paraId="1619E8FC">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24</w:t>
            </w:r>
          </w:p>
        </w:tc>
      </w:tr>
      <w:tr w14:paraId="3C5A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3A28766D">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D765908">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62E103E">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412C2C5D">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DN150,PN1.0Mpa，伸缩式蝶阀</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FF71508">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noWrap/>
            <w:vAlign w:val="bottom"/>
          </w:tcPr>
          <w:p w14:paraId="7A2FD2CE">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27</w:t>
            </w:r>
          </w:p>
        </w:tc>
      </w:tr>
      <w:tr w14:paraId="362B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016BE1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677E5C9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无缝钢管</w:t>
            </w:r>
          </w:p>
        </w:tc>
        <w:tc>
          <w:tcPr>
            <w:tcW w:w="1621" w:type="dxa"/>
            <w:tcBorders>
              <w:top w:val="single" w:color="000000" w:sz="4" w:space="0"/>
              <w:left w:val="single" w:color="000000" w:sz="4" w:space="0"/>
              <w:bottom w:val="single" w:color="000000" w:sz="4" w:space="0"/>
              <w:right w:val="single" w:color="000000" w:sz="4" w:space="0"/>
            </w:tcBorders>
            <w:noWrap/>
            <w:vAlign w:val="center"/>
          </w:tcPr>
          <w:p w14:paraId="1FBB15D4">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ign w:val="center"/>
          </w:tcPr>
          <w:p w14:paraId="3D91EC98">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DN400,PN1.0Mpa镀锌碳钢</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3F3DDA50">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55A9F73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9E6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459BF69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04E23E5">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控制电缆</w:t>
            </w:r>
          </w:p>
        </w:tc>
        <w:tc>
          <w:tcPr>
            <w:tcW w:w="1621" w:type="dxa"/>
            <w:tcBorders>
              <w:top w:val="single" w:color="000000" w:sz="4" w:space="0"/>
              <w:left w:val="single" w:color="000000" w:sz="4" w:space="0"/>
              <w:bottom w:val="single" w:color="000000" w:sz="4" w:space="0"/>
              <w:right w:val="single" w:color="000000" w:sz="4" w:space="0"/>
            </w:tcBorders>
            <w:noWrap/>
            <w:vAlign w:val="center"/>
          </w:tcPr>
          <w:p w14:paraId="135957FC">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ign w:val="center"/>
          </w:tcPr>
          <w:p w14:paraId="0B1B9CB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ZR-RVVP 2*1.0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1813881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2044D0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800</w:t>
            </w:r>
          </w:p>
        </w:tc>
      </w:tr>
      <w:tr w14:paraId="049D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33636D6D">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9F481A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66939226">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60800E3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ZR-RVV 2*1.0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50B68F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181F9B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400</w:t>
            </w:r>
          </w:p>
        </w:tc>
      </w:tr>
      <w:tr w14:paraId="4CB0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330F9DF9">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799D76E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B87B54B">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56BC7A1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ZR-YJV22 2*1.5</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EA745C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41C5AC6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4000</w:t>
            </w:r>
          </w:p>
        </w:tc>
      </w:tr>
      <w:tr w14:paraId="66ED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BBA1418">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D06500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00CCAE7">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365CA57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ZR-YJV22 2*4.0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A05ED0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022B41D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14:paraId="3934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255066D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4C5E8FF8">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镀锌钢管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75947175">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1E29D55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国标DN32，PN1.6，材质：镀锌无缝钢</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5EB002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641867D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400</w:t>
            </w:r>
          </w:p>
        </w:tc>
      </w:tr>
      <w:tr w14:paraId="41E1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12292A0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9AB1B2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镀锌钢管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76BBE34C">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1B23849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国标DN25，PN1.6，材质：镀锌无缝钢</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1E9DD38F">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B2020C5">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400</w:t>
            </w:r>
          </w:p>
        </w:tc>
      </w:tr>
      <w:tr w14:paraId="7C24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49118B10">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A6572AE">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镀锌钢管</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71CD7D0">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79B5AC83">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国标DN40，PN1.6，材质：镀锌无缝钢</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D4CD193">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B059B5D">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120</w:t>
            </w:r>
          </w:p>
        </w:tc>
      </w:tr>
      <w:tr w14:paraId="73C4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5B5E89C">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1AF318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镀锌电缆槽盒</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0B9AC21A">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03377A70">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长宽厚：50mm*100mm*2mm，材质：镀锌钢板</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99061E5">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CFD781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14:paraId="19E1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9DA561D">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7508814">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镀锌电缆槽盒</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031F5B5">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759F409F">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长宽厚：100*200mm*2mm，材质：镀锌钢板</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A7ADEF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4A55D777">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120</w:t>
            </w:r>
          </w:p>
        </w:tc>
      </w:tr>
      <w:tr w14:paraId="5DDC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CDA68A3">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34</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760A91">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MCC电源柜</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2CF1C8BD">
            <w:pPr>
              <w:keepNext w:val="0"/>
              <w:keepLines w:val="0"/>
              <w:widowControl/>
              <w:suppressLineNumbers w:val="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空开品牌施耐德、西门子、ABB或同等档次品牌</w:t>
            </w:r>
          </w:p>
        </w:tc>
        <w:tc>
          <w:tcPr>
            <w:tcW w:w="4519" w:type="dxa"/>
            <w:tcBorders>
              <w:top w:val="single" w:color="000000" w:sz="4" w:space="0"/>
              <w:left w:val="single" w:color="000000" w:sz="4" w:space="0"/>
              <w:bottom w:val="single" w:color="000000" w:sz="4" w:space="0"/>
              <w:right w:val="single" w:color="000000" w:sz="4" w:space="0"/>
            </w:tcBorders>
            <w:noWrap w:val="0"/>
            <w:vAlign w:val="center"/>
          </w:tcPr>
          <w:p w14:paraId="08939C12">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 xml:space="preserve">长宽深800*1200*600，220VAC，总空开一个，双电源切换开关一套，指针式电压表、电流表、分空开20个，内部需完成配线，端子引出，坐落式机柜，机柜材质：冷轧板，颜色：RAL7035 </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4B14176">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E70B568">
            <w:pPr>
              <w:keepNext w:val="0"/>
              <w:keepLines w:val="0"/>
              <w:widowControl/>
              <w:suppressLineNumbers w:val="0"/>
              <w:jc w:val="center"/>
              <w:textAlignment w:val="center"/>
              <w:outlineLvl w:val="9"/>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r>
    </w:tbl>
    <w:p w14:paraId="38DF0E04">
      <w:pPr>
        <w:pageBreakBefore w:val="0"/>
        <w:widowControl/>
        <w:kinsoku w:val="0"/>
        <w:overflowPunct/>
        <w:autoSpaceDE w:val="0"/>
        <w:autoSpaceDN w:val="0"/>
        <w:bidi w:val="0"/>
        <w:adjustRightInd w:val="0"/>
        <w:snapToGrid w:val="0"/>
        <w:spacing w:line="400" w:lineRule="exac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p>
    <w:p w14:paraId="64BFEFED">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（1）U型卡、螺丝、接头垫片、膨胀螺丝、弯头等安装辅材含在本次招标范围内，招标人不额外支付费用。</w:t>
      </w:r>
    </w:p>
    <w:p w14:paraId="6026F75A">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与钢管、铸铁管道连接的</w:t>
      </w:r>
      <w:r>
        <w:rPr>
          <w:rFonts w:hint="eastAsia" w:ascii="宋体" w:hAnsi="宋体" w:eastAsia="宋体" w:cs="宋体"/>
          <w:color w:val="auto"/>
          <w:kern w:val="2"/>
          <w:sz w:val="24"/>
          <w:szCs w:val="24"/>
          <w:highlight w:val="none"/>
          <w:lang w:val="en-US" w:eastAsia="zh-CN" w:bidi="ar-SA"/>
        </w:rPr>
        <w:t>电磁</w:t>
      </w:r>
      <w:r>
        <w:rPr>
          <w:rFonts w:hint="eastAsia" w:ascii="宋体" w:hAnsi="宋体" w:eastAsia="宋体" w:cs="宋体"/>
          <w:color w:val="auto"/>
          <w:kern w:val="2"/>
          <w:sz w:val="24"/>
          <w:szCs w:val="24"/>
          <w:highlight w:val="none"/>
          <w:lang w:val="zh-CN" w:eastAsia="zh-CN" w:bidi="ar-SA"/>
        </w:rPr>
        <w:t>流量计，</w:t>
      </w:r>
      <w:r>
        <w:rPr>
          <w:rFonts w:hint="eastAsia" w:ascii="宋体" w:hAnsi="宋体" w:eastAsia="宋体"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zh-CN" w:eastAsia="zh-CN" w:bidi="ar-SA"/>
        </w:rPr>
        <w:t>提供配套</w:t>
      </w:r>
      <w:r>
        <w:rPr>
          <w:rFonts w:hint="eastAsia" w:ascii="宋体" w:hAnsi="宋体" w:eastAsia="宋体" w:cs="宋体"/>
          <w:color w:val="auto"/>
          <w:kern w:val="2"/>
          <w:sz w:val="24"/>
          <w:szCs w:val="24"/>
          <w:highlight w:val="none"/>
          <w:lang w:val="en-US" w:eastAsia="zh-CN" w:bidi="ar-SA"/>
        </w:rPr>
        <w:t>的不锈钢</w:t>
      </w:r>
      <w:r>
        <w:rPr>
          <w:rFonts w:hint="eastAsia" w:ascii="宋体" w:hAnsi="宋体" w:eastAsia="宋体" w:cs="宋体"/>
          <w:color w:val="auto"/>
          <w:kern w:val="2"/>
          <w:sz w:val="24"/>
          <w:szCs w:val="24"/>
          <w:highlight w:val="none"/>
          <w:lang w:val="zh-CN" w:eastAsia="zh-CN" w:bidi="ar-SA"/>
        </w:rPr>
        <w:t>法兰、垫片、螺栓、螺母等连接件，</w:t>
      </w:r>
      <w:r>
        <w:rPr>
          <w:rFonts w:hint="eastAsia" w:ascii="宋体" w:hAnsi="宋体" w:eastAsia="宋体" w:cs="宋体"/>
          <w:color w:val="auto"/>
          <w:kern w:val="2"/>
          <w:sz w:val="24"/>
          <w:szCs w:val="24"/>
          <w:highlight w:val="none"/>
          <w:lang w:val="en-US" w:eastAsia="zh-CN" w:bidi="ar-SA"/>
        </w:rPr>
        <w:t>招标人不额外支付费用。</w:t>
      </w:r>
    </w:p>
    <w:p w14:paraId="7988EC9B">
      <w:pPr>
        <w:keepNext w:val="0"/>
        <w:keepLines w:val="0"/>
        <w:pageBreakBefore w:val="0"/>
        <w:widowControl/>
        <w:kinsoku w:val="0"/>
        <w:overflowPunct/>
        <w:topLinePunct w:val="0"/>
        <w:autoSpaceDE w:val="0"/>
        <w:autoSpaceDN w:val="0"/>
        <w:bidi w:val="0"/>
        <w:adjustRightInd w:val="0"/>
        <w:snapToGrid w:val="0"/>
        <w:spacing w:line="360" w:lineRule="auto"/>
        <w:ind w:firstLine="482" w:firstLineChars="200"/>
        <w:textAlignment w:val="baseline"/>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二、合同期限及履约方式</w:t>
      </w:r>
    </w:p>
    <w:p w14:paraId="31B8602F">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val="en-US" w:eastAsia="zh-CN"/>
        </w:rPr>
        <w:t>1.合同期限：</w:t>
      </w:r>
      <w:r>
        <w:rPr>
          <w:rFonts w:hint="eastAsia" w:ascii="宋体" w:hAnsi="宋体" w:eastAsia="宋体" w:cs="宋体"/>
          <w:color w:val="auto"/>
          <w:sz w:val="24"/>
          <w:highlight w:val="none"/>
          <w:lang w:val="en-US" w:eastAsia="zh-CN"/>
        </w:rPr>
        <w:t>投标人在接到招标人确认方案后90天内完成改造。</w:t>
      </w:r>
    </w:p>
    <w:p w14:paraId="16C95F0C">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b/>
          <w:bCs/>
          <w:color w:val="auto"/>
          <w:sz w:val="24"/>
          <w:highlight w:val="none"/>
          <w:lang w:val="en-US" w:eastAsia="zh-CN"/>
        </w:rPr>
        <w:t>履约方式：</w:t>
      </w:r>
      <w:r>
        <w:rPr>
          <w:rFonts w:hint="eastAsia" w:ascii="宋体" w:hAnsi="宋体" w:eastAsia="宋体" w:cs="宋体"/>
          <w:color w:val="auto"/>
          <w:sz w:val="24"/>
          <w:highlight w:val="none"/>
          <w:lang w:val="en-US" w:eastAsia="zh-CN"/>
        </w:rPr>
        <w:t>一次性改造。</w:t>
      </w:r>
    </w:p>
    <w:p w14:paraId="7316FCDE">
      <w:pPr>
        <w:keepNext w:val="0"/>
        <w:keepLines w:val="0"/>
        <w:pageBreakBefore w:val="0"/>
        <w:widowControl/>
        <w:kinsoku w:val="0"/>
        <w:overflowPunct/>
        <w:topLinePunct w:val="0"/>
        <w:autoSpaceDE w:val="0"/>
        <w:autoSpaceDN w:val="0"/>
        <w:bidi w:val="0"/>
        <w:adjustRightInd w:val="0"/>
        <w:snapToGrid w:val="0"/>
        <w:spacing w:line="360" w:lineRule="auto"/>
        <w:ind w:firstLine="482" w:firstLineChars="200"/>
        <w:textAlignment w:val="baseline"/>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三、技术要求</w:t>
      </w:r>
    </w:p>
    <w:p w14:paraId="4825C744">
      <w:pPr>
        <w:keepNext w:val="0"/>
        <w:keepLines w:val="0"/>
        <w:pageBreakBefore w:val="0"/>
        <w:widowControl/>
        <w:kinsoku w:val="0"/>
        <w:overflowPunct/>
        <w:topLinePunct w:val="0"/>
        <w:autoSpaceDE w:val="0"/>
        <w:autoSpaceDN w:val="0"/>
        <w:bidi w:val="0"/>
        <w:adjustRightInd w:val="0"/>
        <w:snapToGrid w:val="0"/>
        <w:spacing w:line="360" w:lineRule="auto"/>
        <w:ind w:firstLine="482" w:firstLineChars="200"/>
        <w:textAlignment w:val="baseline"/>
        <w:outlineLvl w:val="2"/>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1.满足但不限于以下规范和标准</w:t>
      </w:r>
    </w:p>
    <w:p w14:paraId="3CCAE815">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招标人提供的设计图纸、情况说明等；</w:t>
      </w:r>
    </w:p>
    <w:p w14:paraId="4AFF869B">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GB/T17367-1998《取水许可技术考核与管理通则》；</w:t>
      </w:r>
    </w:p>
    <w:p w14:paraId="47DBD21C">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GBJ566-88《计算机软件开发规范》；</w:t>
      </w:r>
    </w:p>
    <w:p w14:paraId="57184D65">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SL324-2005《基础水文数据库表结构及标识符标准》；</w:t>
      </w:r>
    </w:p>
    <w:p w14:paraId="5A5DF1A2">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SL380-2007《水资源监控管理数据库表结构及标识符标准》；</w:t>
      </w:r>
    </w:p>
    <w:p w14:paraId="610BBACD">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SL61-2003《水文自动测报系统技术规范》；</w:t>
      </w:r>
    </w:p>
    <w:p w14:paraId="1A0A3A58">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SL426-2008《水资源监控设备基本技术条件》；</w:t>
      </w:r>
    </w:p>
    <w:p w14:paraId="156CFCB7">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SL427-2008《水资源监控管理系统数据传输规约》；</w:t>
      </w:r>
    </w:p>
    <w:p w14:paraId="0D8CF6CE">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rPr>
        <w:t>GB/T 30094-2013《工业以太网交</w:t>
      </w:r>
      <w:r>
        <w:rPr>
          <w:rFonts w:hint="eastAsia" w:ascii="宋体" w:hAnsi="宋体" w:eastAsia="宋体" w:cs="宋体"/>
          <w:color w:val="auto"/>
          <w:sz w:val="24"/>
          <w:highlight w:val="none"/>
          <w:lang w:bidi="ar"/>
        </w:rPr>
        <w:t>换机技术规范》</w:t>
      </w:r>
      <w:r>
        <w:rPr>
          <w:rFonts w:hint="eastAsia" w:ascii="宋体" w:hAnsi="宋体" w:eastAsia="宋体" w:cs="宋体"/>
          <w:color w:val="auto"/>
          <w:sz w:val="24"/>
          <w:highlight w:val="none"/>
          <w:lang w:eastAsia="zh-CN" w:bidi="ar"/>
        </w:rPr>
        <w:t>；</w:t>
      </w:r>
    </w:p>
    <w:p w14:paraId="73E4F27B">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GB/T 41267-2022《网络关键设备安全技术要求 交换机设备》</w:t>
      </w:r>
      <w:r>
        <w:rPr>
          <w:rFonts w:hint="eastAsia" w:ascii="宋体" w:hAnsi="宋体" w:eastAsia="宋体" w:cs="宋体"/>
          <w:color w:val="auto"/>
          <w:sz w:val="24"/>
          <w:highlight w:val="none"/>
          <w:lang w:eastAsia="zh-CN" w:bidi="ar"/>
        </w:rPr>
        <w:t>；</w:t>
      </w:r>
    </w:p>
    <w:p w14:paraId="31375AFC">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GB/T 21050-2019《信息安全技术 网络交换机安全技术要求》</w:t>
      </w:r>
      <w:r>
        <w:rPr>
          <w:rFonts w:hint="eastAsia" w:ascii="宋体" w:hAnsi="宋体" w:eastAsia="宋体" w:cs="宋体"/>
          <w:color w:val="auto"/>
          <w:sz w:val="24"/>
          <w:highlight w:val="none"/>
          <w:lang w:eastAsia="zh-CN" w:bidi="ar"/>
        </w:rPr>
        <w:t>；</w:t>
      </w:r>
    </w:p>
    <w:p w14:paraId="33AA4A97">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GB 4943.1-2011《信息技术设备安全 第 1 部分：通用要求》</w:t>
      </w:r>
      <w:r>
        <w:rPr>
          <w:rFonts w:hint="eastAsia" w:ascii="宋体" w:hAnsi="宋体" w:eastAsia="宋体" w:cs="宋体"/>
          <w:color w:val="auto"/>
          <w:sz w:val="24"/>
          <w:highlight w:val="none"/>
          <w:lang w:eastAsia="zh-CN" w:bidi="ar"/>
        </w:rPr>
        <w:t>；</w:t>
      </w:r>
    </w:p>
    <w:p w14:paraId="74EC3EA1">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GB/T 26225-2010《信息技术 移动存储 闪存盘通用规范》</w:t>
      </w:r>
      <w:r>
        <w:rPr>
          <w:rFonts w:hint="eastAsia" w:ascii="宋体" w:hAnsi="宋体" w:eastAsia="宋体" w:cs="宋体"/>
          <w:color w:val="auto"/>
          <w:sz w:val="24"/>
          <w:highlight w:val="none"/>
          <w:lang w:eastAsia="zh-CN" w:bidi="ar"/>
        </w:rPr>
        <w:t>；</w:t>
      </w:r>
    </w:p>
    <w:p w14:paraId="3B6B7F9A">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GB/T 28220-2011《信息技术 固态硬盘通用规范》</w:t>
      </w:r>
      <w:r>
        <w:rPr>
          <w:rFonts w:hint="eastAsia" w:ascii="宋体" w:hAnsi="宋体" w:eastAsia="宋体" w:cs="宋体"/>
          <w:color w:val="auto"/>
          <w:sz w:val="24"/>
          <w:highlight w:val="none"/>
          <w:lang w:eastAsia="zh-CN" w:bidi="ar"/>
        </w:rPr>
        <w:t>；</w:t>
      </w:r>
    </w:p>
    <w:p w14:paraId="64D77BC7">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39680-2020《信息安全技术 服务器安全技术要求和测评准则》</w:t>
      </w:r>
      <w:r>
        <w:rPr>
          <w:rFonts w:hint="eastAsia" w:ascii="宋体" w:hAnsi="宋体" w:eastAsia="宋体" w:cs="宋体"/>
          <w:color w:val="auto"/>
          <w:sz w:val="24"/>
          <w:highlight w:val="none"/>
          <w:lang w:eastAsia="zh-CN"/>
        </w:rPr>
        <w:t>；</w:t>
      </w:r>
    </w:p>
    <w:p w14:paraId="39B47D4D">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 43630-2023《塔式和机架式服务器能效限定值及能效等级》</w:t>
      </w:r>
      <w:r>
        <w:rPr>
          <w:rFonts w:hint="eastAsia" w:ascii="宋体" w:hAnsi="宋体" w:eastAsia="宋体" w:cs="宋体"/>
          <w:color w:val="auto"/>
          <w:sz w:val="24"/>
          <w:highlight w:val="none"/>
          <w:lang w:eastAsia="zh-CN"/>
        </w:rPr>
        <w:t>；</w:t>
      </w:r>
    </w:p>
    <w:p w14:paraId="5C37BE0D">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9813.3-2017《计算机通用规范 第 3 部分：服务器》</w:t>
      </w:r>
      <w:r>
        <w:rPr>
          <w:rFonts w:hint="eastAsia" w:ascii="宋体" w:hAnsi="宋体" w:eastAsia="宋体" w:cs="宋体"/>
          <w:color w:val="auto"/>
          <w:sz w:val="24"/>
          <w:highlight w:val="none"/>
          <w:lang w:eastAsia="zh-CN"/>
        </w:rPr>
        <w:t>；</w:t>
      </w:r>
    </w:p>
    <w:p w14:paraId="6182D2B6">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39680-2020《信息安全技术 服务器安全技术要求和测评准则》</w:t>
      </w:r>
      <w:r>
        <w:rPr>
          <w:rFonts w:hint="eastAsia" w:ascii="宋体" w:hAnsi="宋体" w:eastAsia="宋体" w:cs="宋体"/>
          <w:color w:val="auto"/>
          <w:sz w:val="24"/>
          <w:highlight w:val="none"/>
          <w:lang w:eastAsia="zh-CN"/>
        </w:rPr>
        <w:t>；</w:t>
      </w:r>
    </w:p>
    <w:p w14:paraId="72DA6FB9">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 43630-2023《塔式和机架式服务器能效限定值及能效等级》</w:t>
      </w:r>
      <w:r>
        <w:rPr>
          <w:rFonts w:hint="eastAsia" w:ascii="宋体" w:hAnsi="宋体" w:eastAsia="宋体" w:cs="宋体"/>
          <w:color w:val="auto"/>
          <w:sz w:val="24"/>
          <w:highlight w:val="none"/>
          <w:lang w:eastAsia="zh-CN"/>
        </w:rPr>
        <w:t>；</w:t>
      </w:r>
    </w:p>
    <w:p w14:paraId="061EB4DF">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5013-2008《额定电压 450/750V 及以下橡皮绝缘电缆》</w:t>
      </w:r>
      <w:r>
        <w:rPr>
          <w:rFonts w:hint="eastAsia" w:ascii="宋体" w:hAnsi="宋体" w:eastAsia="宋体" w:cs="宋体"/>
          <w:color w:val="auto"/>
          <w:sz w:val="24"/>
          <w:highlight w:val="none"/>
          <w:lang w:eastAsia="zh-CN"/>
        </w:rPr>
        <w:t>；</w:t>
      </w:r>
    </w:p>
    <w:p w14:paraId="630D9405">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5023-2008《额定电压 450/750V 及以下聚氯乙烯绝缘电缆》</w:t>
      </w:r>
      <w:r>
        <w:rPr>
          <w:rFonts w:hint="eastAsia" w:ascii="宋体" w:hAnsi="宋体" w:eastAsia="宋体" w:cs="宋体"/>
          <w:color w:val="auto"/>
          <w:sz w:val="24"/>
          <w:highlight w:val="none"/>
          <w:lang w:eastAsia="zh-CN"/>
        </w:rPr>
        <w:t>；</w:t>
      </w:r>
    </w:p>
    <w:p w14:paraId="1AF468D3">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9330-2020《塑料绝缘控制电缆》</w:t>
      </w:r>
      <w:r>
        <w:rPr>
          <w:rFonts w:hint="eastAsia" w:ascii="宋体" w:hAnsi="宋体" w:eastAsia="宋体" w:cs="宋体"/>
          <w:color w:val="auto"/>
          <w:sz w:val="24"/>
          <w:highlight w:val="none"/>
          <w:lang w:eastAsia="zh-CN"/>
        </w:rPr>
        <w:t>；</w:t>
      </w:r>
    </w:p>
    <w:p w14:paraId="2D66146F">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12706.1-2020《额定电压 1kV (Um=1.2kV) 到 3kV (Um=3.6kV) 电缆》</w:t>
      </w:r>
      <w:r>
        <w:rPr>
          <w:rFonts w:hint="eastAsia" w:ascii="宋体" w:hAnsi="宋体" w:eastAsia="宋体" w:cs="宋体"/>
          <w:color w:val="auto"/>
          <w:sz w:val="24"/>
          <w:highlight w:val="none"/>
          <w:lang w:eastAsia="zh-CN"/>
        </w:rPr>
        <w:t>；</w:t>
      </w:r>
    </w:p>
    <w:p w14:paraId="402ABF7D">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GB/T 12706.2-2008《额定电压 6kV (Um=7.2kV) 到 35kV (Um=40.5kV) 挤包绝缘电力电缆及附件》；</w:t>
      </w:r>
    </w:p>
    <w:p w14:paraId="72DFB228">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2" w:firstLineChars="200"/>
        <w:textAlignment w:val="baseline"/>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2.改造前准备工作要求</w:t>
      </w:r>
    </w:p>
    <w:p w14:paraId="60BED4D2">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（1）投标人根据招标人提供的技术文件和现场实际情况，编制详细切实可行改造方案，经批准后实施</w:t>
      </w:r>
    </w:p>
    <w:p w14:paraId="21F26A39">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（2）投标人实施人员经安全培训后方可上岗，各工种人员须持证上岗。</w:t>
      </w:r>
    </w:p>
    <w:p w14:paraId="5EDCB978">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（3）投标人在实施作业区域设置警戒标志，落实安全措施。</w:t>
      </w:r>
    </w:p>
    <w:p w14:paraId="4D14F2B1">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（4）投标人进场实施前必须办理好各类安全作业票证，严禁违章作业。</w:t>
      </w:r>
    </w:p>
    <w:p w14:paraId="23BBBC37">
      <w:pPr>
        <w:keepNext w:val="0"/>
        <w:keepLines w:val="0"/>
        <w:pageBreakBefore w:val="0"/>
        <w:overflowPunct/>
        <w:topLinePunct w:val="0"/>
        <w:bidi w:val="0"/>
        <w:spacing w:line="360" w:lineRule="auto"/>
        <w:ind w:firstLine="500"/>
        <w:outlineLvl w:val="2"/>
        <w:rPr>
          <w:rFonts w:hint="eastAsia" w:ascii="宋体" w:hAnsi="宋体" w:eastAsia="宋体" w:cs="宋体"/>
          <w:b/>
          <w:bCs/>
          <w:color w:val="auto"/>
          <w:kern w:val="2"/>
          <w:sz w:val="24"/>
          <w:szCs w:val="24"/>
          <w:highlight w:val="none"/>
          <w:lang w:val="en-US" w:eastAsia="zh-CN" w:bidi="ar-SA"/>
        </w:rPr>
      </w:pPr>
      <w:bookmarkStart w:id="109" w:name="_Toc19918"/>
      <w:r>
        <w:rPr>
          <w:rFonts w:hint="eastAsia" w:ascii="宋体" w:hAnsi="宋体" w:eastAsia="宋体" w:cs="宋体"/>
          <w:b/>
          <w:bCs/>
          <w:color w:val="auto"/>
          <w:kern w:val="2"/>
          <w:sz w:val="24"/>
          <w:szCs w:val="24"/>
          <w:highlight w:val="none"/>
          <w:lang w:val="en-US" w:eastAsia="zh-CN" w:bidi="ar-SA"/>
        </w:rPr>
        <w:t>3.设备供电方式</w:t>
      </w:r>
      <w:bookmarkEnd w:id="109"/>
    </w:p>
    <w:p w14:paraId="74303F40">
      <w:pPr>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现场供电方式主要以集中供电方式运行，在多个水表集中区域利用控制箱集中供电，水表控制柜采用市电、蓄电池备用方案；同时考虑现场部分区域取电不便、不便于管理，优先考虑采用光伏供电；对于室内较为内部位置，均采用敷设电源电缆至电子间取电；室内网络控制柜，布置在弱电间附近由弱电间集中供电。</w:t>
      </w:r>
    </w:p>
    <w:p w14:paraId="79F78012">
      <w:pPr>
        <w:keepNext w:val="0"/>
        <w:keepLines w:val="0"/>
        <w:pageBreakBefore w:val="0"/>
        <w:overflowPunct/>
        <w:topLinePunct w:val="0"/>
        <w:bidi w:val="0"/>
        <w:spacing w:line="360" w:lineRule="auto"/>
        <w:ind w:firstLine="500"/>
        <w:outlineLvl w:val="2"/>
        <w:rPr>
          <w:rFonts w:hint="eastAsia" w:ascii="宋体" w:hAnsi="宋体" w:eastAsia="宋体" w:cs="宋体"/>
          <w:b/>
          <w:bCs/>
          <w:color w:val="auto"/>
          <w:kern w:val="2"/>
          <w:sz w:val="24"/>
          <w:szCs w:val="24"/>
          <w:highlight w:val="none"/>
          <w:lang w:val="en-US" w:eastAsia="zh-CN" w:bidi="ar-SA"/>
        </w:rPr>
      </w:pPr>
      <w:bookmarkStart w:id="110" w:name="_Toc10754"/>
      <w:r>
        <w:rPr>
          <w:rFonts w:hint="eastAsia" w:ascii="宋体" w:hAnsi="宋体" w:eastAsia="宋体" w:cs="宋体"/>
          <w:b/>
          <w:bCs/>
          <w:color w:val="auto"/>
          <w:kern w:val="2"/>
          <w:sz w:val="24"/>
          <w:szCs w:val="24"/>
          <w:highlight w:val="none"/>
          <w:lang w:val="en-US" w:eastAsia="zh-CN" w:bidi="ar-SA"/>
        </w:rPr>
        <w:t>4.数据传输方式</w:t>
      </w:r>
      <w:bookmarkEnd w:id="110"/>
    </w:p>
    <w:p w14:paraId="46067569">
      <w:pPr>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0000FF"/>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采用4G无线通讯方式进行用水信息数据传输。</w:t>
      </w:r>
      <w:r>
        <w:rPr>
          <w:rFonts w:hint="eastAsia" w:ascii="宋体" w:hAnsi="宋体" w:eastAsia="宋体" w:cs="宋体"/>
          <w:b w:val="0"/>
          <w:bCs w:val="0"/>
          <w:color w:val="0000FF"/>
          <w:kern w:val="2"/>
          <w:sz w:val="24"/>
          <w:szCs w:val="24"/>
          <w:highlight w:val="none"/>
          <w:lang w:val="en-US" w:eastAsia="zh-CN" w:bidi="ar-SA"/>
        </w:rPr>
        <w:t>供电类电磁流量计实时流量和累积流量变化率10分钟/次；光伏供电电磁流量计实时流量和累积流量变化率60分钟/次。</w:t>
      </w:r>
    </w:p>
    <w:p w14:paraId="1147A248">
      <w:pPr>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0000FF"/>
          <w:kern w:val="2"/>
          <w:sz w:val="24"/>
          <w:szCs w:val="24"/>
          <w:highlight w:val="none"/>
          <w:lang w:val="en-US" w:eastAsia="zh-CN" w:bidi="ar-SA"/>
        </w:rPr>
      </w:pPr>
      <w:r>
        <w:rPr>
          <w:rFonts w:hint="eastAsia" w:ascii="宋体" w:hAnsi="宋体" w:eastAsia="宋体" w:cs="宋体"/>
          <w:b w:val="0"/>
          <w:bCs w:val="0"/>
          <w:color w:val="0000FF"/>
          <w:kern w:val="2"/>
          <w:sz w:val="24"/>
          <w:szCs w:val="24"/>
          <w:highlight w:val="none"/>
          <w:lang w:val="en-US" w:eastAsia="zh-CN" w:bidi="ar-SA"/>
        </w:rPr>
        <w:t>需具备远程控制指令，接受指令后可以刷新实时流量和累积流量。传输频次可以通过软件或者硬件内置程序进行调整，匹配光伏储能电池容量情况下的数据传输。</w:t>
      </w:r>
    </w:p>
    <w:p w14:paraId="413472BA">
      <w:pPr>
        <w:keepNext w:val="0"/>
        <w:keepLines w:val="0"/>
        <w:pageBreakBefore w:val="0"/>
        <w:overflowPunct/>
        <w:topLinePunct w:val="0"/>
        <w:bidi w:val="0"/>
        <w:spacing w:line="360" w:lineRule="auto"/>
        <w:ind w:firstLine="5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▲5.电磁流量计要求</w:t>
      </w:r>
    </w:p>
    <w:p w14:paraId="7AC11B51">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（1）要求年故障率不得大于2% ；</w:t>
      </w:r>
    </w:p>
    <w:p w14:paraId="5D41E657">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zh-CN" w:eastAsia="zh-CN" w:bidi="ar-SA"/>
        </w:rPr>
        <w:t>）供电电源：</w:t>
      </w:r>
      <w:r>
        <w:rPr>
          <w:rFonts w:hint="eastAsia" w:ascii="宋体" w:hAnsi="宋体" w:eastAsia="宋体" w:cs="宋体"/>
          <w:b w:val="0"/>
          <w:bCs w:val="0"/>
          <w:color w:val="auto"/>
          <w:kern w:val="2"/>
          <w:sz w:val="24"/>
          <w:szCs w:val="24"/>
          <w:highlight w:val="none"/>
          <w:lang w:val="en-US" w:eastAsia="zh-CN" w:bidi="ar-SA"/>
        </w:rPr>
        <w:t>直流24V</w:t>
      </w: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断电自动储存系统数据；</w:t>
      </w:r>
    </w:p>
    <w:p w14:paraId="442E7172">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zh-CN" w:eastAsia="zh-CN" w:bidi="ar-SA"/>
        </w:rPr>
        <w:t>）输出信号：</w:t>
      </w:r>
      <w:r>
        <w:rPr>
          <w:rFonts w:hint="eastAsia" w:ascii="宋体" w:hAnsi="宋体" w:eastAsia="宋体" w:cs="宋体"/>
          <w:b w:val="0"/>
          <w:bCs w:val="0"/>
          <w:color w:val="auto"/>
          <w:kern w:val="2"/>
          <w:sz w:val="24"/>
          <w:szCs w:val="24"/>
          <w:highlight w:val="none"/>
          <w:lang w:val="en-US" w:eastAsia="zh-CN" w:bidi="ar-SA"/>
        </w:rPr>
        <w:t>标准RS485接口</w:t>
      </w:r>
      <w:r>
        <w:rPr>
          <w:rFonts w:hint="eastAsia" w:ascii="宋体" w:hAnsi="宋体" w:eastAsia="宋体" w:cs="宋体"/>
          <w:b w:val="0"/>
          <w:bCs w:val="0"/>
          <w:color w:val="auto"/>
          <w:kern w:val="2"/>
          <w:sz w:val="24"/>
          <w:szCs w:val="24"/>
          <w:highlight w:val="none"/>
          <w:lang w:val="zh-CN" w:eastAsia="zh-CN" w:bidi="ar-SA"/>
        </w:rPr>
        <w:t>；</w:t>
      </w:r>
    </w:p>
    <w:p w14:paraId="44C2F416">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zh-CN" w:eastAsia="zh-CN" w:bidi="ar-SA"/>
        </w:rPr>
        <w:t>）通讯协议：M</w:t>
      </w:r>
      <w:r>
        <w:rPr>
          <w:rFonts w:hint="eastAsia" w:ascii="宋体" w:hAnsi="宋体" w:eastAsia="宋体" w:cs="宋体"/>
          <w:b w:val="0"/>
          <w:bCs w:val="0"/>
          <w:color w:val="auto"/>
          <w:kern w:val="2"/>
          <w:sz w:val="24"/>
          <w:szCs w:val="24"/>
          <w:highlight w:val="none"/>
          <w:lang w:val="en-US" w:eastAsia="zh-CN" w:bidi="ar-SA"/>
        </w:rPr>
        <w:t>odbus</w:t>
      </w:r>
      <w:r>
        <w:rPr>
          <w:rFonts w:hint="eastAsia" w:ascii="宋体" w:hAnsi="宋体" w:eastAsia="宋体" w:cs="宋体"/>
          <w:b w:val="0"/>
          <w:bCs w:val="0"/>
          <w:color w:val="auto"/>
          <w:kern w:val="2"/>
          <w:sz w:val="24"/>
          <w:szCs w:val="24"/>
          <w:highlight w:val="none"/>
          <w:lang w:val="zh-CN" w:eastAsia="zh-CN" w:bidi="ar-SA"/>
        </w:rPr>
        <w:t>通讯协议；</w:t>
      </w:r>
    </w:p>
    <w:p w14:paraId="061AC963">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zh-CN" w:eastAsia="zh-CN" w:bidi="ar-SA"/>
        </w:rPr>
        <w:t>）精度：＜±0.2%或＜±0.5%</w:t>
      </w:r>
      <w:r>
        <w:rPr>
          <w:rFonts w:hint="eastAsia" w:ascii="宋体" w:hAnsi="宋体" w:eastAsia="宋体" w:cs="宋体"/>
          <w:b w:val="0"/>
          <w:bCs w:val="0"/>
          <w:color w:val="auto"/>
          <w:kern w:val="2"/>
          <w:sz w:val="24"/>
          <w:szCs w:val="24"/>
          <w:highlight w:val="none"/>
          <w:lang w:val="en-US" w:eastAsia="zh-CN" w:bidi="ar-SA"/>
        </w:rPr>
        <w:t>；</w:t>
      </w:r>
    </w:p>
    <w:p w14:paraId="4CAC82D4">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（6）重复性：±0.1%；</w:t>
      </w:r>
    </w:p>
    <w:p w14:paraId="1123CAC5">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（7）允许介质最高温度：一体型＜90℃，分体型＜180℃；</w:t>
      </w:r>
    </w:p>
    <w:p w14:paraId="2526B38C">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（8）环境温度：-20- +60C  ； </w:t>
      </w:r>
    </w:p>
    <w:p w14:paraId="58C2BC61">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（9）介质：水；</w:t>
      </w:r>
    </w:p>
    <w:p w14:paraId="41C1A9C2">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（10）温度： 0- +60 ℃；</w:t>
      </w:r>
    </w:p>
    <w:p w14:paraId="3D9A4D1F">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（11）防护等级：IP65及以上；</w:t>
      </w:r>
    </w:p>
    <w:p w14:paraId="638D6957">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（12）双频励磁技术，强抗干扰能力；</w:t>
      </w:r>
    </w:p>
    <w:p w14:paraId="430F0898">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（13）量程比100:1</w:t>
      </w:r>
      <w:r>
        <w:rPr>
          <w:rFonts w:hint="eastAsia" w:ascii="宋体" w:hAnsi="宋体" w:eastAsia="宋体" w:cs="宋体"/>
          <w:b w:val="0"/>
          <w:bCs w:val="0"/>
          <w:color w:val="auto"/>
          <w:kern w:val="2"/>
          <w:sz w:val="24"/>
          <w:szCs w:val="24"/>
          <w:highlight w:val="none"/>
          <w:lang w:val="en-US" w:eastAsia="zh-CN" w:bidi="ar-SA"/>
        </w:rPr>
        <w:tab/>
      </w:r>
      <w:r>
        <w:rPr>
          <w:rFonts w:hint="eastAsia" w:ascii="宋体" w:hAnsi="宋体" w:eastAsia="宋体" w:cs="宋体"/>
          <w:b w:val="0"/>
          <w:bCs w:val="0"/>
          <w:color w:val="auto"/>
          <w:kern w:val="2"/>
          <w:sz w:val="24"/>
          <w:szCs w:val="24"/>
          <w:highlight w:val="none"/>
          <w:lang w:val="en-US" w:eastAsia="zh-CN" w:bidi="ar-SA"/>
        </w:rPr>
        <w:t>；</w:t>
      </w:r>
    </w:p>
    <w:p w14:paraId="32C98ED4">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（13）电子单元：微处理器、自动校零、自诊断；</w:t>
      </w:r>
    </w:p>
    <w:p w14:paraId="79792C29">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（14）电极材料：316不锈钢；</w:t>
      </w:r>
    </w:p>
    <w:p w14:paraId="3BFEFEA7">
      <w:pPr>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（15）直管段：应满足前5D（直径）后3D安装要求；</w:t>
      </w:r>
    </w:p>
    <w:p w14:paraId="7081C0A7">
      <w:pPr>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（16）断电时的数据安全性：数据（如参数、累计值等）是由EEPROM储存。不需要备用电池；</w:t>
      </w:r>
    </w:p>
    <w:p w14:paraId="3CC8C419">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（17）自诊断功能 ：出现报警时，系统报警、过程报警、设置报警和警告以及体的对策会一起显示。</w:t>
      </w:r>
    </w:p>
    <w:p w14:paraId="4FA0D79C">
      <w:pPr>
        <w:keepNext w:val="0"/>
        <w:keepLines w:val="0"/>
        <w:pageBreakBefore w:val="0"/>
        <w:overflowPunct/>
        <w:topLinePunct w:val="0"/>
        <w:bidi w:val="0"/>
        <w:spacing w:line="360" w:lineRule="auto"/>
        <w:ind w:firstLine="500"/>
        <w:outlineLvl w:val="9"/>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18</w:t>
      </w:r>
      <w:r>
        <w:rPr>
          <w:rFonts w:hint="eastAsia" w:ascii="宋体" w:hAnsi="宋体" w:eastAsia="宋体" w:cs="宋体"/>
          <w:b w:val="0"/>
          <w:bCs w:val="0"/>
          <w:color w:val="auto"/>
          <w:kern w:val="2"/>
          <w:sz w:val="24"/>
          <w:szCs w:val="24"/>
          <w:highlight w:val="none"/>
          <w:lang w:val="zh-CN" w:eastAsia="zh-CN" w:bidi="ar-SA"/>
        </w:rPr>
        <w:t>）连接形式：法兰连接；</w:t>
      </w:r>
    </w:p>
    <w:p w14:paraId="312193A4">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ab/>
      </w:r>
      <w:r>
        <w:rPr>
          <w:rFonts w:hint="eastAsia" w:ascii="宋体" w:hAnsi="宋体" w:eastAsia="宋体" w:cs="宋体"/>
          <w:b w:val="0"/>
          <w:bCs w:val="0"/>
          <w:color w:val="auto"/>
          <w:kern w:val="2"/>
          <w:sz w:val="24"/>
          <w:szCs w:val="24"/>
          <w:highlight w:val="none"/>
          <w:lang w:val="en-US" w:eastAsia="zh-CN" w:bidi="ar-SA"/>
        </w:rPr>
        <w:t>（19）电磁流量计应易于操作，具备更换电荷电极粘污度诊断功能。</w:t>
      </w:r>
    </w:p>
    <w:p w14:paraId="21C99263">
      <w:pPr>
        <w:pStyle w:val="14"/>
        <w:keepNext w:val="0"/>
        <w:keepLines w:val="0"/>
        <w:pageBreakBefore w:val="0"/>
        <w:overflowPunct/>
        <w:topLinePunct w:val="0"/>
        <w:bidi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6.无线通讯模块要求</w:t>
      </w:r>
    </w:p>
    <w:p w14:paraId="4D01A340">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通讯终端应具备RS232、 RS485标准通讯接口和MODBUS RTU、MODBUS ASC Ⅱ工业标准通讯协议，能与流量积算仪/采集器进行通讯，读取流量积算仪中的各种测量参数及工作参数。通讯速率1200～115200bps，通信模式可设置。</w:t>
      </w:r>
    </w:p>
    <w:p w14:paraId="52E0AC6F">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设备具有自动拨号、断线重拨功能,在4G/5G网络状况不稳定时，具有自动恢复通讯能力,保证系统稳定工作,无需人为干预；当所处区域信号较弱时，可通过改动模块的信号接收和发送强度来使模块正常通讯。</w:t>
      </w:r>
    </w:p>
    <w:p w14:paraId="5621A7CF">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（1）具备加密功能（RSA+SM4两种加密算法），提供解密开发包；</w:t>
      </w:r>
    </w:p>
    <w:p w14:paraId="642F95E0">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（2）4G全网通支持7模15频，支持后续5G拓展；</w:t>
      </w:r>
    </w:p>
    <w:p w14:paraId="10959EE0">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（3）支持远程固件升级；</w:t>
      </w:r>
    </w:p>
    <w:p w14:paraId="56FCAB73">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（4）支持远程修改通讯参数；</w:t>
      </w:r>
    </w:p>
    <w:p w14:paraId="364A3DD5">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（5）具备232、485双串口；</w:t>
      </w:r>
    </w:p>
    <w:p w14:paraId="5932F329">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（6）波特率1200-460800bits/s可调；</w:t>
      </w:r>
    </w:p>
    <w:p w14:paraId="12A7637C">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（7）工作电压：9—36V；</w:t>
      </w:r>
    </w:p>
    <w:p w14:paraId="3AA03BA1">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（8）工作温度：-40℃-85℃；</w:t>
      </w:r>
    </w:p>
    <w:p w14:paraId="301C5014">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（9）工作电流：小于100mA。</w:t>
      </w:r>
    </w:p>
    <w:p w14:paraId="61CB55E8">
      <w:pPr>
        <w:keepNext w:val="0"/>
        <w:keepLines w:val="0"/>
        <w:pageBreakBefore w:val="0"/>
        <w:overflowPunct/>
        <w:topLinePunct w:val="0"/>
        <w:bidi w:val="0"/>
        <w:spacing w:line="360" w:lineRule="auto"/>
        <w:ind w:firstLine="5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▲7.供水在线监测系统功能要求</w:t>
      </w:r>
    </w:p>
    <w:p w14:paraId="617D144C">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（1）自动抄表功能：提高水量计量的时效性和准确性，具备计费页面；</w:t>
      </w:r>
    </w:p>
    <w:p w14:paraId="16809D66">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（2）表计档案功能：主要实现水表及用户信息的新增、修改、删除功能；</w:t>
      </w:r>
    </w:p>
    <w:p w14:paraId="5F231A36">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（3）用户管理功能：主要实现登录系统用户新增、删除、权限分配功能；</w:t>
      </w:r>
    </w:p>
    <w:p w14:paraId="60B16062">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（4）模块管理功能：主要实现系统功能模块的配置管理功能；</w:t>
      </w:r>
    </w:p>
    <w:p w14:paraId="0FCB767B">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（4）历史曲线功能：主要实现日期到日期的流量、总量曲线，并可以拖动对比、量程自定义等功能， 并能快速选取年、月、日等流量、总量曲线；</w:t>
      </w:r>
    </w:p>
    <w:p w14:paraId="0B8D0F39">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（5）参数设置功能：根据抄表终端功能，设置抄表终端参数（复位命令、校正抄表终端时针、设置抄表终端自动抄表时间、抄表终端表计档案装载）、控制命令、抄表终端状态检测；</w:t>
      </w:r>
    </w:p>
    <w:p w14:paraId="3D8DBC93">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（6）数据导出：主要实现将系统中的水表信息、用户信息、数据字典等参数数据导出为TXT文本格式，可以将表计日抄读、月抄读数据导成EXCEL格式，便于手工结算；</w:t>
      </w:r>
    </w:p>
    <w:p w14:paraId="01881618">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（7）日抄读：根据抄表终端功能和对抄表终端的相关设置，主要实现抄读抄表终端采集到的水表在当天抄表时段内的数据；</w:t>
      </w:r>
    </w:p>
    <w:p w14:paraId="5CC43D28">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（8）月抄读：根据抄表终端功能和对抄表终端的相关设置，主要实现抄读抄表终端采集到的水表在一个月中某个冻结时间点的数据；</w:t>
      </w:r>
    </w:p>
    <w:p w14:paraId="6F6B0856">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（9）随机抄读：根据抄表终端功能，主要实现抄读抄表终端采集到的水表在规定时间段内任意一天的数据；</w:t>
      </w:r>
    </w:p>
    <w:p w14:paraId="782BCA9E">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（10）故障报警：根据仪表控制柜传输的内容，在上位机界面显示光字牌故障信息，并记录故障日期、故障类型的功能；</w:t>
      </w:r>
    </w:p>
    <w:p w14:paraId="43090782">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（11）支持第三方通过标准OPC或者Modbus TCP采集平台数据；</w:t>
      </w:r>
    </w:p>
    <w:p w14:paraId="48AAB277">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（12）安全稳定，系统采用B/S设计架构；</w:t>
      </w:r>
    </w:p>
    <w:p w14:paraId="578D6D99">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（13）远程管理，系统除具有远程集抄功能外、同时具备丰富的远程监控管理功能；</w:t>
      </w:r>
    </w:p>
    <w:p w14:paraId="67B275C6">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（14）表计与中心服务器支持自动校时（如无法网络授时、需提供对时设备进行定时校时）；</w:t>
      </w:r>
    </w:p>
    <w:p w14:paraId="445D1C0C">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（15）故障报警等功能，能及时发现远传仪表的故障或人为破坏，并自动上报到管理中心，确保计量系统运行可靠，计量数据安全准确；</w:t>
      </w:r>
    </w:p>
    <w:p w14:paraId="0BD0E3C6">
      <w:pPr>
        <w:pStyle w:val="14"/>
        <w:keepNext w:val="0"/>
        <w:keepLines w:val="0"/>
        <w:pageBreakBefore w:val="0"/>
        <w:overflowPunct/>
        <w:topLinePunct w:val="0"/>
        <w:bidi w:val="0"/>
        <w:spacing w:line="360" w:lineRule="auto"/>
        <w:ind w:firstLine="482" w:firstLineChars="200"/>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（16）同时具备局域网网址和远端网址，支持局域网和互联网访问；</w:t>
      </w:r>
    </w:p>
    <w:p w14:paraId="2042732C">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0000FF"/>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（17）具备与招标人的MIS系统数据连接能力（MIS系统为‌南京科远智慧科技集团股份有限公司提供）、网络拓扑展示以及数据点表、端口拓展能力。</w:t>
      </w:r>
      <w:r>
        <w:rPr>
          <w:rFonts w:hint="eastAsia" w:ascii="宋体" w:hAnsi="宋体" w:eastAsia="宋体" w:cs="宋体"/>
          <w:b w:val="0"/>
          <w:bCs w:val="0"/>
          <w:color w:val="0000FF"/>
          <w:kern w:val="2"/>
          <w:sz w:val="24"/>
          <w:szCs w:val="24"/>
          <w:highlight w:val="none"/>
          <w:lang w:val="en-US" w:eastAsia="zh-CN" w:bidi="ar-SA"/>
        </w:rPr>
        <w:t>接入MIS系统由招标人负责，投标人提供供水在线监测系统数据接口，同时免费协助招标人接入MIS系统。</w:t>
      </w:r>
    </w:p>
    <w:p w14:paraId="4309E083">
      <w:pPr>
        <w:pStyle w:val="14"/>
        <w:keepNext w:val="0"/>
        <w:keepLines w:val="0"/>
        <w:pageBreakBefore w:val="0"/>
        <w:overflowPunct/>
        <w:topLinePunct w:val="0"/>
        <w:bidi w:val="0"/>
        <w:spacing w:line="360" w:lineRule="auto"/>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（18）丰富的报表功能：系统提供丰富的报表和查询功能，可从不同管理人员的关注角度进行统计和分析。</w:t>
      </w:r>
    </w:p>
    <w:p w14:paraId="31238A24">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2" w:firstLineChars="200"/>
        <w:textAlignment w:val="baseline"/>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▲8.质保要求:</w:t>
      </w:r>
    </w:p>
    <w:p w14:paraId="52CA6D68">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改造后智能水表质保期限自验收合格后不少于12个月。若质保期内出现质量问题（非质量问题除外），由投标人负责免费维修或者更换，产生的费用全部由投标人承担。若质保期不能满足要求的（非质量问题除外），投标人无条件更换或者维修，更换或者维修后质保期重新计算。</w:t>
      </w:r>
    </w:p>
    <w:p w14:paraId="65E40BE1">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2" w:firstLineChars="200"/>
        <w:textAlignment w:val="baseline"/>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四、验收要求</w:t>
      </w:r>
    </w:p>
    <w:p w14:paraId="1647CA96">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1.材料验收：</w:t>
      </w:r>
      <w:r>
        <w:rPr>
          <w:rFonts w:hint="eastAsia" w:ascii="宋体" w:hAnsi="宋体" w:cs="宋体"/>
          <w:color w:val="auto"/>
          <w:kern w:val="2"/>
          <w:sz w:val="24"/>
          <w:szCs w:val="24"/>
          <w:highlight w:val="none"/>
          <w:lang w:val="en-US" w:eastAsia="zh-CN" w:bidi="ar-SA"/>
        </w:rPr>
        <w:t>招标人有权对材料</w:t>
      </w:r>
      <w:r>
        <w:rPr>
          <w:rFonts w:hint="eastAsia" w:ascii="宋体" w:hAnsi="宋体" w:eastAsia="宋体" w:cs="宋体"/>
          <w:color w:val="auto"/>
          <w:kern w:val="2"/>
          <w:sz w:val="24"/>
          <w:szCs w:val="24"/>
          <w:highlight w:val="none"/>
          <w:lang w:val="en-US" w:eastAsia="zh-CN" w:bidi="ar-SA"/>
        </w:rPr>
        <w:t>材质进行光谱检测，若材质不满足要求的，投标人无条件予以更换至满足要求为止。</w:t>
      </w:r>
    </w:p>
    <w:p w14:paraId="22D923C6">
      <w:pPr>
        <w:keepNext w:val="0"/>
        <w:keepLines w:val="0"/>
        <w:pageBreakBefore w:val="0"/>
        <w:numPr>
          <w:ilvl w:val="0"/>
          <w:numId w:val="0"/>
        </w:numPr>
        <w:overflowPunct/>
        <w:topLinePunct w:val="0"/>
        <w:bidi w:val="0"/>
        <w:snapToGrid/>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2.设备在进场时，必须按规定进行检查验收，开箱检验必须由双方有关人员共同进行，并保管好合格证、装箱单和安装使用说明书等资料.</w:t>
      </w:r>
    </w:p>
    <w:p w14:paraId="0E2F38CE">
      <w:pPr>
        <w:keepNext w:val="0"/>
        <w:keepLines w:val="0"/>
        <w:pageBreakBefore w:val="0"/>
        <w:numPr>
          <w:ilvl w:val="0"/>
          <w:numId w:val="0"/>
        </w:numPr>
        <w:overflowPunct/>
        <w:topLinePunct w:val="0"/>
        <w:bidi w:val="0"/>
        <w:snapToGrid/>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3.安装完成后需连续试运行168小时，双方指定人员现场确认试运行结果，投标人提供整体验收报告，试运行期间设备运行正常，满足要求视为验收合格。</w:t>
      </w:r>
    </w:p>
    <w:p w14:paraId="56840A98">
      <w:pPr>
        <w:keepNext w:val="0"/>
        <w:keepLines w:val="0"/>
        <w:pageBreakBefore w:val="0"/>
        <w:numPr>
          <w:ilvl w:val="0"/>
          <w:numId w:val="0"/>
        </w:numPr>
        <w:overflowPunct/>
        <w:topLinePunct w:val="0"/>
        <w:bidi w:val="0"/>
        <w:snapToGrid/>
        <w:spacing w:line="360" w:lineRule="auto"/>
        <w:ind w:firstLine="482" w:firstLineChars="200"/>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五、质量保证、质保及售后服务</w:t>
      </w:r>
    </w:p>
    <w:p w14:paraId="13F024E8">
      <w:pPr>
        <w:keepNext w:val="0"/>
        <w:keepLines w:val="0"/>
        <w:pageBreakBefore w:val="0"/>
        <w:numPr>
          <w:ilvl w:val="0"/>
          <w:numId w:val="0"/>
        </w:numPr>
        <w:overflowPunct/>
        <w:topLinePunct w:val="0"/>
        <w:bidi w:val="0"/>
        <w:snapToGrid/>
        <w:spacing w:line="360" w:lineRule="auto"/>
        <w:ind w:firstLine="480" w:firstLineChars="200"/>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人必须满足招标人售后服务要求。如投标人所供货物或者服务在使用过程中发生问题，投标人须在接到招标人通知后24小时内做出书面答复并提供解决方案。若需要派遣技术人员，则应在接到招标人通知后，48小时内派人员到达现场进行免费指导解决问题。</w:t>
      </w:r>
    </w:p>
    <w:p w14:paraId="0B655D2A">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2.招标人不再对任何售后服务进行付费。投标人派遣人员产生的一切费用由投标人承担。</w:t>
      </w:r>
    </w:p>
    <w:p w14:paraId="06E23302">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3.在投标人所供货物或者服务使用过程中，因产品质量问题给其他机械设备造成故障或货物损坏，由投标人承担招标人的一切损失，包括直接和间接损失。</w:t>
      </w:r>
    </w:p>
    <w:p w14:paraId="38FE69DD">
      <w:pPr>
        <w:keepNext w:val="0"/>
        <w:keepLines w:val="0"/>
        <w:pageBreakBefore w:val="0"/>
        <w:wordWrap w:val="0"/>
        <w:overflowPunct/>
        <w:topLinePunct w:val="0"/>
        <w:bidi w:val="0"/>
        <w:spacing w:line="360" w:lineRule="auto"/>
        <w:ind w:firstLine="241" w:firstLineChars="100"/>
        <w:outlineLvl w:val="1"/>
        <w:rPr>
          <w:rFonts w:hint="eastAsia" w:ascii="宋体" w:hAnsi="宋体" w:eastAsia="宋体" w:cs="宋体"/>
          <w:b/>
          <w:bCs/>
          <w:color w:val="auto"/>
          <w:sz w:val="24"/>
          <w:szCs w:val="24"/>
          <w:highlight w:val="none"/>
        </w:rPr>
      </w:pPr>
      <w:bookmarkStart w:id="111" w:name="_Toc31805"/>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要求</w:t>
      </w:r>
      <w:bookmarkEnd w:id="111"/>
    </w:p>
    <w:p w14:paraId="74F7FC0D">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1.在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highlight w:val="none"/>
          <w:lang w:val="en-US" w:eastAsia="zh-CN"/>
        </w:rPr>
        <w:t>确认方案后</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投标人在90天内完成改造</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负责拆除原来的水表工作，拆下来的水表归招标人所有。</w:t>
      </w:r>
    </w:p>
    <w:p w14:paraId="67C63230">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bookmarkStart w:id="112" w:name="_Toc6813"/>
      <w:bookmarkStart w:id="113" w:name="_Toc23233"/>
      <w:r>
        <w:rPr>
          <w:rFonts w:hint="eastAsia" w:ascii="宋体" w:hAnsi="宋体" w:eastAsia="宋体" w:cs="宋体"/>
          <w:color w:val="auto"/>
          <w:kern w:val="0"/>
          <w:sz w:val="24"/>
          <w:szCs w:val="24"/>
          <w:highlight w:val="none"/>
          <w:lang w:val="en-US" w:eastAsia="zh-CN"/>
        </w:rPr>
        <w:t>投标人对实施工作人员安全负有全部责任，投标人须为工作人员购买保险，如工伤保险、意外保险等，具体由投标人自行与员工确定，若因此而引起的法律或者经济纠纷，由投标人负全责，招标人不承担任何责任。</w:t>
      </w:r>
    </w:p>
    <w:p w14:paraId="79C3281F">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3.投标人实施人员食宿自理</w:t>
      </w:r>
      <w:bookmarkEnd w:id="112"/>
      <w:bookmarkEnd w:id="113"/>
      <w:r>
        <w:rPr>
          <w:rFonts w:hint="eastAsia" w:ascii="宋体" w:hAnsi="宋体" w:eastAsia="宋体" w:cs="宋体"/>
          <w:color w:val="auto"/>
          <w:kern w:val="0"/>
          <w:sz w:val="24"/>
          <w:szCs w:val="24"/>
          <w:highlight w:val="none"/>
          <w:lang w:val="en-US" w:eastAsia="zh-CN"/>
        </w:rPr>
        <w:t>。</w:t>
      </w:r>
    </w:p>
    <w:p w14:paraId="13A594CC">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4.培训要求：智能水表改造完成后，对现场操作和系统管理维护进行培训；熟悉系统平台使用的产品和技术，熟练掌握系统整体情况。</w:t>
      </w:r>
    </w:p>
    <w:p w14:paraId="681D958E">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7A2E25B9">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2" w:firstLineChars="200"/>
        <w:textAlignment w:val="baseline"/>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七、安全要求</w:t>
      </w:r>
    </w:p>
    <w:p w14:paraId="27C0BD0D">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1.投标人应遵守招标人的现场管理制度要求，遵守国家、行业、地方法律法规，不得违章作业，接受招标人的安全教育，出现任何人员安全事故由投标人自行承担。</w:t>
      </w:r>
    </w:p>
    <w:p w14:paraId="091F3FB7">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2.投标人应充分考虑实施环境中的有毒有害气体，投标人自备设备专用工具和服务人员的所有劳防用品，如防护服、呼吸器等。</w:t>
      </w:r>
    </w:p>
    <w:p w14:paraId="787D8CEC">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rPr>
        <w:t>3.投标人在实施过程中应负责对招标人生产场地的保护，与实施区域无关进行必要隔离，若造成损坏应负责修复或赔偿。对实施区域必须做到工完料尽场地清，实施中更换下来的废旧物资应按时堆放至招标人指定的相应地点。</w:t>
      </w:r>
    </w:p>
    <w:p w14:paraId="745FC399">
      <w:pPr>
        <w:keepNext w:val="0"/>
        <w:keepLines w:val="0"/>
        <w:pageBreakBefore w:val="0"/>
        <w:wordWrap w:val="0"/>
        <w:overflowPunct/>
        <w:topLinePunct w:val="0"/>
        <w:bidi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、商务需求</w:t>
      </w:r>
    </w:p>
    <w:p w14:paraId="2888B8A4">
      <w:pPr>
        <w:keepNext w:val="0"/>
        <w:keepLines w:val="0"/>
        <w:pageBreakBefore w:val="0"/>
        <w:wordWrap w:val="0"/>
        <w:overflowPunct/>
        <w:topLinePunct w:val="0"/>
        <w:bidi w:val="0"/>
        <w:spacing w:line="360" w:lineRule="auto"/>
        <w:ind w:firstLine="482" w:firstLineChars="200"/>
        <w:outlineLvl w:val="9"/>
        <w:rPr>
          <w:rFonts w:hint="eastAsia" w:ascii="宋体" w:hAnsi="宋体" w:eastAsia="宋体" w:cs="宋体"/>
          <w:b/>
          <w:bCs/>
          <w:color w:val="auto"/>
          <w:sz w:val="24"/>
          <w:szCs w:val="24"/>
          <w:highlight w:val="none"/>
          <w:lang w:val="en-US" w:eastAsia="zh-CN"/>
        </w:rPr>
      </w:pPr>
      <w:bookmarkStart w:id="114" w:name="_Toc25912"/>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供货要求：</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bookmarkEnd w:id="114"/>
    </w:p>
    <w:p w14:paraId="2D0E1EC8">
      <w:pPr>
        <w:pStyle w:val="23"/>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80" w:firstLineChars="200"/>
        <w:textAlignment w:val="baseline"/>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付款方式：</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2026E4EE">
      <w:pPr>
        <w:keepNext w:val="0"/>
        <w:keepLines w:val="0"/>
        <w:pageBreakBefore w:val="0"/>
        <w:numPr>
          <w:ilvl w:val="0"/>
          <w:numId w:val="0"/>
        </w:numPr>
        <w:overflowPunct/>
        <w:topLinePunct w:val="0"/>
        <w:bidi w:val="0"/>
        <w:spacing w:line="360" w:lineRule="auto"/>
        <w:ind w:firstLine="482" w:firstLineChars="200"/>
        <w:outlineLvl w:val="9"/>
        <w:rPr>
          <w:rFonts w:hint="eastAsia" w:ascii="宋体" w:hAnsi="宋体" w:eastAsia="宋体" w:cs="宋体"/>
          <w:b/>
          <w:bCs/>
          <w:color w:val="auto"/>
          <w:kern w:val="21"/>
          <w:sz w:val="24"/>
          <w:szCs w:val="24"/>
          <w:highlight w:val="none"/>
        </w:rPr>
      </w:pPr>
      <w:r>
        <w:rPr>
          <w:rFonts w:hint="eastAsia" w:ascii="宋体" w:hAnsi="宋体" w:eastAsia="宋体" w:cs="宋体"/>
          <w:b/>
          <w:bCs/>
          <w:color w:val="auto"/>
          <w:sz w:val="24"/>
          <w:szCs w:val="24"/>
          <w:highlight w:val="none"/>
          <w:lang w:val="en-US" w:eastAsia="zh-CN"/>
        </w:rPr>
        <w:t>3.履约保证金：</w:t>
      </w:r>
      <w:r>
        <w:rPr>
          <w:rFonts w:hint="eastAsia" w:ascii="宋体" w:hAnsi="宋体" w:eastAsia="宋体" w:cs="宋体"/>
          <w:b w:val="0"/>
          <w:bCs/>
          <w:color w:val="auto"/>
          <w:sz w:val="24"/>
          <w:szCs w:val="24"/>
          <w:highlight w:val="none"/>
        </w:rPr>
        <w:t>见须知前附表。</w:t>
      </w:r>
    </w:p>
    <w:p w14:paraId="34693829">
      <w:pPr>
        <w:keepNext w:val="0"/>
        <w:keepLines w:val="0"/>
        <w:pageBreakBefore w:val="0"/>
        <w:numPr>
          <w:ilvl w:val="0"/>
          <w:numId w:val="0"/>
        </w:numPr>
        <w:overflowPunct/>
        <w:topLinePunct w:val="0"/>
        <w:bidi w:val="0"/>
        <w:spacing w:line="360" w:lineRule="auto"/>
        <w:ind w:firstLine="482" w:firstLineChars="200"/>
        <w:outlineLvl w:val="9"/>
        <w:rPr>
          <w:rFonts w:hint="eastAsia" w:ascii="宋体" w:hAnsi="宋体" w:eastAsia="宋体" w:cs="宋体"/>
          <w:b/>
          <w:bCs/>
          <w:color w:val="auto"/>
          <w:kern w:val="21"/>
          <w:sz w:val="24"/>
          <w:szCs w:val="24"/>
          <w:highlight w:val="none"/>
        </w:rPr>
      </w:pPr>
      <w:r>
        <w:rPr>
          <w:rFonts w:hint="eastAsia" w:ascii="宋体" w:hAnsi="宋体" w:eastAsia="宋体" w:cs="宋体"/>
          <w:b/>
          <w:bCs/>
          <w:color w:val="auto"/>
          <w:kern w:val="21"/>
          <w:sz w:val="24"/>
          <w:szCs w:val="24"/>
          <w:highlight w:val="none"/>
          <w:lang w:val="en-US" w:eastAsia="zh-CN"/>
        </w:rPr>
        <w:t>4.</w:t>
      </w:r>
      <w:r>
        <w:rPr>
          <w:rFonts w:hint="eastAsia" w:ascii="宋体" w:hAnsi="宋体" w:eastAsia="宋体" w:cs="宋体"/>
          <w:b/>
          <w:bCs/>
          <w:color w:val="auto"/>
          <w:kern w:val="21"/>
          <w:sz w:val="24"/>
          <w:szCs w:val="24"/>
          <w:highlight w:val="none"/>
        </w:rPr>
        <w:t>质量保证金</w:t>
      </w:r>
      <w:r>
        <w:rPr>
          <w:rFonts w:hint="eastAsia" w:ascii="宋体" w:hAnsi="宋体" w:eastAsia="宋体" w:cs="宋体"/>
          <w:b/>
          <w:bCs/>
          <w:color w:val="auto"/>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1CC4EAFD">
      <w:pPr>
        <w:keepNext w:val="0"/>
        <w:keepLines w:val="0"/>
        <w:pageBreakBefore w:val="0"/>
        <w:numPr>
          <w:ilvl w:val="255"/>
          <w:numId w:val="0"/>
        </w:numPr>
        <w:wordWrap w:val="0"/>
        <w:overflowPunct/>
        <w:topLinePunct w:val="0"/>
        <w:bidi w:val="0"/>
        <w:spacing w:line="360" w:lineRule="auto"/>
        <w:ind w:firstLine="480" w:firstLineChars="200"/>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注：招标文件中打▲内容为实质性要求，不允许有负偏离，否则按无效标处理。</w:t>
      </w:r>
      <w:r>
        <w:rPr>
          <w:rFonts w:hint="eastAsia" w:ascii="宋体" w:hAnsi="宋体" w:eastAsia="宋体" w:cs="宋体"/>
          <w:b/>
          <w:bCs/>
          <w:color w:val="auto"/>
          <w:sz w:val="24"/>
          <w:szCs w:val="24"/>
          <w:highlight w:val="none"/>
        </w:rPr>
        <w:t>投标人在投标文件中应根据以上要求在商务、技术偏离表中一一响应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14:paraId="1CABA9E1">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733DCB1C">
      <w:pPr>
        <w:numPr>
          <w:ilvl w:val="255"/>
          <w:numId w:val="0"/>
        </w:numPr>
        <w:wordWrap w:val="0"/>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p>
    <w:p w14:paraId="372DFBA4">
      <w:pPr>
        <w:widowControl/>
        <w:numPr>
          <w:ilvl w:val="0"/>
          <w:numId w:val="2"/>
        </w:numPr>
        <w:spacing w:line="360" w:lineRule="auto"/>
        <w:ind w:left="0" w:leftChars="0" w:firstLine="0" w:firstLineChars="0"/>
        <w:jc w:val="center"/>
        <w:outlineLvl w:val="0"/>
        <w:rPr>
          <w:rFonts w:hint="eastAsia" w:ascii="宋体" w:hAnsi="宋体" w:eastAsia="宋体" w:cs="宋体"/>
          <w:b w:val="0"/>
          <w:bCs/>
          <w:color w:val="auto"/>
          <w:kern w:val="44"/>
          <w:sz w:val="32"/>
          <w:szCs w:val="44"/>
          <w:highlight w:val="none"/>
        </w:rPr>
      </w:pPr>
      <w:bookmarkStart w:id="115" w:name="_Toc26319"/>
      <w:bookmarkStart w:id="116" w:name="_Toc3768"/>
      <w:r>
        <w:rPr>
          <w:rFonts w:hint="eastAsia" w:ascii="宋体" w:hAnsi="宋体" w:eastAsia="宋体" w:cs="宋体"/>
          <w:b w:val="0"/>
          <w:bCs/>
          <w:color w:val="auto"/>
          <w:kern w:val="44"/>
          <w:sz w:val="32"/>
          <w:szCs w:val="44"/>
          <w:highlight w:val="none"/>
          <w:lang w:val="en-US" w:eastAsia="zh-CN"/>
        </w:rPr>
        <w:t xml:space="preserve"> </w:t>
      </w:r>
      <w:r>
        <w:rPr>
          <w:rFonts w:hint="eastAsia" w:ascii="宋体" w:hAnsi="宋体" w:eastAsia="宋体" w:cs="宋体"/>
          <w:b w:val="0"/>
          <w:bCs/>
          <w:color w:val="auto"/>
          <w:kern w:val="44"/>
          <w:sz w:val="32"/>
          <w:szCs w:val="44"/>
          <w:highlight w:val="none"/>
        </w:rPr>
        <w:t>评标方法及评价标准</w:t>
      </w:r>
      <w:bookmarkEnd w:id="115"/>
      <w:bookmarkEnd w:id="116"/>
    </w:p>
    <w:p w14:paraId="3C91FC92">
      <w:pPr>
        <w:pStyle w:val="4"/>
        <w:spacing w:before="140" w:after="140" w:line="360" w:lineRule="auto"/>
        <w:jc w:val="center"/>
        <w:rPr>
          <w:rFonts w:hint="eastAsia" w:ascii="宋体" w:hAnsi="宋体" w:eastAsia="宋体" w:cs="宋体"/>
          <w:color w:val="auto"/>
          <w:sz w:val="24"/>
          <w:szCs w:val="24"/>
          <w:highlight w:val="none"/>
        </w:rPr>
      </w:pPr>
      <w:bookmarkStart w:id="117" w:name="_Toc6803"/>
      <w:bookmarkStart w:id="118" w:name="_Toc12216"/>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bookmarkEnd w:id="117"/>
    </w:p>
    <w:p w14:paraId="58B051CD">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本</w:t>
      </w:r>
      <w:r>
        <w:rPr>
          <w:rFonts w:hint="eastAsia" w:ascii="宋体" w:hAnsi="宋体" w:eastAsia="宋体" w:cs="宋体"/>
          <w:color w:val="auto"/>
          <w:spacing w:val="9"/>
          <w:sz w:val="24"/>
          <w:szCs w:val="24"/>
          <w:highlight w:val="none"/>
        </w:rPr>
        <w:t>项目评标方法及标准采用</w:t>
      </w:r>
      <w:r>
        <w:rPr>
          <w:rFonts w:hint="eastAsia" w:ascii="宋体" w:hAnsi="宋体" w:eastAsia="宋体" w:cs="宋体"/>
          <w:b/>
          <w:bCs/>
          <w:color w:val="auto"/>
          <w:spacing w:val="9"/>
          <w:sz w:val="24"/>
          <w:szCs w:val="24"/>
          <w:highlight w:val="none"/>
        </w:rPr>
        <w:t>综合</w:t>
      </w:r>
      <w:r>
        <w:rPr>
          <w:rFonts w:hint="eastAsia" w:ascii="宋体" w:hAnsi="宋体" w:eastAsia="宋体" w:cs="宋体"/>
          <w:b/>
          <w:bCs/>
          <w:color w:val="auto"/>
          <w:spacing w:val="9"/>
          <w:sz w:val="24"/>
          <w:szCs w:val="24"/>
          <w:highlight w:val="none"/>
          <w:lang w:val="en-US" w:eastAsia="zh-CN"/>
        </w:rPr>
        <w:t>评分</w:t>
      </w:r>
      <w:r>
        <w:rPr>
          <w:rFonts w:hint="eastAsia" w:ascii="宋体" w:hAnsi="宋体" w:eastAsia="宋体" w:cs="宋体"/>
          <w:b/>
          <w:bCs/>
          <w:color w:val="auto"/>
          <w:spacing w:val="9"/>
          <w:sz w:val="24"/>
          <w:szCs w:val="24"/>
          <w:highlight w:val="none"/>
        </w:rPr>
        <w:t>法</w:t>
      </w:r>
      <w:r>
        <w:rPr>
          <w:rFonts w:hint="eastAsia" w:ascii="宋体" w:hAnsi="宋体" w:eastAsia="宋体" w:cs="宋体"/>
          <w:color w:val="auto"/>
          <w:spacing w:val="11"/>
          <w:sz w:val="24"/>
          <w:szCs w:val="24"/>
          <w:highlight w:val="none"/>
        </w:rPr>
        <w:t>。</w:t>
      </w:r>
    </w:p>
    <w:p w14:paraId="3815B538">
      <w:pPr>
        <w:pStyle w:val="4"/>
        <w:spacing w:before="140" w:after="140" w:line="360" w:lineRule="auto"/>
        <w:jc w:val="center"/>
        <w:rPr>
          <w:rFonts w:hint="eastAsia" w:ascii="宋体" w:hAnsi="宋体" w:eastAsia="宋体" w:cs="宋体"/>
          <w:color w:val="auto"/>
          <w:sz w:val="24"/>
          <w:szCs w:val="24"/>
          <w:highlight w:val="none"/>
        </w:rPr>
      </w:pPr>
      <w:bookmarkStart w:id="119" w:name="_Toc31969"/>
      <w:r>
        <w:rPr>
          <w:rFonts w:hint="eastAsia" w:ascii="宋体" w:hAnsi="宋体" w:eastAsia="宋体" w:cs="宋体"/>
          <w:color w:val="auto"/>
          <w:sz w:val="24"/>
          <w:szCs w:val="24"/>
          <w:highlight w:val="none"/>
        </w:rPr>
        <w:t>2、评标程序</w:t>
      </w:r>
      <w:bookmarkEnd w:id="119"/>
    </w:p>
    <w:p w14:paraId="55C2814D">
      <w:pPr>
        <w:spacing w:line="440" w:lineRule="exact"/>
        <w:ind w:firstLine="41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评标委员会按照以下程序开展评标工</w:t>
      </w:r>
      <w:r>
        <w:rPr>
          <w:rFonts w:hint="eastAsia" w:ascii="宋体" w:hAnsi="宋体" w:eastAsia="宋体" w:cs="宋体"/>
          <w:color w:val="auto"/>
          <w:spacing w:val="8"/>
          <w:sz w:val="24"/>
          <w:szCs w:val="24"/>
          <w:highlight w:val="none"/>
        </w:rPr>
        <w:t>作</w:t>
      </w:r>
      <w:r>
        <w:rPr>
          <w:rFonts w:hint="eastAsia" w:ascii="宋体" w:hAnsi="宋体" w:eastAsia="宋体" w:cs="宋体"/>
          <w:color w:val="auto"/>
          <w:spacing w:val="10"/>
          <w:sz w:val="24"/>
          <w:szCs w:val="24"/>
          <w:highlight w:val="none"/>
        </w:rPr>
        <w:t>。</w:t>
      </w:r>
    </w:p>
    <w:p w14:paraId="758E657E">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2.1 </w:t>
      </w:r>
      <w:r>
        <w:rPr>
          <w:rFonts w:hint="eastAsia" w:ascii="宋体" w:hAnsi="宋体" w:eastAsia="宋体" w:cs="宋体"/>
          <w:color w:val="auto"/>
          <w:spacing w:val="5"/>
          <w:sz w:val="24"/>
          <w:szCs w:val="24"/>
          <w:highlight w:val="none"/>
        </w:rPr>
        <w:t>熟悉招标</w:t>
      </w:r>
      <w:r>
        <w:rPr>
          <w:rFonts w:hint="eastAsia" w:ascii="宋体" w:hAnsi="宋体" w:eastAsia="宋体" w:cs="宋体"/>
          <w:color w:val="auto"/>
          <w:spacing w:val="4"/>
          <w:sz w:val="24"/>
          <w:szCs w:val="24"/>
          <w:highlight w:val="none"/>
        </w:rPr>
        <w:t>文件和评标办法</w:t>
      </w:r>
      <w:r>
        <w:rPr>
          <w:rFonts w:hint="eastAsia" w:ascii="宋体" w:hAnsi="宋体" w:eastAsia="宋体" w:cs="宋体"/>
          <w:color w:val="auto"/>
          <w:spacing w:val="5"/>
          <w:sz w:val="24"/>
          <w:szCs w:val="24"/>
          <w:highlight w:val="none"/>
        </w:rPr>
        <w:t>；</w:t>
      </w:r>
    </w:p>
    <w:p w14:paraId="6D16970E">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2.2资格审查</w:t>
      </w:r>
      <w:r>
        <w:rPr>
          <w:rFonts w:hint="eastAsia" w:ascii="宋体" w:hAnsi="宋体" w:eastAsia="宋体" w:cs="宋体"/>
          <w:color w:val="auto"/>
          <w:spacing w:val="-5"/>
          <w:sz w:val="24"/>
          <w:szCs w:val="24"/>
          <w:highlight w:val="none"/>
        </w:rPr>
        <w:t>；</w:t>
      </w:r>
    </w:p>
    <w:p w14:paraId="288D2CC1">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2.3初步评审</w:t>
      </w:r>
      <w:r>
        <w:rPr>
          <w:rFonts w:hint="eastAsia" w:ascii="宋体" w:hAnsi="宋体" w:eastAsia="宋体" w:cs="宋体"/>
          <w:color w:val="auto"/>
          <w:spacing w:val="-5"/>
          <w:sz w:val="24"/>
          <w:szCs w:val="24"/>
          <w:highlight w:val="none"/>
        </w:rPr>
        <w:t>；</w:t>
      </w:r>
    </w:p>
    <w:p w14:paraId="519DD962">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
          <w:sz w:val="24"/>
          <w:szCs w:val="24"/>
          <w:highlight w:val="none"/>
        </w:rPr>
        <w:t>3.1符合性审查</w:t>
      </w:r>
      <w:r>
        <w:rPr>
          <w:rFonts w:hint="eastAsia" w:ascii="宋体" w:hAnsi="宋体" w:eastAsia="宋体" w:cs="宋体"/>
          <w:color w:val="auto"/>
          <w:spacing w:val="2"/>
          <w:sz w:val="24"/>
          <w:szCs w:val="24"/>
          <w:highlight w:val="none"/>
        </w:rPr>
        <w:t>；</w:t>
      </w:r>
    </w:p>
    <w:p w14:paraId="47E08CA5">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
          <w:sz w:val="24"/>
          <w:szCs w:val="24"/>
          <w:highlight w:val="none"/>
        </w:rPr>
        <w:t xml:space="preserve"> 有效标的确定</w:t>
      </w:r>
      <w:r>
        <w:rPr>
          <w:rFonts w:hint="eastAsia" w:ascii="宋体" w:hAnsi="宋体" w:eastAsia="宋体" w:cs="宋体"/>
          <w:color w:val="auto"/>
          <w:spacing w:val="3"/>
          <w:sz w:val="24"/>
          <w:szCs w:val="24"/>
          <w:highlight w:val="none"/>
        </w:rPr>
        <w:t>；</w:t>
      </w:r>
    </w:p>
    <w:p w14:paraId="323F54ED">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2.4详细评审</w:t>
      </w:r>
      <w:r>
        <w:rPr>
          <w:rFonts w:hint="eastAsia" w:ascii="宋体" w:hAnsi="宋体" w:eastAsia="宋体" w:cs="宋体"/>
          <w:color w:val="auto"/>
          <w:spacing w:val="-5"/>
          <w:sz w:val="24"/>
          <w:szCs w:val="24"/>
          <w:highlight w:val="none"/>
        </w:rPr>
        <w:t>；</w:t>
      </w:r>
    </w:p>
    <w:p w14:paraId="73A2B4CE">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2.5 </w:t>
      </w:r>
      <w:r>
        <w:rPr>
          <w:rFonts w:hint="eastAsia" w:ascii="宋体" w:hAnsi="宋体" w:eastAsia="宋体" w:cs="宋体"/>
          <w:color w:val="auto"/>
          <w:spacing w:val="5"/>
          <w:sz w:val="24"/>
          <w:szCs w:val="24"/>
          <w:highlight w:val="none"/>
        </w:rPr>
        <w:t>投标文</w:t>
      </w:r>
      <w:r>
        <w:rPr>
          <w:rFonts w:hint="eastAsia" w:ascii="宋体" w:hAnsi="宋体" w:eastAsia="宋体" w:cs="宋体"/>
          <w:color w:val="auto"/>
          <w:spacing w:val="4"/>
          <w:sz w:val="24"/>
          <w:szCs w:val="24"/>
          <w:highlight w:val="none"/>
        </w:rPr>
        <w:t>件澄清</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报价修正</w:t>
      </w:r>
      <w:r>
        <w:rPr>
          <w:rFonts w:hint="eastAsia" w:ascii="宋体" w:hAnsi="宋体" w:eastAsia="宋体" w:cs="宋体"/>
          <w:color w:val="auto"/>
          <w:spacing w:val="5"/>
          <w:sz w:val="24"/>
          <w:szCs w:val="24"/>
          <w:highlight w:val="none"/>
        </w:rPr>
        <w:t>；</w:t>
      </w:r>
    </w:p>
    <w:p w14:paraId="787B7A3B">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2.6 </w:t>
      </w:r>
      <w:r>
        <w:rPr>
          <w:rFonts w:hint="eastAsia" w:ascii="宋体" w:hAnsi="宋体" w:eastAsia="宋体" w:cs="宋体"/>
          <w:color w:val="auto"/>
          <w:spacing w:val="4"/>
          <w:sz w:val="24"/>
          <w:szCs w:val="24"/>
          <w:highlight w:val="none"/>
        </w:rPr>
        <w:t>排序与推荐中标</w:t>
      </w:r>
      <w:r>
        <w:rPr>
          <w:rFonts w:hint="eastAsia" w:ascii="宋体" w:hAnsi="宋体" w:eastAsia="宋体" w:cs="宋体"/>
          <w:color w:val="auto"/>
          <w:spacing w:val="3"/>
          <w:sz w:val="24"/>
          <w:szCs w:val="24"/>
          <w:highlight w:val="none"/>
        </w:rPr>
        <w:t>候选人</w:t>
      </w:r>
      <w:r>
        <w:rPr>
          <w:rFonts w:hint="eastAsia" w:ascii="宋体" w:hAnsi="宋体" w:eastAsia="宋体" w:cs="宋体"/>
          <w:color w:val="auto"/>
          <w:spacing w:val="5"/>
          <w:sz w:val="24"/>
          <w:szCs w:val="24"/>
          <w:highlight w:val="none"/>
        </w:rPr>
        <w:t>；</w:t>
      </w:r>
    </w:p>
    <w:p w14:paraId="353462D1">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2.7 </w:t>
      </w:r>
      <w:r>
        <w:rPr>
          <w:rFonts w:hint="eastAsia" w:ascii="宋体" w:hAnsi="宋体" w:eastAsia="宋体" w:cs="宋体"/>
          <w:color w:val="auto"/>
          <w:spacing w:val="1"/>
          <w:sz w:val="24"/>
          <w:szCs w:val="24"/>
          <w:highlight w:val="none"/>
        </w:rPr>
        <w:t>完成评标报告</w:t>
      </w:r>
      <w:r>
        <w:rPr>
          <w:rFonts w:hint="eastAsia" w:ascii="宋体" w:hAnsi="宋体" w:eastAsia="宋体" w:cs="宋体"/>
          <w:color w:val="auto"/>
          <w:spacing w:val="3"/>
          <w:sz w:val="24"/>
          <w:szCs w:val="24"/>
          <w:highlight w:val="none"/>
        </w:rPr>
        <w:t>。</w:t>
      </w:r>
    </w:p>
    <w:p w14:paraId="366FF84D">
      <w:pPr>
        <w:pStyle w:val="4"/>
        <w:spacing w:before="140" w:after="140" w:line="360" w:lineRule="auto"/>
        <w:jc w:val="center"/>
        <w:rPr>
          <w:rFonts w:hint="eastAsia" w:ascii="宋体" w:hAnsi="宋体" w:eastAsia="宋体" w:cs="宋体"/>
          <w:color w:val="auto"/>
          <w:sz w:val="24"/>
          <w:szCs w:val="24"/>
          <w:highlight w:val="none"/>
        </w:rPr>
      </w:pPr>
      <w:bookmarkStart w:id="120" w:name="_Toc10121"/>
      <w:r>
        <w:rPr>
          <w:rFonts w:hint="eastAsia" w:ascii="宋体" w:hAnsi="宋体" w:eastAsia="宋体" w:cs="宋体"/>
          <w:color w:val="auto"/>
          <w:sz w:val="24"/>
          <w:szCs w:val="24"/>
          <w:highlight w:val="none"/>
        </w:rPr>
        <w:t>3、资格审查</w:t>
      </w:r>
      <w:bookmarkEnd w:id="120"/>
    </w:p>
    <w:p w14:paraId="33403263">
      <w:pPr>
        <w:spacing w:line="440" w:lineRule="exact"/>
        <w:ind w:right="2" w:firstLine="4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3.1 </w:t>
      </w:r>
      <w:r>
        <w:rPr>
          <w:rFonts w:hint="eastAsia" w:ascii="宋体" w:hAnsi="宋体" w:eastAsia="宋体" w:cs="宋体"/>
          <w:color w:val="auto"/>
          <w:spacing w:val="11"/>
          <w:sz w:val="24"/>
          <w:szCs w:val="24"/>
          <w:highlight w:val="none"/>
        </w:rPr>
        <w:t>评标委员会按照招标文件的要求和规定，对投标人的投</w:t>
      </w:r>
      <w:r>
        <w:rPr>
          <w:rFonts w:hint="eastAsia" w:ascii="宋体" w:hAnsi="宋体" w:eastAsia="宋体" w:cs="宋体"/>
          <w:color w:val="auto"/>
          <w:spacing w:val="10"/>
          <w:sz w:val="24"/>
          <w:szCs w:val="24"/>
          <w:highlight w:val="none"/>
        </w:rPr>
        <w:t>标资格进行审查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w:t>
      </w:r>
      <w:r>
        <w:rPr>
          <w:rFonts w:hint="eastAsia" w:ascii="宋体" w:hAnsi="宋体" w:eastAsia="宋体" w:cs="宋体"/>
          <w:color w:val="auto"/>
          <w:spacing w:val="9"/>
          <w:sz w:val="24"/>
          <w:szCs w:val="24"/>
          <w:highlight w:val="none"/>
        </w:rPr>
        <w:t>之一的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资格审查不予通过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否决其投标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不再进行后续评审</w:t>
      </w:r>
      <w:r>
        <w:rPr>
          <w:rFonts w:hint="eastAsia" w:ascii="宋体" w:hAnsi="宋体" w:eastAsia="宋体" w:cs="宋体"/>
          <w:color w:val="auto"/>
          <w:spacing w:val="11"/>
          <w:sz w:val="24"/>
          <w:szCs w:val="24"/>
          <w:highlight w:val="none"/>
        </w:rPr>
        <w:t>：</w:t>
      </w:r>
    </w:p>
    <w:p w14:paraId="6092D747">
      <w:pPr>
        <w:spacing w:line="440" w:lineRule="exact"/>
        <w:ind w:firstLine="429"/>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pacing w:val="9"/>
          <w:sz w:val="24"/>
          <w:szCs w:val="24"/>
          <w:highlight w:val="none"/>
          <w:u w:val="single"/>
        </w:rPr>
        <w:t>（</w:t>
      </w:r>
      <w:r>
        <w:rPr>
          <w:rFonts w:hint="eastAsia" w:ascii="宋体" w:hAnsi="宋体" w:eastAsia="宋体" w:cs="宋体"/>
          <w:b w:val="0"/>
          <w:bCs/>
          <w:color w:val="auto"/>
          <w:spacing w:val="5"/>
          <w:sz w:val="24"/>
          <w:szCs w:val="24"/>
          <w:highlight w:val="none"/>
          <w:u w:val="single"/>
        </w:rPr>
        <w:t>1</w:t>
      </w:r>
      <w:r>
        <w:rPr>
          <w:rFonts w:hint="eastAsia" w:ascii="宋体" w:hAnsi="宋体" w:eastAsia="宋体" w:cs="宋体"/>
          <w:b w:val="0"/>
          <w:bCs/>
          <w:color w:val="auto"/>
          <w:spacing w:val="10"/>
          <w:sz w:val="24"/>
          <w:szCs w:val="24"/>
          <w:highlight w:val="none"/>
          <w:u w:val="single"/>
        </w:rPr>
        <w:t>）</w:t>
      </w:r>
      <w:r>
        <w:rPr>
          <w:rFonts w:hint="eastAsia" w:ascii="宋体" w:hAnsi="宋体" w:eastAsia="宋体" w:cs="宋体"/>
          <w:b w:val="0"/>
          <w:bCs/>
          <w:color w:val="auto"/>
          <w:spacing w:val="9"/>
          <w:sz w:val="24"/>
          <w:szCs w:val="24"/>
          <w:highlight w:val="none"/>
          <w:u w:val="single"/>
        </w:rPr>
        <w:t>投标人不满足招标公告中载明的投</w:t>
      </w:r>
      <w:r>
        <w:rPr>
          <w:rFonts w:hint="eastAsia" w:ascii="宋体" w:hAnsi="宋体" w:eastAsia="宋体" w:cs="宋体"/>
          <w:b w:val="0"/>
          <w:bCs/>
          <w:color w:val="auto"/>
          <w:spacing w:val="8"/>
          <w:sz w:val="24"/>
          <w:szCs w:val="24"/>
          <w:highlight w:val="none"/>
          <w:u w:val="single"/>
        </w:rPr>
        <w:t>标人资格条件的</w:t>
      </w:r>
      <w:r>
        <w:rPr>
          <w:rFonts w:hint="eastAsia" w:ascii="宋体" w:hAnsi="宋体" w:eastAsia="宋体" w:cs="宋体"/>
          <w:b w:val="0"/>
          <w:bCs/>
          <w:color w:val="auto"/>
          <w:spacing w:val="10"/>
          <w:sz w:val="24"/>
          <w:szCs w:val="24"/>
          <w:highlight w:val="none"/>
          <w:u w:val="single"/>
        </w:rPr>
        <w:t>；</w:t>
      </w:r>
    </w:p>
    <w:p w14:paraId="39D412C4">
      <w:pPr>
        <w:spacing w:line="440" w:lineRule="exact"/>
        <w:ind w:firstLine="429"/>
        <w:rPr>
          <w:rFonts w:hint="eastAsia" w:ascii="宋体" w:hAnsi="宋体" w:eastAsia="宋体" w:cs="宋体"/>
          <w:b w:val="0"/>
          <w:bCs/>
          <w:color w:val="auto"/>
          <w:spacing w:val="10"/>
          <w:sz w:val="24"/>
          <w:szCs w:val="24"/>
          <w:highlight w:val="none"/>
          <w:u w:val="single"/>
        </w:rPr>
      </w:pPr>
      <w:r>
        <w:rPr>
          <w:rFonts w:hint="eastAsia" w:ascii="宋体" w:hAnsi="宋体" w:eastAsia="宋体" w:cs="宋体"/>
          <w:b w:val="0"/>
          <w:bCs/>
          <w:color w:val="auto"/>
          <w:spacing w:val="9"/>
          <w:sz w:val="24"/>
          <w:szCs w:val="24"/>
          <w:highlight w:val="none"/>
          <w:u w:val="single"/>
        </w:rPr>
        <w:t>（</w:t>
      </w:r>
      <w:r>
        <w:rPr>
          <w:rFonts w:hint="eastAsia" w:ascii="宋体" w:hAnsi="宋体" w:eastAsia="宋体" w:cs="宋体"/>
          <w:b w:val="0"/>
          <w:bCs/>
          <w:color w:val="auto"/>
          <w:spacing w:val="6"/>
          <w:sz w:val="24"/>
          <w:szCs w:val="24"/>
          <w:highlight w:val="none"/>
          <w:u w:val="single"/>
        </w:rPr>
        <w:t>2</w:t>
      </w:r>
      <w:r>
        <w:rPr>
          <w:rFonts w:hint="eastAsia" w:ascii="宋体" w:hAnsi="宋体" w:eastAsia="宋体" w:cs="宋体"/>
          <w:b w:val="0"/>
          <w:bCs/>
          <w:color w:val="auto"/>
          <w:spacing w:val="10"/>
          <w:sz w:val="24"/>
          <w:szCs w:val="24"/>
          <w:highlight w:val="none"/>
          <w:u w:val="single"/>
        </w:rPr>
        <w:t>）</w:t>
      </w:r>
      <w:r>
        <w:rPr>
          <w:rFonts w:hint="eastAsia" w:ascii="宋体" w:hAnsi="宋体" w:eastAsia="宋体" w:cs="宋体"/>
          <w:b w:val="0"/>
          <w:bCs/>
          <w:color w:val="auto"/>
          <w:spacing w:val="9"/>
          <w:sz w:val="24"/>
          <w:szCs w:val="24"/>
          <w:highlight w:val="none"/>
          <w:u w:val="single"/>
        </w:rPr>
        <w:t>存在法律</w:t>
      </w:r>
      <w:r>
        <w:rPr>
          <w:rFonts w:hint="eastAsia" w:ascii="宋体" w:hAnsi="宋体" w:eastAsia="宋体" w:cs="宋体"/>
          <w:b w:val="0"/>
          <w:bCs/>
          <w:color w:val="auto"/>
          <w:spacing w:val="10"/>
          <w:sz w:val="24"/>
          <w:szCs w:val="24"/>
          <w:highlight w:val="none"/>
          <w:u w:val="single"/>
        </w:rPr>
        <w:t>、</w:t>
      </w:r>
      <w:r>
        <w:rPr>
          <w:rFonts w:hint="eastAsia" w:ascii="宋体" w:hAnsi="宋体" w:eastAsia="宋体" w:cs="宋体"/>
          <w:b w:val="0"/>
          <w:bCs/>
          <w:color w:val="auto"/>
          <w:spacing w:val="9"/>
          <w:sz w:val="24"/>
          <w:szCs w:val="24"/>
          <w:highlight w:val="none"/>
          <w:u w:val="single"/>
        </w:rPr>
        <w:t>法规规定</w:t>
      </w:r>
      <w:r>
        <w:rPr>
          <w:rFonts w:hint="eastAsia" w:ascii="宋体" w:hAnsi="宋体" w:eastAsia="宋体" w:cs="宋体"/>
          <w:b w:val="0"/>
          <w:bCs/>
          <w:color w:val="auto"/>
          <w:spacing w:val="8"/>
          <w:sz w:val="24"/>
          <w:szCs w:val="24"/>
          <w:highlight w:val="none"/>
          <w:u w:val="single"/>
        </w:rPr>
        <w:t>的其他否决投标情形的</w:t>
      </w:r>
      <w:r>
        <w:rPr>
          <w:rFonts w:hint="eastAsia" w:ascii="宋体" w:hAnsi="宋体" w:eastAsia="宋体" w:cs="宋体"/>
          <w:b w:val="0"/>
          <w:bCs/>
          <w:color w:val="auto"/>
          <w:spacing w:val="10"/>
          <w:sz w:val="24"/>
          <w:szCs w:val="24"/>
          <w:highlight w:val="none"/>
          <w:u w:val="single"/>
        </w:rPr>
        <w:t>；</w:t>
      </w:r>
    </w:p>
    <w:p w14:paraId="27BA23C6">
      <w:pPr>
        <w:spacing w:line="440" w:lineRule="exact"/>
        <w:ind w:left="1" w:firstLine="421"/>
        <w:rPr>
          <w:rFonts w:hint="eastAsia" w:ascii="宋体" w:hAnsi="宋体" w:eastAsia="宋体" w:cs="宋体"/>
          <w:color w:val="auto"/>
          <w:spacing w:val="4"/>
          <w:sz w:val="24"/>
          <w:szCs w:val="24"/>
          <w:highlight w:val="none"/>
        </w:rPr>
      </w:pPr>
      <w:r>
        <w:rPr>
          <w:rFonts w:hint="eastAsia" w:ascii="宋体" w:hAnsi="宋体" w:eastAsia="宋体" w:cs="宋体"/>
          <w:color w:val="auto"/>
          <w:spacing w:val="6"/>
          <w:sz w:val="24"/>
          <w:szCs w:val="24"/>
          <w:highlight w:val="none"/>
        </w:rPr>
        <w:t xml:space="preserve">3.2 </w:t>
      </w:r>
      <w:r>
        <w:rPr>
          <w:rFonts w:hint="eastAsia" w:ascii="宋体" w:hAnsi="宋体" w:eastAsia="宋体" w:cs="宋体"/>
          <w:color w:val="auto"/>
          <w:spacing w:val="11"/>
          <w:sz w:val="24"/>
          <w:szCs w:val="24"/>
          <w:highlight w:val="none"/>
        </w:rPr>
        <w:t>资格审查过程中，评标委员会可以要求投标人提交资格审查所</w:t>
      </w:r>
      <w:r>
        <w:rPr>
          <w:rFonts w:hint="eastAsia" w:ascii="宋体" w:hAnsi="宋体" w:eastAsia="宋体" w:cs="宋体"/>
          <w:color w:val="auto"/>
          <w:spacing w:val="10"/>
          <w:sz w:val="24"/>
          <w:szCs w:val="24"/>
          <w:highlight w:val="none"/>
        </w:rPr>
        <w:t>需的有关证明的原件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以便</w:t>
      </w:r>
      <w:r>
        <w:rPr>
          <w:rFonts w:hint="eastAsia" w:ascii="宋体" w:hAnsi="宋体" w:eastAsia="宋体" w:cs="宋体"/>
          <w:color w:val="auto"/>
          <w:spacing w:val="3"/>
          <w:sz w:val="24"/>
          <w:szCs w:val="24"/>
          <w:highlight w:val="none"/>
        </w:rPr>
        <w:t>核验</w:t>
      </w:r>
      <w:r>
        <w:rPr>
          <w:rFonts w:hint="eastAsia" w:ascii="宋体" w:hAnsi="宋体" w:eastAsia="宋体" w:cs="宋体"/>
          <w:color w:val="auto"/>
          <w:spacing w:val="4"/>
          <w:sz w:val="24"/>
          <w:szCs w:val="24"/>
          <w:highlight w:val="none"/>
        </w:rPr>
        <w:t>。</w:t>
      </w:r>
    </w:p>
    <w:p w14:paraId="6E9694D6">
      <w:pPr>
        <w:keepNext w:val="0"/>
        <w:keepLines w:val="0"/>
        <w:widowControl/>
        <w:suppressLineNumbers w:val="0"/>
        <w:spacing w:before="0" w:beforeAutospacing="0" w:after="0" w:afterAutospacing="0" w:line="440" w:lineRule="exact"/>
        <w:ind w:left="0" w:right="2" w:firstLine="423"/>
        <w:jc w:val="left"/>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42C7F0DE">
      <w:pPr>
        <w:pStyle w:val="4"/>
        <w:spacing w:before="140" w:after="140" w:line="360" w:lineRule="auto"/>
        <w:jc w:val="center"/>
        <w:rPr>
          <w:rFonts w:hint="eastAsia" w:ascii="宋体" w:hAnsi="宋体" w:eastAsia="宋体" w:cs="宋体"/>
          <w:color w:val="auto"/>
          <w:sz w:val="24"/>
          <w:szCs w:val="24"/>
          <w:highlight w:val="none"/>
        </w:rPr>
      </w:pPr>
      <w:bookmarkStart w:id="121" w:name="_Toc18760"/>
      <w:r>
        <w:rPr>
          <w:rFonts w:hint="eastAsia" w:ascii="宋体" w:hAnsi="宋体" w:eastAsia="宋体" w:cs="宋体"/>
          <w:color w:val="auto"/>
          <w:sz w:val="24"/>
          <w:szCs w:val="24"/>
          <w:highlight w:val="none"/>
        </w:rPr>
        <w:t>4、初步评审</w:t>
      </w:r>
      <w:bookmarkEnd w:id="121"/>
    </w:p>
    <w:p w14:paraId="651C55E2">
      <w:pPr>
        <w:spacing w:line="440" w:lineRule="exact"/>
        <w:ind w:firstLine="418"/>
        <w:contextualSpacing/>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4.1 </w:t>
      </w:r>
      <w:r>
        <w:rPr>
          <w:rFonts w:hint="eastAsia" w:ascii="宋体" w:hAnsi="宋体" w:eastAsia="宋体" w:cs="宋体"/>
          <w:color w:val="auto"/>
          <w:spacing w:val="2"/>
          <w:sz w:val="24"/>
          <w:szCs w:val="24"/>
          <w:highlight w:val="none"/>
        </w:rPr>
        <w:t>符合性审</w:t>
      </w:r>
      <w:r>
        <w:rPr>
          <w:rFonts w:hint="eastAsia" w:ascii="宋体" w:hAnsi="宋体" w:eastAsia="宋体" w:cs="宋体"/>
          <w:color w:val="auto"/>
          <w:spacing w:val="1"/>
          <w:sz w:val="24"/>
          <w:szCs w:val="24"/>
          <w:highlight w:val="none"/>
        </w:rPr>
        <w:t>查</w:t>
      </w:r>
    </w:p>
    <w:p w14:paraId="03E4F227">
      <w:pPr>
        <w:spacing w:line="440" w:lineRule="exact"/>
        <w:ind w:firstLine="41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评标委员会应当对通过资格审查的投标人的投标文件进</w:t>
      </w:r>
      <w:r>
        <w:rPr>
          <w:rFonts w:hint="eastAsia" w:ascii="宋体" w:hAnsi="宋体" w:eastAsia="宋体" w:cs="宋体"/>
          <w:color w:val="auto"/>
          <w:spacing w:val="10"/>
          <w:sz w:val="24"/>
          <w:szCs w:val="24"/>
          <w:highlight w:val="none"/>
        </w:rPr>
        <w:t>行符合性审查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投标人存在以下情形之</w:t>
      </w:r>
      <w:r>
        <w:rPr>
          <w:rFonts w:hint="eastAsia" w:ascii="宋体" w:hAnsi="宋体" w:eastAsia="宋体" w:cs="宋体"/>
          <w:color w:val="auto"/>
          <w:spacing w:val="9"/>
          <w:position w:val="2"/>
          <w:sz w:val="24"/>
          <w:szCs w:val="24"/>
          <w:highlight w:val="none"/>
        </w:rPr>
        <w:t>一</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符合性审查不予通过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否决其投</w:t>
      </w:r>
      <w:r>
        <w:rPr>
          <w:rFonts w:hint="eastAsia" w:ascii="宋体" w:hAnsi="宋体" w:eastAsia="宋体" w:cs="宋体"/>
          <w:color w:val="auto"/>
          <w:spacing w:val="8"/>
          <w:position w:val="2"/>
          <w:sz w:val="24"/>
          <w:szCs w:val="24"/>
          <w:highlight w:val="none"/>
        </w:rPr>
        <w:t>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8"/>
          <w:position w:val="2"/>
          <w:sz w:val="24"/>
          <w:szCs w:val="24"/>
          <w:highlight w:val="none"/>
        </w:rPr>
        <w:t>不再进行后续评审</w:t>
      </w:r>
      <w:r>
        <w:rPr>
          <w:rFonts w:hint="eastAsia" w:ascii="宋体" w:hAnsi="宋体" w:eastAsia="宋体" w:cs="宋体"/>
          <w:color w:val="auto"/>
          <w:spacing w:val="12"/>
          <w:position w:val="2"/>
          <w:sz w:val="24"/>
          <w:szCs w:val="24"/>
          <w:highlight w:val="none"/>
        </w:rPr>
        <w:t>：</w:t>
      </w:r>
    </w:p>
    <w:p w14:paraId="70761C8C">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（1）投标文件未按招标文件的要求签署和盖章的；</w:t>
      </w:r>
    </w:p>
    <w:p w14:paraId="7FB0C321">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（2）投标文件中未提供营业执照（事业单位法人证书、社会团体法人登记证书或其他组织登记证明文件）的；</w:t>
      </w:r>
    </w:p>
    <w:p w14:paraId="0D9F2980">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w:t>
      </w:r>
      <w:r>
        <w:rPr>
          <w:rFonts w:hint="eastAsia" w:ascii="宋体" w:hAnsi="宋体" w:eastAsia="宋体" w:cs="宋体"/>
          <w:b w:val="0"/>
          <w:bCs w:val="0"/>
          <w:color w:val="auto"/>
          <w:sz w:val="24"/>
          <w:szCs w:val="24"/>
          <w:highlight w:val="none"/>
          <w:u w:val="single"/>
        </w:rPr>
        <w:t>3</w:t>
      </w:r>
      <w:r>
        <w:rPr>
          <w:rFonts w:hint="eastAsia" w:ascii="宋体" w:hAnsi="宋体" w:eastAsia="宋体" w:cs="宋体"/>
          <w:b w:val="0"/>
          <w:bCs w:val="0"/>
          <w:color w:val="auto"/>
          <w:sz w:val="24"/>
          <w:szCs w:val="24"/>
          <w:highlight w:val="none"/>
          <w:u w:val="single"/>
          <w:lang w:val="zh-CN"/>
        </w:rPr>
        <w:t>）投标人未按招标文件的要求递交投标保证金的（详见投标人须知第</w:t>
      </w:r>
      <w:r>
        <w:rPr>
          <w:rFonts w:hint="eastAsia" w:ascii="宋体" w:hAnsi="宋体" w:eastAsia="宋体" w:cs="宋体"/>
          <w:b w:val="0"/>
          <w:bCs w:val="0"/>
          <w:color w:val="auto"/>
          <w:sz w:val="24"/>
          <w:szCs w:val="24"/>
          <w:highlight w:val="none"/>
          <w:u w:val="single"/>
        </w:rPr>
        <w:t>4.5.2</w:t>
      </w:r>
      <w:r>
        <w:rPr>
          <w:rFonts w:hint="eastAsia" w:ascii="宋体" w:hAnsi="宋体" w:eastAsia="宋体" w:cs="宋体"/>
          <w:b w:val="0"/>
          <w:bCs w:val="0"/>
          <w:color w:val="auto"/>
          <w:sz w:val="24"/>
          <w:szCs w:val="24"/>
          <w:highlight w:val="none"/>
          <w:u w:val="single"/>
          <w:lang w:val="zh-CN"/>
        </w:rPr>
        <w:t>）；</w:t>
      </w:r>
    </w:p>
    <w:p w14:paraId="4A6D6862">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w:t>
      </w:r>
      <w:r>
        <w:rPr>
          <w:rFonts w:hint="eastAsia" w:ascii="宋体" w:hAnsi="宋体" w:eastAsia="宋体" w:cs="宋体"/>
          <w:b w:val="0"/>
          <w:bCs w:val="0"/>
          <w:color w:val="auto"/>
          <w:sz w:val="24"/>
          <w:szCs w:val="24"/>
          <w:highlight w:val="none"/>
          <w:u w:val="single"/>
        </w:rPr>
        <w:t>4</w:t>
      </w:r>
      <w:r>
        <w:rPr>
          <w:rFonts w:hint="eastAsia" w:ascii="宋体" w:hAnsi="宋体" w:eastAsia="宋体" w:cs="宋体"/>
          <w:b w:val="0"/>
          <w:bCs w:val="0"/>
          <w:color w:val="auto"/>
          <w:sz w:val="24"/>
          <w:szCs w:val="24"/>
          <w:highlight w:val="none"/>
          <w:u w:val="single"/>
          <w:lang w:val="zh-CN"/>
        </w:rPr>
        <w:t>）组成联合体投标的，投标文件未附联合体各方共同投标协议的；</w:t>
      </w:r>
    </w:p>
    <w:p w14:paraId="5B67E935">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（5）投标文件不符合招标文件实质性要求（第三章“用户需求及技术要求”中具体条款用“▲”标注）的；</w:t>
      </w:r>
    </w:p>
    <w:p w14:paraId="68A3EED4">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（6）同一投标人提交两个以上不同的投标文件或者投标报价，且投标文件中未声明哪一个有效的（招标文件要求提交备选投标的除外）；</w:t>
      </w:r>
    </w:p>
    <w:p w14:paraId="7CC5C875">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（7）投标报价超出招标文件规定的限价的；</w:t>
      </w:r>
    </w:p>
    <w:p w14:paraId="4724C3FE">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（8）投标文件未按规定的格式（招标文件第五章“投标文件格式”）编制或内容不全或关键字迹模糊、无法辨认的；</w:t>
      </w:r>
    </w:p>
    <w:p w14:paraId="1832B244">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（9）投标文件中承诺的投标有效期少于招标文件中载明的投标有效期的；</w:t>
      </w:r>
    </w:p>
    <w:p w14:paraId="1EABE314">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（1</w:t>
      </w:r>
      <w:r>
        <w:rPr>
          <w:rFonts w:hint="eastAsia" w:ascii="宋体" w:hAnsi="宋体" w:eastAsia="宋体" w:cs="宋体"/>
          <w:b w:val="0"/>
          <w:bCs w:val="0"/>
          <w:color w:val="auto"/>
          <w:sz w:val="24"/>
          <w:szCs w:val="24"/>
          <w:highlight w:val="none"/>
          <w:u w:val="single"/>
          <w:lang w:val="en-US" w:eastAsia="zh-CN"/>
        </w:rPr>
        <w:t>0</w:t>
      </w:r>
      <w:r>
        <w:rPr>
          <w:rFonts w:hint="eastAsia" w:ascii="宋体" w:hAnsi="宋体" w:eastAsia="宋体" w:cs="宋体"/>
          <w:b w:val="0"/>
          <w:bCs w:val="0"/>
          <w:color w:val="auto"/>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08ADCFE2">
      <w:p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sz w:val="24"/>
          <w:szCs w:val="24"/>
          <w:highlight w:val="none"/>
          <w:u w:val="single"/>
          <w:lang w:val="zh-CN"/>
        </w:rPr>
        <w:t>（11）投标人根据招标文件规定及投标内容对招标人所作的任何合法承诺或响应存在与实际不符的；</w:t>
      </w:r>
    </w:p>
    <w:p w14:paraId="1F9581FB">
      <w:pPr>
        <w:numPr>
          <w:ilvl w:val="0"/>
          <w:numId w:val="0"/>
        </w:numPr>
        <w:spacing w:line="360" w:lineRule="auto"/>
        <w:ind w:firstLine="480" w:firstLineChars="200"/>
        <w:rPr>
          <w:rFonts w:hint="eastAsia" w:ascii="宋体" w:hAnsi="宋体" w:eastAsia="宋体" w:cs="宋体"/>
          <w:b w:val="0"/>
          <w:bCs w:val="0"/>
          <w:color w:val="auto"/>
          <w:sz w:val="24"/>
          <w:szCs w:val="24"/>
          <w:highlight w:val="none"/>
          <w:u w:val="single"/>
          <w:lang w:val="zh-CN"/>
        </w:rPr>
      </w:pPr>
      <w:r>
        <w:rPr>
          <w:rFonts w:hint="eastAsia" w:ascii="宋体" w:hAnsi="宋体" w:eastAsia="宋体" w:cs="宋体"/>
          <w:b w:val="0"/>
          <w:bCs w:val="0"/>
          <w:color w:val="auto"/>
          <w:kern w:val="2"/>
          <w:sz w:val="24"/>
          <w:szCs w:val="24"/>
          <w:highlight w:val="none"/>
          <w:lang w:val="zh-CN" w:eastAsia="zh-CN" w:bidi="ar-SA"/>
        </w:rPr>
        <w:t>（1</w:t>
      </w: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sz w:val="24"/>
          <w:szCs w:val="24"/>
          <w:highlight w:val="none"/>
          <w:u w:val="single"/>
          <w:lang w:val="zh-CN"/>
        </w:rPr>
        <w:t>投标人对根据修正原则修正后的报价不予确认的；</w:t>
      </w:r>
    </w:p>
    <w:p w14:paraId="0B749CC4">
      <w:pPr>
        <w:numPr>
          <w:ilvl w:val="0"/>
          <w:numId w:val="0"/>
        </w:numPr>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（13）存在法律、法规规定的其他否决投标情形的。</w:t>
      </w:r>
    </w:p>
    <w:p w14:paraId="51335C4A">
      <w:pPr>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（14）经评标委员会审核，投标人符合以下情形之一的，视为投标人串通投标的，其投标无效：</w:t>
      </w:r>
    </w:p>
    <w:p w14:paraId="5F99D3B0">
      <w:pPr>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①不同投标人的投标文件由同一单位或者个人编制； </w:t>
      </w:r>
    </w:p>
    <w:p w14:paraId="029FEB67">
      <w:pPr>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②不同投标人委托同一单位或者个人办理投标事宜； </w:t>
      </w:r>
    </w:p>
    <w:p w14:paraId="18786A5F">
      <w:pPr>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③不同投标人的投标文件载明的项目管理成员或者联系人员为同一人； </w:t>
      </w:r>
    </w:p>
    <w:p w14:paraId="5412D8AC">
      <w:pPr>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④不同投标人的投标文件异常一致或者投标报价呈规律性差异； </w:t>
      </w:r>
    </w:p>
    <w:p w14:paraId="03281274">
      <w:pPr>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⑤不同投标人的投标文件相互混装； </w:t>
      </w:r>
    </w:p>
    <w:p w14:paraId="4F85F3D3">
      <w:pPr>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⑥不同投标人的投标保证金从同一单位或者个人的账户转出。</w:t>
      </w:r>
    </w:p>
    <w:p w14:paraId="4D064E9C">
      <w:pPr>
        <w:pStyle w:val="8"/>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14:paraId="3BFCB8EC">
      <w:pPr>
        <w:spacing w:line="360" w:lineRule="auto"/>
        <w:ind w:firstLine="484"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4.2 </w:t>
      </w:r>
      <w:r>
        <w:rPr>
          <w:rFonts w:hint="eastAsia" w:ascii="宋体" w:hAnsi="宋体" w:eastAsia="宋体" w:cs="宋体"/>
          <w:color w:val="auto"/>
          <w:spacing w:val="2"/>
          <w:sz w:val="24"/>
          <w:szCs w:val="24"/>
          <w:highlight w:val="none"/>
        </w:rPr>
        <w:t>有效标认</w:t>
      </w:r>
      <w:r>
        <w:rPr>
          <w:rFonts w:hint="eastAsia" w:ascii="宋体" w:hAnsi="宋体" w:eastAsia="宋体" w:cs="宋体"/>
          <w:color w:val="auto"/>
          <w:spacing w:val="1"/>
          <w:sz w:val="24"/>
          <w:szCs w:val="24"/>
          <w:highlight w:val="none"/>
        </w:rPr>
        <w:t>定</w:t>
      </w:r>
    </w:p>
    <w:p w14:paraId="643BF259">
      <w:pPr>
        <w:spacing w:line="360" w:lineRule="auto"/>
        <w:ind w:firstLine="512" w:firstLineChars="200"/>
        <w:jc w:val="both"/>
        <w:rPr>
          <w:rFonts w:hint="eastAsia" w:ascii="宋体" w:hAnsi="宋体" w:eastAsia="宋体" w:cs="宋体"/>
          <w:b w:val="0"/>
          <w:bCs/>
          <w:color w:val="auto"/>
          <w:spacing w:val="8"/>
          <w:sz w:val="24"/>
          <w:szCs w:val="24"/>
          <w:highlight w:val="none"/>
          <w:u w:val="single"/>
        </w:rPr>
      </w:pPr>
      <w:r>
        <w:rPr>
          <w:rFonts w:hint="eastAsia" w:ascii="宋体" w:hAnsi="宋体" w:eastAsia="宋体" w:cs="宋体"/>
          <w:b w:val="0"/>
          <w:bCs/>
          <w:color w:val="auto"/>
          <w:spacing w:val="8"/>
          <w:sz w:val="24"/>
          <w:szCs w:val="24"/>
          <w:highlight w:val="none"/>
          <w:u w:val="single"/>
        </w:rPr>
        <w:t>通过资格审查和符合性审查的有效投标人不足3家的，否决所有投标。</w:t>
      </w:r>
    </w:p>
    <w:p w14:paraId="772F5F22">
      <w:pPr>
        <w:spacing w:line="360" w:lineRule="auto"/>
        <w:jc w:val="center"/>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5、详细评审</w:t>
      </w:r>
    </w:p>
    <w:p w14:paraId="28AF554F">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snapToGrid w:val="0"/>
          <w:color w:val="auto"/>
          <w:sz w:val="24"/>
          <w:szCs w:val="24"/>
          <w:highlight w:val="none"/>
        </w:rPr>
        <w:t>5.1</w:t>
      </w:r>
      <w:r>
        <w:rPr>
          <w:rFonts w:hint="eastAsia" w:ascii="宋体" w:hAnsi="宋体" w:eastAsia="宋体" w:cs="宋体"/>
          <w:color w:val="auto"/>
          <w:sz w:val="24"/>
          <w:szCs w:val="24"/>
          <w:highlight w:val="none"/>
        </w:rPr>
        <w:t>评标委员会对通过初步评审的有效标的投标文件按如下“评分细则”进行详细评审：</w:t>
      </w:r>
    </w:p>
    <w:tbl>
      <w:tblPr>
        <w:tblStyle w:val="25"/>
        <w:tblW w:w="9686"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1889"/>
        <w:gridCol w:w="1175"/>
        <w:gridCol w:w="5390"/>
      </w:tblGrid>
      <w:tr w14:paraId="29445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0"/>
            <w:vAlign w:val="center"/>
          </w:tcPr>
          <w:p w14:paraId="1FB44EC0">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分类</w:t>
            </w:r>
          </w:p>
        </w:tc>
        <w:tc>
          <w:tcPr>
            <w:tcW w:w="1889" w:type="dxa"/>
            <w:noWrap w:val="0"/>
            <w:vAlign w:val="center"/>
          </w:tcPr>
          <w:p w14:paraId="632EAEA9">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评审因素</w:t>
            </w:r>
          </w:p>
        </w:tc>
        <w:tc>
          <w:tcPr>
            <w:tcW w:w="1175" w:type="dxa"/>
            <w:noWrap w:val="0"/>
            <w:vAlign w:val="center"/>
          </w:tcPr>
          <w:p w14:paraId="385302B3">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分值</w:t>
            </w:r>
          </w:p>
        </w:tc>
        <w:tc>
          <w:tcPr>
            <w:tcW w:w="5390" w:type="dxa"/>
            <w:noWrap w:val="0"/>
            <w:vAlign w:val="center"/>
          </w:tcPr>
          <w:p w14:paraId="1440190A">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评分细则</w:t>
            </w:r>
          </w:p>
        </w:tc>
      </w:tr>
      <w:tr w14:paraId="471E1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525" w:hRule="atLeast"/>
        </w:trPr>
        <w:tc>
          <w:tcPr>
            <w:tcW w:w="1232" w:type="dxa"/>
            <w:noWrap w:val="0"/>
            <w:vAlign w:val="center"/>
          </w:tcPr>
          <w:p w14:paraId="5F7F8322">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资信</w:t>
            </w:r>
          </w:p>
          <w:p w14:paraId="7C17CC56">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评审</w:t>
            </w:r>
          </w:p>
          <w:p w14:paraId="148D3CCC">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w:t>
            </w:r>
            <w:r>
              <w:rPr>
                <w:rFonts w:hint="eastAsia" w:ascii="宋体" w:hAnsi="宋体" w:eastAsia="宋体" w:cs="宋体"/>
                <w:b w:val="0"/>
                <w:bCs w:val="0"/>
                <w:color w:val="auto"/>
                <w:sz w:val="20"/>
                <w:szCs w:val="20"/>
                <w:highlight w:val="none"/>
                <w:u w:val="single"/>
                <w:lang w:val="en-US" w:eastAsia="zh-CN"/>
              </w:rPr>
              <w:t xml:space="preserve"> 5 </w:t>
            </w:r>
            <w:r>
              <w:rPr>
                <w:rFonts w:hint="eastAsia" w:ascii="宋体" w:hAnsi="宋体" w:eastAsia="宋体" w:cs="宋体"/>
                <w:b w:val="0"/>
                <w:bCs w:val="0"/>
                <w:color w:val="auto"/>
                <w:sz w:val="20"/>
                <w:szCs w:val="20"/>
                <w:highlight w:val="none"/>
              </w:rPr>
              <w:t>分）</w:t>
            </w:r>
          </w:p>
        </w:tc>
        <w:tc>
          <w:tcPr>
            <w:tcW w:w="1889" w:type="dxa"/>
            <w:noWrap w:val="0"/>
            <w:vAlign w:val="center"/>
          </w:tcPr>
          <w:p w14:paraId="07E9DD8A">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业绩</w:t>
            </w:r>
            <w:r>
              <w:rPr>
                <w:rFonts w:hint="eastAsia" w:ascii="宋体" w:hAnsi="宋体" w:eastAsia="宋体" w:cs="宋体"/>
                <w:color w:val="auto"/>
                <w:sz w:val="20"/>
                <w:szCs w:val="20"/>
                <w:highlight w:val="none"/>
                <w:lang w:eastAsia="zh-CN"/>
              </w:rPr>
              <w:t>评价</w:t>
            </w:r>
          </w:p>
        </w:tc>
        <w:tc>
          <w:tcPr>
            <w:tcW w:w="1175" w:type="dxa"/>
            <w:noWrap w:val="0"/>
            <w:vAlign w:val="center"/>
          </w:tcPr>
          <w:p w14:paraId="47FC38A6">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5390" w:type="dxa"/>
            <w:noWrap w:val="0"/>
            <w:vAlign w:val="center"/>
          </w:tcPr>
          <w:p w14:paraId="08E0A033">
            <w:pPr>
              <w:rPr>
                <w:rFonts w:hint="eastAsia" w:ascii="宋体" w:hAnsi="宋体" w:eastAsia="宋体" w:cs="宋体"/>
                <w:color w:val="auto"/>
                <w:highlight w:val="none"/>
                <w:lang w:eastAsia="zh-CN"/>
              </w:rPr>
            </w:pPr>
            <w:r>
              <w:rPr>
                <w:rFonts w:hint="eastAsia" w:ascii="宋体" w:hAnsi="宋体" w:eastAsia="宋体" w:cs="宋体"/>
                <w:color w:val="auto"/>
                <w:sz w:val="20"/>
                <w:szCs w:val="20"/>
                <w:highlight w:val="none"/>
                <w:lang w:val="en-US" w:eastAsia="zh-CN"/>
              </w:rPr>
              <w:t>根据投标人自2023年1月1日（含）至投标文件递交截止之日（以合同签订时间为准），</w:t>
            </w:r>
            <w:r>
              <w:rPr>
                <w:rFonts w:hint="eastAsia" w:ascii="宋体" w:hAnsi="宋体" w:eastAsia="宋体" w:cs="宋体"/>
                <w:color w:val="auto"/>
                <w:sz w:val="20"/>
                <w:szCs w:val="20"/>
                <w:highlight w:val="none"/>
                <w:lang w:val="zh-CN" w:eastAsia="zh-CN"/>
              </w:rPr>
              <w:t>具有</w:t>
            </w:r>
            <w:r>
              <w:rPr>
                <w:rFonts w:hint="eastAsia" w:ascii="宋体" w:hAnsi="宋体" w:eastAsia="宋体" w:cs="宋体"/>
                <w:color w:val="auto"/>
                <w:sz w:val="20"/>
                <w:szCs w:val="20"/>
                <w:highlight w:val="none"/>
                <w:lang w:val="en-US" w:eastAsia="zh-CN"/>
              </w:rPr>
              <w:t>智能水表改造或安装业绩，自第二个业绩开始计算，每提供1个得1分，最高得5分，不提供的不得分。【证明材料：按合同数量计算，投标人必须同时提供合同和对应的验收资料的复印件，缺少其中任意一项不得分，若合同中不能明确证明相关信息，可以提供业主加盖公章的证明材料】</w:t>
            </w:r>
          </w:p>
        </w:tc>
      </w:tr>
      <w:tr w14:paraId="5371C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599" w:hRule="atLeast"/>
        </w:trPr>
        <w:tc>
          <w:tcPr>
            <w:tcW w:w="1232" w:type="dxa"/>
            <w:vMerge w:val="restart"/>
            <w:noWrap w:val="0"/>
            <w:vAlign w:val="center"/>
          </w:tcPr>
          <w:p w14:paraId="3A338341">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技术评审（</w:t>
            </w:r>
            <w:r>
              <w:rPr>
                <w:rFonts w:hint="eastAsia" w:ascii="宋体" w:hAnsi="宋体" w:eastAsia="宋体" w:cs="宋体"/>
                <w:color w:val="auto"/>
                <w:sz w:val="20"/>
                <w:szCs w:val="20"/>
                <w:highlight w:val="none"/>
                <w:u w:val="single"/>
                <w:lang w:val="en-US" w:eastAsia="zh-CN"/>
              </w:rPr>
              <w:t>1</w:t>
            </w:r>
            <w:r>
              <w:rPr>
                <w:rFonts w:hint="eastAsia" w:ascii="宋体" w:hAnsi="宋体" w:eastAsia="宋体" w:cs="宋体"/>
                <w:color w:val="auto"/>
                <w:sz w:val="20"/>
                <w:szCs w:val="20"/>
                <w:highlight w:val="none"/>
                <w:u w:val="single"/>
              </w:rPr>
              <w:t>5</w:t>
            </w:r>
            <w:r>
              <w:rPr>
                <w:rFonts w:hint="eastAsia" w:ascii="宋体" w:hAnsi="宋体" w:eastAsia="宋体" w:cs="宋体"/>
                <w:color w:val="auto"/>
                <w:sz w:val="20"/>
                <w:szCs w:val="20"/>
                <w:highlight w:val="none"/>
              </w:rPr>
              <w:t>分）</w:t>
            </w:r>
          </w:p>
        </w:tc>
        <w:tc>
          <w:tcPr>
            <w:tcW w:w="1889" w:type="dxa"/>
            <w:tcBorders>
              <w:top w:val="single" w:color="auto" w:sz="4" w:space="0"/>
              <w:bottom w:val="single" w:color="auto" w:sz="4" w:space="0"/>
            </w:tcBorders>
            <w:noWrap w:val="0"/>
            <w:vAlign w:val="center"/>
          </w:tcPr>
          <w:p w14:paraId="6D5EC2CB">
            <w:pPr>
              <w:keepLines/>
              <w:widowControl/>
              <w:topLinePunct/>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技术方案</w:t>
            </w:r>
          </w:p>
        </w:tc>
        <w:tc>
          <w:tcPr>
            <w:tcW w:w="1175" w:type="dxa"/>
            <w:tcBorders>
              <w:top w:val="single" w:color="auto" w:sz="4" w:space="0"/>
              <w:bottom w:val="single" w:color="auto" w:sz="4" w:space="0"/>
            </w:tcBorders>
            <w:noWrap w:val="0"/>
            <w:vAlign w:val="center"/>
          </w:tcPr>
          <w:p w14:paraId="3BB7E04D">
            <w:pPr>
              <w:keepLines/>
              <w:widowControl/>
              <w:topLinePunct/>
              <w:adjustRightInd w:val="0"/>
              <w:snapToGrid w:val="0"/>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5</w:t>
            </w:r>
          </w:p>
        </w:tc>
        <w:tc>
          <w:tcPr>
            <w:tcW w:w="5390" w:type="dxa"/>
            <w:tcBorders>
              <w:top w:val="single" w:color="auto" w:sz="4" w:space="0"/>
              <w:bottom w:val="single" w:color="auto" w:sz="4" w:space="0"/>
            </w:tcBorders>
            <w:noWrap w:val="0"/>
            <w:vAlign w:val="center"/>
          </w:tcPr>
          <w:p w14:paraId="7C84EE61">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对各</w:t>
            </w:r>
            <w:r>
              <w:rPr>
                <w:rFonts w:hint="eastAsia" w:ascii="宋体" w:hAnsi="宋体" w:eastAsia="宋体" w:cs="宋体"/>
                <w:color w:val="auto"/>
                <w:sz w:val="20"/>
                <w:szCs w:val="20"/>
                <w:highlight w:val="none"/>
                <w:lang w:val="en-US" w:eastAsia="zh-CN"/>
              </w:rPr>
              <w:t>投标人关于本项目技术方案进行综合评分，技术方案应包括详细分析本项目特点、改造技术重难点以及对应措施，电磁流量计选型、供水在线监测系统、供电方式优化、供水在线监测系统功能介绍等内容。根据方案针对性及优劣程度打分，“优”得4～5分，“良”得3-4（不含）分，“差”得0-3（不含）分，无相关内容不得分。</w:t>
            </w:r>
          </w:p>
        </w:tc>
      </w:tr>
      <w:tr w14:paraId="61CF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2CD8A699">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1889" w:type="dxa"/>
            <w:tcBorders>
              <w:top w:val="single" w:color="auto" w:sz="4" w:space="0"/>
              <w:bottom w:val="single" w:color="auto" w:sz="4" w:space="0"/>
            </w:tcBorders>
            <w:noWrap w:val="0"/>
            <w:vAlign w:val="center"/>
          </w:tcPr>
          <w:p w14:paraId="46DEAF51">
            <w:pPr>
              <w:keepLines/>
              <w:widowControl/>
              <w:topLinePunct/>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改造</w:t>
            </w:r>
            <w:r>
              <w:rPr>
                <w:rFonts w:hint="eastAsia" w:ascii="宋体" w:hAnsi="宋体" w:eastAsia="宋体" w:cs="宋体"/>
                <w:color w:val="auto"/>
                <w:sz w:val="20"/>
                <w:szCs w:val="20"/>
                <w:highlight w:val="none"/>
              </w:rPr>
              <w:t>方案</w:t>
            </w:r>
          </w:p>
        </w:tc>
        <w:tc>
          <w:tcPr>
            <w:tcW w:w="1175" w:type="dxa"/>
            <w:tcBorders>
              <w:top w:val="single" w:color="auto" w:sz="4" w:space="0"/>
              <w:bottom w:val="single" w:color="auto" w:sz="4" w:space="0"/>
            </w:tcBorders>
            <w:noWrap w:val="0"/>
            <w:vAlign w:val="center"/>
          </w:tcPr>
          <w:p w14:paraId="0A2E686D">
            <w:pPr>
              <w:keepLines/>
              <w:widowControl/>
              <w:topLinePunct/>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5390" w:type="dxa"/>
            <w:tcBorders>
              <w:top w:val="single" w:color="auto" w:sz="4" w:space="0"/>
              <w:bottom w:val="single" w:color="auto" w:sz="4" w:space="0"/>
            </w:tcBorders>
            <w:noWrap w:val="0"/>
            <w:vAlign w:val="center"/>
          </w:tcPr>
          <w:p w14:paraId="710E6415">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对各投标人的</w:t>
            </w:r>
            <w:r>
              <w:rPr>
                <w:rFonts w:hint="eastAsia" w:ascii="宋体" w:hAnsi="宋体" w:eastAsia="宋体" w:cs="宋体"/>
                <w:color w:val="auto"/>
                <w:sz w:val="20"/>
                <w:szCs w:val="20"/>
                <w:highlight w:val="none"/>
                <w:lang w:val="en-US" w:eastAsia="zh-CN"/>
              </w:rPr>
              <w:t>改造</w:t>
            </w:r>
            <w:r>
              <w:rPr>
                <w:rFonts w:hint="eastAsia" w:ascii="宋体" w:hAnsi="宋体" w:eastAsia="宋体" w:cs="宋体"/>
                <w:color w:val="auto"/>
                <w:sz w:val="20"/>
                <w:szCs w:val="20"/>
                <w:highlight w:val="none"/>
              </w:rPr>
              <w:t>方案进行评价，从本项目人员组织、</w:t>
            </w:r>
            <w:r>
              <w:rPr>
                <w:rFonts w:hint="eastAsia" w:ascii="宋体" w:hAnsi="宋体" w:eastAsia="宋体" w:cs="宋体"/>
                <w:color w:val="auto"/>
                <w:sz w:val="20"/>
                <w:szCs w:val="20"/>
                <w:highlight w:val="none"/>
                <w:lang w:val="en-US" w:eastAsia="zh-CN"/>
              </w:rPr>
              <w:t>工器具准备、</w:t>
            </w:r>
            <w:r>
              <w:rPr>
                <w:rFonts w:hint="eastAsia" w:ascii="宋体" w:hAnsi="宋体" w:eastAsia="宋体" w:cs="宋体"/>
                <w:color w:val="auto"/>
                <w:sz w:val="20"/>
                <w:szCs w:val="20"/>
                <w:highlight w:val="none"/>
              </w:rPr>
              <w:t>改造后试运行、安全措施、运行稳定性、工期计划安排等方面综合评分。根据方案针对性及优劣程度打分，“优”得4</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5分，“良”得3-4（不含）分，“差”得0-3（不含）分，无相关内容不得分。</w:t>
            </w:r>
          </w:p>
        </w:tc>
      </w:tr>
      <w:tr w14:paraId="4F744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7DAEB798">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1889" w:type="dxa"/>
            <w:tcBorders>
              <w:top w:val="single" w:color="auto" w:sz="4" w:space="0"/>
              <w:bottom w:val="single" w:color="auto" w:sz="4" w:space="0"/>
            </w:tcBorders>
            <w:noWrap w:val="0"/>
            <w:vAlign w:val="center"/>
          </w:tcPr>
          <w:p w14:paraId="17CAD5CF">
            <w:pPr>
              <w:keepLines/>
              <w:widowControl/>
              <w:topLinePunct/>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应急保障方案</w:t>
            </w:r>
          </w:p>
        </w:tc>
        <w:tc>
          <w:tcPr>
            <w:tcW w:w="1175" w:type="dxa"/>
            <w:tcBorders>
              <w:top w:val="single" w:color="auto" w:sz="4" w:space="0"/>
              <w:bottom w:val="single" w:color="auto" w:sz="4" w:space="0"/>
            </w:tcBorders>
            <w:noWrap w:val="0"/>
            <w:vAlign w:val="center"/>
          </w:tcPr>
          <w:p w14:paraId="6D4D9910">
            <w:pPr>
              <w:keepLines/>
              <w:widowControl/>
              <w:topLinePunct/>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390" w:type="dxa"/>
            <w:tcBorders>
              <w:top w:val="single" w:color="auto" w:sz="4" w:space="0"/>
              <w:bottom w:val="single" w:color="auto" w:sz="4" w:space="0"/>
            </w:tcBorders>
            <w:noWrap w:val="0"/>
            <w:vAlign w:val="center"/>
          </w:tcPr>
          <w:p w14:paraId="5D989523">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对各投标人的应急保障方案进行评价，从</w:t>
            </w:r>
            <w:r>
              <w:rPr>
                <w:rFonts w:hint="eastAsia" w:ascii="宋体" w:hAnsi="宋体" w:eastAsia="宋体" w:cs="宋体"/>
                <w:color w:val="auto"/>
                <w:sz w:val="20"/>
                <w:szCs w:val="20"/>
                <w:highlight w:val="none"/>
                <w:lang w:val="en-US" w:eastAsia="zh-CN"/>
              </w:rPr>
              <w:t>危险源辨识及控制措施、漏水情况下</w:t>
            </w:r>
            <w:r>
              <w:rPr>
                <w:rFonts w:hint="eastAsia" w:ascii="宋体" w:hAnsi="宋体" w:eastAsia="宋体" w:cs="宋体"/>
                <w:color w:val="auto"/>
                <w:sz w:val="20"/>
                <w:szCs w:val="20"/>
                <w:highlight w:val="none"/>
              </w:rPr>
              <w:t>应急处置措施等方面综合评分。根据方案优劣程度打分，“优”得2.5</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3分，“良”得2-</w:t>
            </w:r>
            <w:r>
              <w:rPr>
                <w:rFonts w:hint="eastAsia" w:ascii="宋体" w:hAnsi="宋体" w:eastAsia="宋体" w:cs="宋体"/>
                <w:color w:val="FF0000"/>
                <w:sz w:val="20"/>
                <w:szCs w:val="20"/>
                <w:highlight w:val="none"/>
                <w:lang w:val="en-US" w:eastAsia="zh-CN"/>
              </w:rPr>
              <w:t>2.5</w:t>
            </w:r>
            <w:r>
              <w:rPr>
                <w:rFonts w:hint="eastAsia" w:ascii="宋体" w:hAnsi="宋体" w:eastAsia="宋体" w:cs="宋体"/>
                <w:color w:val="auto"/>
                <w:sz w:val="20"/>
                <w:szCs w:val="20"/>
                <w:highlight w:val="none"/>
              </w:rPr>
              <w:t>（不含）分，“差”得0-2（不含）分，无相关内容不得分。</w:t>
            </w:r>
          </w:p>
        </w:tc>
      </w:tr>
      <w:tr w14:paraId="6569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51DB3FD0">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1889" w:type="dxa"/>
            <w:tcBorders>
              <w:top w:val="single" w:color="auto" w:sz="4" w:space="0"/>
              <w:bottom w:val="single" w:color="auto" w:sz="4" w:space="0"/>
            </w:tcBorders>
            <w:noWrap w:val="0"/>
            <w:vAlign w:val="center"/>
          </w:tcPr>
          <w:p w14:paraId="5D0E6E5B">
            <w:pPr>
              <w:keepLines/>
              <w:widowControl/>
              <w:topLinePunct/>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增值服务</w:t>
            </w:r>
          </w:p>
        </w:tc>
        <w:tc>
          <w:tcPr>
            <w:tcW w:w="1175" w:type="dxa"/>
            <w:tcBorders>
              <w:top w:val="single" w:color="auto" w:sz="4" w:space="0"/>
              <w:bottom w:val="single" w:color="auto" w:sz="4" w:space="0"/>
            </w:tcBorders>
            <w:noWrap w:val="0"/>
            <w:vAlign w:val="center"/>
          </w:tcPr>
          <w:p w14:paraId="02EBAFFC">
            <w:pPr>
              <w:keepLines/>
              <w:widowControl/>
              <w:topLinePunct/>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390" w:type="dxa"/>
            <w:tcBorders>
              <w:top w:val="single" w:color="auto" w:sz="4" w:space="0"/>
              <w:bottom w:val="single" w:color="auto" w:sz="4" w:space="0"/>
            </w:tcBorders>
            <w:noWrap w:val="0"/>
            <w:vAlign w:val="center"/>
          </w:tcPr>
          <w:p w14:paraId="2B60143E">
            <w:pPr>
              <w:keepLines/>
              <w:widowControl/>
              <w:topLinePunct/>
              <w:adjustRightInd w:val="0"/>
              <w:snapToGrid w:val="0"/>
              <w:ind w:right="3"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质保期限在</w:t>
            </w:r>
            <w:r>
              <w:rPr>
                <w:rFonts w:hint="eastAsia" w:ascii="宋体" w:hAnsi="宋体" w:eastAsia="宋体" w:cs="宋体"/>
                <w:color w:val="auto"/>
                <w:sz w:val="20"/>
                <w:szCs w:val="20"/>
                <w:highlight w:val="none"/>
                <w:lang w:val="en-US" w:eastAsia="zh-CN"/>
              </w:rPr>
              <w:t>12</w:t>
            </w:r>
            <w:r>
              <w:rPr>
                <w:rFonts w:hint="eastAsia" w:ascii="宋体" w:hAnsi="宋体" w:eastAsia="宋体" w:cs="宋体"/>
                <w:color w:val="auto"/>
                <w:sz w:val="20"/>
                <w:szCs w:val="20"/>
                <w:highlight w:val="none"/>
              </w:rPr>
              <w:t>个月基础上，每增加3个月，得0.5分，最高得2分。无相关内容不得分。</w:t>
            </w:r>
          </w:p>
        </w:tc>
      </w:tr>
      <w:tr w14:paraId="7D00B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tcBorders>
              <w:right w:val="single" w:color="auto" w:sz="4" w:space="0"/>
            </w:tcBorders>
            <w:noWrap w:val="0"/>
            <w:vAlign w:val="center"/>
          </w:tcPr>
          <w:p w14:paraId="7BFFE89E">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w:t>
            </w:r>
          </w:p>
          <w:p w14:paraId="7C40B06C">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务</w:t>
            </w:r>
          </w:p>
          <w:p w14:paraId="1C7AE768">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标</w:t>
            </w:r>
          </w:p>
          <w:p w14:paraId="40820DC2">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80</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p>
        </w:tc>
        <w:tc>
          <w:tcPr>
            <w:tcW w:w="8454" w:type="dxa"/>
            <w:gridSpan w:val="3"/>
            <w:tcBorders>
              <w:left w:val="single" w:color="auto" w:sz="4" w:space="0"/>
            </w:tcBorders>
            <w:noWrap w:val="0"/>
            <w:vAlign w:val="center"/>
          </w:tcPr>
          <w:p w14:paraId="46C60DDF">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1、有效投标报价（A）的确定：通过初步评审、详细评审的投标报价即为有效投标报价（A）。</w:t>
            </w:r>
          </w:p>
          <w:p w14:paraId="09026F11">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2、评标基准价（B）的确定：</w:t>
            </w:r>
          </w:p>
          <w:p w14:paraId="3E592ED0">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二次平均为基准价:对所有有效报价</w:t>
            </w:r>
            <w:r>
              <w:rPr>
                <w:rFonts w:hint="eastAsia" w:ascii="宋体" w:hAnsi="宋体" w:eastAsia="宋体" w:cs="宋体"/>
                <w:color w:val="auto"/>
                <w:sz w:val="20"/>
                <w:szCs w:val="20"/>
                <w:highlight w:val="none"/>
                <w:lang w:val="en-US" w:eastAsia="zh-CN"/>
              </w:rPr>
              <w:t>总数N</w:t>
            </w:r>
            <w:r>
              <w:rPr>
                <w:rFonts w:hint="eastAsia" w:ascii="宋体" w:hAnsi="宋体" w:eastAsia="宋体" w:cs="宋体"/>
                <w:color w:val="auto"/>
                <w:sz w:val="20"/>
                <w:szCs w:val="20"/>
                <w:highlight w:val="none"/>
              </w:rPr>
              <w:t>去除报价最高和最低的</w:t>
            </w:r>
            <w:r>
              <w:rPr>
                <w:rFonts w:hint="eastAsia" w:ascii="宋体" w:hAnsi="宋体" w:eastAsia="宋体" w:cs="宋体"/>
                <w:color w:val="auto"/>
                <w:sz w:val="20"/>
                <w:szCs w:val="20"/>
                <w:highlight w:val="none"/>
                <w:lang w:val="en-US" w:eastAsia="zh-CN"/>
              </w:rPr>
              <w:t>有效</w:t>
            </w:r>
            <w:r>
              <w:rPr>
                <w:rFonts w:hint="eastAsia" w:ascii="宋体" w:hAnsi="宋体" w:eastAsia="宋体" w:cs="宋体"/>
                <w:color w:val="auto"/>
                <w:sz w:val="20"/>
                <w:szCs w:val="20"/>
                <w:highlight w:val="none"/>
              </w:rPr>
              <w:t>投标单位后进行一次算术平均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当N≥5时，去除最高和最低的有效报价，当3≤N＜5，直接算术平均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；然后对第一次算术平均值以下（不含本身，不含已去除的单位）的报价进行第二次算术平均（B）。</w:t>
            </w:r>
          </w:p>
          <w:p w14:paraId="649AA5B8">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各投标人的商务得分（K）的确定：各投标人的有效投标报价（A）与评标基准价（B）相比较，相同者为满分</w:t>
            </w:r>
            <w:r>
              <w:rPr>
                <w:rFonts w:hint="eastAsia" w:ascii="宋体" w:hAnsi="宋体" w:eastAsia="宋体" w:cs="宋体"/>
                <w:color w:val="auto"/>
                <w:sz w:val="20"/>
                <w:szCs w:val="20"/>
                <w:highlight w:val="none"/>
                <w:u w:val="single"/>
                <w:lang w:val="en-US" w:eastAsia="zh-CN"/>
              </w:rPr>
              <w:t xml:space="preserve"> 80 </w:t>
            </w:r>
            <w:r>
              <w:rPr>
                <w:rFonts w:hint="eastAsia" w:ascii="宋体" w:hAnsi="宋体" w:eastAsia="宋体" w:cs="宋体"/>
                <w:color w:val="auto"/>
                <w:sz w:val="20"/>
                <w:szCs w:val="20"/>
                <w:highlight w:val="none"/>
              </w:rPr>
              <w:t>分，高于评标基准价的，每高于一个百分点扣</w:t>
            </w:r>
            <w:r>
              <w:rPr>
                <w:rFonts w:hint="eastAsia" w:ascii="宋体" w:hAnsi="宋体" w:eastAsia="宋体" w:cs="宋体"/>
                <w:color w:val="auto"/>
                <w:sz w:val="20"/>
                <w:szCs w:val="20"/>
                <w:highlight w:val="none"/>
                <w:u w:val="single"/>
                <w:lang w:val="en-US" w:eastAsia="zh-CN"/>
              </w:rPr>
              <w:t xml:space="preserve"> 1 </w:t>
            </w:r>
            <w:r>
              <w:rPr>
                <w:rFonts w:hint="eastAsia" w:ascii="宋体" w:hAnsi="宋体" w:eastAsia="宋体" w:cs="宋体"/>
                <w:color w:val="auto"/>
                <w:sz w:val="20"/>
                <w:szCs w:val="20"/>
                <w:highlight w:val="none"/>
              </w:rPr>
              <w:t>分；低于评标基准价的，每小于一个百分点扣</w:t>
            </w:r>
            <w:r>
              <w:rPr>
                <w:rFonts w:hint="eastAsia" w:ascii="宋体" w:hAnsi="宋体" w:eastAsia="宋体" w:cs="宋体"/>
                <w:color w:val="auto"/>
                <w:sz w:val="20"/>
                <w:szCs w:val="20"/>
                <w:highlight w:val="none"/>
                <w:u w:val="single"/>
                <w:lang w:val="en-US" w:eastAsia="zh-CN"/>
              </w:rPr>
              <w:t xml:space="preserve"> 0.5 </w:t>
            </w:r>
            <w:r>
              <w:rPr>
                <w:rFonts w:hint="eastAsia" w:ascii="宋体" w:hAnsi="宋体" w:eastAsia="宋体" w:cs="宋体"/>
                <w:color w:val="auto"/>
                <w:sz w:val="20"/>
                <w:szCs w:val="20"/>
                <w:highlight w:val="none"/>
              </w:rPr>
              <w:t>分；不为整数时用插入法计算，保留2位小数。公式如下（商务得分低于0分的按照0分</w:t>
            </w:r>
            <w:r>
              <w:rPr>
                <w:rFonts w:hint="eastAsia" w:ascii="宋体" w:hAnsi="宋体" w:eastAsia="宋体" w:cs="宋体"/>
                <w:color w:val="auto"/>
                <w:sz w:val="20"/>
                <w:szCs w:val="20"/>
                <w:highlight w:val="none"/>
                <w:lang w:eastAsia="zh-CN"/>
              </w:rPr>
              <w:t>计算</w:t>
            </w:r>
            <w:r>
              <w:rPr>
                <w:rFonts w:hint="eastAsia" w:ascii="宋体" w:hAnsi="宋体" w:eastAsia="宋体" w:cs="宋体"/>
                <w:color w:val="auto"/>
                <w:sz w:val="20"/>
                <w:szCs w:val="20"/>
                <w:highlight w:val="none"/>
              </w:rPr>
              <w:t>）：公式如下：</w:t>
            </w:r>
          </w:p>
          <w:p w14:paraId="7CC6231A">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有效投标报价比评标基准价高时：K=</w:t>
            </w:r>
            <w:r>
              <w:rPr>
                <w:rFonts w:hint="eastAsia" w:ascii="宋体" w:hAnsi="宋体" w:eastAsia="宋体" w:cs="宋体"/>
                <w:color w:val="auto"/>
                <w:sz w:val="20"/>
                <w:szCs w:val="20"/>
                <w:highlight w:val="none"/>
                <w:u w:val="single"/>
                <w:lang w:val="en-US" w:eastAsia="zh-CN"/>
              </w:rPr>
              <w:t xml:space="preserve"> 80 </w:t>
            </w:r>
            <w:r>
              <w:rPr>
                <w:rFonts w:hint="eastAsia" w:ascii="宋体" w:hAnsi="宋体" w:eastAsia="宋体" w:cs="宋体"/>
                <w:color w:val="auto"/>
                <w:sz w:val="20"/>
                <w:szCs w:val="20"/>
                <w:highlight w:val="none"/>
              </w:rPr>
              <w:t xml:space="preserve">-[（A-B）/B]×100× </w:t>
            </w:r>
            <w:r>
              <w:rPr>
                <w:rFonts w:hint="eastAsia" w:ascii="宋体" w:hAnsi="宋体" w:eastAsia="宋体" w:cs="宋体"/>
                <w:color w:val="auto"/>
                <w:sz w:val="20"/>
                <w:szCs w:val="20"/>
                <w:highlight w:val="none"/>
                <w:u w:val="single"/>
                <w:lang w:val="en-US" w:eastAsia="zh-CN"/>
              </w:rPr>
              <w:t xml:space="preserve"> 1 </w:t>
            </w:r>
            <w:r>
              <w:rPr>
                <w:rFonts w:hint="eastAsia" w:ascii="宋体" w:hAnsi="宋体" w:eastAsia="宋体" w:cs="宋体"/>
                <w:color w:val="auto"/>
                <w:sz w:val="20"/>
                <w:szCs w:val="20"/>
                <w:highlight w:val="none"/>
              </w:rPr>
              <w:t xml:space="preserve"> </w:t>
            </w:r>
          </w:p>
          <w:p w14:paraId="1974D8ED">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有效投标报价比评标基准价低时：K=</w:t>
            </w:r>
            <w:r>
              <w:rPr>
                <w:rFonts w:hint="eastAsia" w:ascii="宋体" w:hAnsi="宋体" w:eastAsia="宋体" w:cs="宋体"/>
                <w:color w:val="auto"/>
                <w:sz w:val="20"/>
                <w:szCs w:val="20"/>
                <w:highlight w:val="none"/>
                <w:u w:val="single"/>
                <w:lang w:val="en-US" w:eastAsia="zh-CN"/>
              </w:rPr>
              <w:t xml:space="preserve"> 80 </w:t>
            </w:r>
            <w:r>
              <w:rPr>
                <w:rFonts w:hint="eastAsia" w:ascii="宋体" w:hAnsi="宋体" w:eastAsia="宋体" w:cs="宋体"/>
                <w:color w:val="auto"/>
                <w:sz w:val="20"/>
                <w:szCs w:val="20"/>
                <w:highlight w:val="none"/>
              </w:rPr>
              <w:t>-[（B-A）/B]×100×</w:t>
            </w:r>
            <w:r>
              <w:rPr>
                <w:rFonts w:hint="eastAsia" w:ascii="宋体" w:hAnsi="宋体" w:eastAsia="宋体" w:cs="宋体"/>
                <w:color w:val="auto"/>
                <w:sz w:val="20"/>
                <w:szCs w:val="20"/>
                <w:highlight w:val="none"/>
                <w:u w:val="single"/>
                <w:lang w:val="en-US" w:eastAsia="zh-CN"/>
              </w:rPr>
              <w:t xml:space="preserve"> 0.5 </w:t>
            </w:r>
            <w:r>
              <w:rPr>
                <w:rFonts w:hint="eastAsia" w:ascii="宋体" w:hAnsi="宋体" w:eastAsia="宋体" w:cs="宋体"/>
                <w:color w:val="auto"/>
                <w:sz w:val="20"/>
                <w:szCs w:val="20"/>
                <w:highlight w:val="none"/>
              </w:rPr>
              <w:t xml:space="preserve"> </w:t>
            </w:r>
          </w:p>
          <w:p w14:paraId="30E4DB2D">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注：以上报价得分不足一个百分点时，使用直线插入法计算，保留小数2位。</w:t>
            </w:r>
          </w:p>
          <w:p w14:paraId="5CF7EC16">
            <w:pPr>
              <w:keepNext w:val="0"/>
              <w:keepLines w:val="0"/>
              <w:suppressLineNumbers w:val="0"/>
              <w:tabs>
                <w:tab w:val="center" w:pos="4144"/>
              </w:tabs>
              <w:adjustRightInd w:val="0"/>
              <w:snapToGrid w:val="0"/>
              <w:spacing w:before="0" w:beforeAutospacing="0" w:after="0" w:afterAutospacing="0" w:line="360" w:lineRule="auto"/>
              <w:ind w:left="0" w:right="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各投标人的综合得分确定后，按得分高低进行排序。</w:t>
            </w:r>
          </w:p>
        </w:tc>
      </w:tr>
    </w:tbl>
    <w:p w14:paraId="00946F85">
      <w:pPr>
        <w:rPr>
          <w:rFonts w:hint="eastAsia" w:ascii="宋体" w:hAnsi="宋体" w:eastAsia="宋体" w:cs="宋体"/>
          <w:color w:val="auto"/>
          <w:sz w:val="24"/>
          <w:szCs w:val="24"/>
          <w:highlight w:val="none"/>
        </w:rPr>
      </w:pPr>
    </w:p>
    <w:p w14:paraId="08B3CC32">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注：（1）上述提供的证明材料应复印件加盖公章</w:t>
      </w:r>
      <w:r>
        <w:rPr>
          <w:rFonts w:hint="eastAsia" w:ascii="宋体" w:hAnsi="宋体" w:eastAsia="宋体" w:cs="宋体"/>
          <w:color w:val="auto"/>
          <w:sz w:val="24"/>
          <w:szCs w:val="24"/>
          <w:highlight w:val="none"/>
          <w:lang w:eastAsia="zh-CN"/>
        </w:rPr>
        <w:t>，原件随身携带备查，评标委员会确需查询原件而未能提供原件的不得分</w:t>
      </w:r>
      <w:r>
        <w:rPr>
          <w:rFonts w:hint="eastAsia" w:ascii="宋体" w:hAnsi="宋体" w:eastAsia="宋体" w:cs="宋体"/>
          <w:color w:val="auto"/>
          <w:sz w:val="24"/>
          <w:szCs w:val="24"/>
          <w:highlight w:val="none"/>
        </w:rPr>
        <w:t>；中标候选人公示期间，</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有权核查原件或要求进一步提供证明材料，被查实弄虚作假，取消中标资格并没收投标保证金。</w:t>
      </w:r>
    </w:p>
    <w:p w14:paraId="510B33FC">
      <w:pPr>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（2）技术标评分由评标成员每人一份评分表，在分值范围内各自独立打分并签名。投标人技术得分为评标委员会各成员的有效评分的算术平均值（小数点</w:t>
      </w:r>
      <w:r>
        <w:rPr>
          <w:rFonts w:hint="eastAsia" w:ascii="宋体" w:hAnsi="宋体" w:eastAsia="宋体" w:cs="宋体"/>
          <w:color w:val="auto"/>
          <w:sz w:val="24"/>
          <w:szCs w:val="24"/>
          <w:highlight w:val="none"/>
          <w:lang w:eastAsia="zh-CN"/>
        </w:rPr>
        <w:t>保留两位</w:t>
      </w:r>
      <w:r>
        <w:rPr>
          <w:rFonts w:hint="eastAsia" w:ascii="宋体" w:hAnsi="宋体" w:eastAsia="宋体" w:cs="宋体"/>
          <w:color w:val="auto"/>
          <w:sz w:val="24"/>
          <w:szCs w:val="24"/>
          <w:highlight w:val="none"/>
        </w:rPr>
        <w:t>，第三位四舍五入）；</w:t>
      </w:r>
    </w:p>
    <w:p w14:paraId="0AD37362">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（3）资信标及商务标由评标委员会按评审标准统一评分。</w:t>
      </w:r>
    </w:p>
    <w:p w14:paraId="39F48ADB">
      <w:pPr>
        <w:pStyle w:val="11"/>
        <w:wordWrap w:val="0"/>
        <w:spacing w:line="360" w:lineRule="auto"/>
        <w:ind w:firstLine="0" w:firstLineChars="0"/>
        <w:rPr>
          <w:rFonts w:hint="eastAsia" w:ascii="宋体" w:hAnsi="宋体" w:eastAsia="宋体" w:cs="宋体"/>
          <w:color w:val="auto"/>
          <w:spacing w:val="11"/>
          <w:sz w:val="24"/>
          <w:szCs w:val="24"/>
          <w:highlight w:val="none"/>
        </w:rPr>
      </w:pPr>
      <w:r>
        <w:rPr>
          <w:rFonts w:hint="eastAsia" w:ascii="宋体" w:hAnsi="宋体" w:eastAsia="宋体" w:cs="宋体"/>
          <w:color w:val="auto"/>
          <w:kern w:val="2"/>
          <w:sz w:val="24"/>
          <w:szCs w:val="24"/>
          <w:highlight w:val="none"/>
          <w:lang w:val="en-US" w:eastAsia="zh-CN" w:bidi="ar-SA"/>
        </w:rPr>
        <w:t>（4）评审时如发现所投设备在数量、技术参数和性能、质量有重大偏离，其投标文件将被拒绝，经评标委员会集体认定（以少数服从多数的原则），作为无效标处理。但允许在基本满足招标文件技术要求的前提下出现的微小差异。</w:t>
      </w:r>
    </w:p>
    <w:p w14:paraId="65C18FEA">
      <w:pPr>
        <w:pStyle w:val="4"/>
        <w:spacing w:before="140" w:after="140" w:line="360" w:lineRule="auto"/>
        <w:jc w:val="center"/>
        <w:rPr>
          <w:rFonts w:hint="eastAsia" w:ascii="宋体" w:hAnsi="宋体" w:eastAsia="宋体" w:cs="宋体"/>
          <w:color w:val="auto"/>
          <w:sz w:val="24"/>
          <w:szCs w:val="24"/>
          <w:highlight w:val="none"/>
        </w:rPr>
      </w:pPr>
      <w:bookmarkStart w:id="122" w:name="_Toc31638"/>
      <w:r>
        <w:rPr>
          <w:rFonts w:hint="eastAsia" w:ascii="宋体" w:hAnsi="宋体" w:eastAsia="宋体" w:cs="宋体"/>
          <w:color w:val="auto"/>
          <w:sz w:val="24"/>
          <w:szCs w:val="24"/>
          <w:highlight w:val="none"/>
        </w:rPr>
        <w:t>6、投标文件澄清、报价修正</w:t>
      </w:r>
      <w:bookmarkEnd w:id="122"/>
    </w:p>
    <w:p w14:paraId="50DEE944">
      <w:pPr>
        <w:spacing w:line="440" w:lineRule="exact"/>
        <w:ind w:firstLine="54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6.1 </w:t>
      </w:r>
      <w:r>
        <w:rPr>
          <w:rFonts w:hint="eastAsia" w:ascii="宋体" w:hAnsi="宋体" w:eastAsia="宋体" w:cs="宋体"/>
          <w:color w:val="auto"/>
          <w:spacing w:val="11"/>
          <w:sz w:val="24"/>
          <w:szCs w:val="24"/>
          <w:highlight w:val="none"/>
        </w:rPr>
        <w:t>在评标过程中，评标委员会可以书面形式要求投标人对所提交的投标</w:t>
      </w:r>
      <w:r>
        <w:rPr>
          <w:rFonts w:hint="eastAsia" w:ascii="宋体" w:hAnsi="宋体" w:eastAsia="宋体" w:cs="宋体"/>
          <w:color w:val="auto"/>
          <w:spacing w:val="10"/>
          <w:sz w:val="24"/>
          <w:szCs w:val="24"/>
          <w:highlight w:val="none"/>
        </w:rPr>
        <w:t>文件中不明确的内容进行书面澄清、说明或者补正。投标人代表应保证联络方</w:t>
      </w:r>
      <w:r>
        <w:rPr>
          <w:rFonts w:hint="eastAsia" w:ascii="宋体" w:hAnsi="宋体" w:eastAsia="宋体" w:cs="宋体"/>
          <w:color w:val="auto"/>
          <w:spacing w:val="9"/>
          <w:sz w:val="24"/>
          <w:szCs w:val="24"/>
          <w:highlight w:val="none"/>
        </w:rPr>
        <w:t>式畅通</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并应在接到电话通知后</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9"/>
          <w:sz w:val="24"/>
          <w:szCs w:val="24"/>
          <w:highlight w:val="none"/>
        </w:rPr>
        <w:t>分钟内</w:t>
      </w:r>
      <w:r>
        <w:rPr>
          <w:rFonts w:hint="eastAsia" w:ascii="宋体" w:hAnsi="宋体" w:eastAsia="宋体" w:cs="宋体"/>
          <w:color w:val="auto"/>
          <w:spacing w:val="11"/>
          <w:sz w:val="24"/>
          <w:szCs w:val="24"/>
          <w:highlight w:val="none"/>
        </w:rPr>
        <w:t>到达指定地点进行书面澄清、说明或者补正，如</w:t>
      </w:r>
      <w:r>
        <w:rPr>
          <w:rFonts w:hint="eastAsia" w:ascii="宋体" w:hAnsi="宋体" w:eastAsia="宋体" w:cs="宋体"/>
          <w:color w:val="auto"/>
          <w:spacing w:val="10"/>
          <w:sz w:val="24"/>
          <w:szCs w:val="24"/>
          <w:highlight w:val="none"/>
        </w:rPr>
        <w:t>无法联络到投标人代表或投标人代表在接到电话通</w:t>
      </w:r>
      <w:r>
        <w:rPr>
          <w:rFonts w:hint="eastAsia" w:ascii="宋体" w:hAnsi="宋体" w:eastAsia="宋体" w:cs="宋体"/>
          <w:color w:val="auto"/>
          <w:spacing w:val="7"/>
          <w:sz w:val="24"/>
          <w:szCs w:val="24"/>
          <w:highlight w:val="none"/>
        </w:rPr>
        <w:t>知后</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7"/>
          <w:sz w:val="24"/>
          <w:szCs w:val="24"/>
          <w:highlight w:val="none"/>
        </w:rPr>
        <w:t>分钟内未能到达指定</w:t>
      </w:r>
      <w:r>
        <w:rPr>
          <w:rFonts w:hint="eastAsia" w:ascii="宋体" w:hAnsi="宋体" w:eastAsia="宋体" w:cs="宋体"/>
          <w:color w:val="auto"/>
          <w:spacing w:val="6"/>
          <w:sz w:val="24"/>
          <w:szCs w:val="24"/>
          <w:highlight w:val="none"/>
        </w:rPr>
        <w:t>地点进行书面澄清</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说明或者补正</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评标委员会将视作投标人放弃澄清</w:t>
      </w:r>
      <w:r>
        <w:rPr>
          <w:rFonts w:hint="eastAsia" w:ascii="宋体" w:hAnsi="宋体" w:eastAsia="宋体" w:cs="宋体"/>
          <w:color w:val="auto"/>
          <w:spacing w:val="7"/>
          <w:sz w:val="24"/>
          <w:szCs w:val="24"/>
          <w:highlight w:val="none"/>
        </w:rPr>
        <w:t>、说明或者补正</w:t>
      </w:r>
      <w:r>
        <w:rPr>
          <w:rFonts w:hint="eastAsia" w:ascii="宋体" w:hAnsi="宋体" w:eastAsia="宋体" w:cs="宋体"/>
          <w:color w:val="auto"/>
          <w:spacing w:val="8"/>
          <w:sz w:val="24"/>
          <w:szCs w:val="24"/>
          <w:highlight w:val="none"/>
        </w:rPr>
        <w:t>。</w:t>
      </w:r>
    </w:p>
    <w:p w14:paraId="39FBFCC8">
      <w:pPr>
        <w:spacing w:line="440" w:lineRule="exact"/>
        <w:ind w:left="11" w:right="68" w:firstLine="411"/>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6.2 </w:t>
      </w:r>
      <w:r>
        <w:rPr>
          <w:rFonts w:hint="eastAsia" w:ascii="宋体" w:hAnsi="宋体" w:eastAsia="宋体" w:cs="宋体"/>
          <w:color w:val="auto"/>
          <w:spacing w:val="11"/>
          <w:sz w:val="24"/>
          <w:szCs w:val="24"/>
          <w:highlight w:val="none"/>
        </w:rPr>
        <w:t>有关澄清、说明与补正，投标人应以书面形式进行，对投标报价和实</w:t>
      </w:r>
      <w:r>
        <w:rPr>
          <w:rFonts w:hint="eastAsia" w:ascii="宋体" w:hAnsi="宋体" w:eastAsia="宋体" w:cs="宋体"/>
          <w:color w:val="auto"/>
          <w:spacing w:val="10"/>
          <w:sz w:val="24"/>
          <w:szCs w:val="24"/>
          <w:highlight w:val="none"/>
        </w:rPr>
        <w:t>质性的内容不得更改</w:t>
      </w:r>
      <w:r>
        <w:rPr>
          <w:rFonts w:hint="eastAsia" w:ascii="宋体" w:hAnsi="宋体" w:eastAsia="宋体" w:cs="宋体"/>
          <w:color w:val="auto"/>
          <w:spacing w:val="9"/>
          <w:sz w:val="24"/>
          <w:szCs w:val="24"/>
          <w:highlight w:val="none"/>
        </w:rPr>
        <w:t>（报价修正除外</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投标人的书面澄清</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说明和补正属于投标文件的组成部分</w:t>
      </w:r>
      <w:r>
        <w:rPr>
          <w:rFonts w:hint="eastAsia" w:ascii="宋体" w:hAnsi="宋体" w:eastAsia="宋体" w:cs="宋体"/>
          <w:color w:val="auto"/>
          <w:spacing w:val="10"/>
          <w:sz w:val="24"/>
          <w:szCs w:val="24"/>
          <w:highlight w:val="none"/>
        </w:rPr>
        <w:t>。</w:t>
      </w:r>
    </w:p>
    <w:p w14:paraId="112002A5">
      <w:pPr>
        <w:spacing w:line="440" w:lineRule="exact"/>
        <w:ind w:left="21" w:right="77" w:firstLine="40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 xml:space="preserve">6.3 </w:t>
      </w:r>
      <w:r>
        <w:rPr>
          <w:rFonts w:hint="eastAsia" w:ascii="宋体" w:hAnsi="宋体" w:eastAsia="宋体" w:cs="宋体"/>
          <w:color w:val="auto"/>
          <w:spacing w:val="11"/>
          <w:sz w:val="24"/>
          <w:szCs w:val="24"/>
          <w:highlight w:val="none"/>
        </w:rPr>
        <w:t>评标委员会对投标人提交</w:t>
      </w:r>
      <w:r>
        <w:rPr>
          <w:rFonts w:hint="eastAsia" w:ascii="宋体" w:hAnsi="宋体" w:eastAsia="宋体" w:cs="宋体"/>
          <w:color w:val="auto"/>
          <w:spacing w:val="10"/>
          <w:sz w:val="24"/>
          <w:szCs w:val="24"/>
          <w:highlight w:val="none"/>
        </w:rPr>
        <w:t>的澄清</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说明或补正有疑问的</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可以要求投标人进一步澄清</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说</w:t>
      </w:r>
      <w:r>
        <w:rPr>
          <w:rFonts w:hint="eastAsia" w:ascii="宋体" w:hAnsi="宋体" w:eastAsia="宋体" w:cs="宋体"/>
          <w:color w:val="auto"/>
          <w:spacing w:val="8"/>
          <w:sz w:val="24"/>
          <w:szCs w:val="24"/>
          <w:highlight w:val="none"/>
        </w:rPr>
        <w:t>明或补正</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直至满足评标委员</w:t>
      </w:r>
      <w:r>
        <w:rPr>
          <w:rFonts w:hint="eastAsia" w:ascii="宋体" w:hAnsi="宋体" w:eastAsia="宋体" w:cs="宋体"/>
          <w:color w:val="auto"/>
          <w:spacing w:val="7"/>
          <w:sz w:val="24"/>
          <w:szCs w:val="24"/>
          <w:highlight w:val="none"/>
        </w:rPr>
        <w:t>会的要求</w:t>
      </w:r>
      <w:r>
        <w:rPr>
          <w:rFonts w:hint="eastAsia" w:ascii="宋体" w:hAnsi="宋体" w:eastAsia="宋体" w:cs="宋体"/>
          <w:color w:val="auto"/>
          <w:spacing w:val="9"/>
          <w:sz w:val="24"/>
          <w:szCs w:val="24"/>
          <w:highlight w:val="none"/>
        </w:rPr>
        <w:t>。</w:t>
      </w:r>
    </w:p>
    <w:p w14:paraId="45B060FF">
      <w:pPr>
        <w:spacing w:line="440" w:lineRule="exact"/>
        <w:ind w:firstLine="542"/>
        <w:contextualSpacing/>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6.4评标委员会不接受投标人主动提出的澄清、说明或补正。</w:t>
      </w:r>
    </w:p>
    <w:p w14:paraId="500AC478">
      <w:pPr>
        <w:spacing w:line="440" w:lineRule="exact"/>
        <w:ind w:firstLine="542"/>
        <w:contextualSpacing/>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6.5 投标报价出现前后不一致的，评标委员会应按照下列原则修正：</w:t>
      </w:r>
    </w:p>
    <w:p w14:paraId="7AEB3C28">
      <w:pPr>
        <w:spacing w:line="440" w:lineRule="exact"/>
        <w:ind w:firstLine="542"/>
        <w:contextualSpacing/>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（1）正本与副本不一致时，以正本为准；</w:t>
      </w:r>
    </w:p>
    <w:p w14:paraId="7C6D696E">
      <w:pPr>
        <w:spacing w:line="440" w:lineRule="exact"/>
        <w:ind w:firstLine="542"/>
        <w:contextualSpacing/>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（2）对不同文字文本投标文件的解释发生异议的，以中文文本为准；</w:t>
      </w:r>
    </w:p>
    <w:p w14:paraId="287316FD">
      <w:pPr>
        <w:spacing w:line="440" w:lineRule="exact"/>
        <w:ind w:firstLine="542"/>
        <w:contextualSpacing/>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（3）投标函总价与投标报价明细表合计金额不一致的，以投标函为准；但投标函存在明显单位、文字错误的，则澄清、说明、补正；</w:t>
      </w:r>
    </w:p>
    <w:p w14:paraId="556D36E8">
      <w:pPr>
        <w:spacing w:line="440" w:lineRule="exact"/>
        <w:ind w:firstLine="542"/>
        <w:contextualSpacing/>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（4）投标报价明细表合计金额与按综合单价汇总金额不一致的，以合计金额为准，修改综合单价；</w:t>
      </w:r>
    </w:p>
    <w:p w14:paraId="6760E94A">
      <w:pPr>
        <w:spacing w:line="440" w:lineRule="exact"/>
        <w:ind w:firstLine="542"/>
        <w:contextualSpacing/>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0"/>
          <w:sz w:val="24"/>
          <w:szCs w:val="24"/>
          <w:highlight w:val="none"/>
          <w:lang w:val="en-US" w:eastAsia="zh-CN"/>
        </w:rPr>
        <w:t>5</w:t>
      </w:r>
      <w:r>
        <w:rPr>
          <w:rFonts w:hint="eastAsia" w:ascii="宋体" w:hAnsi="宋体" w:eastAsia="宋体" w:cs="宋体"/>
          <w:color w:val="auto"/>
          <w:spacing w:val="10"/>
          <w:sz w:val="24"/>
          <w:szCs w:val="24"/>
          <w:highlight w:val="none"/>
        </w:rPr>
        <w:t>）大写金额和小写金额不一致的，以大写金额为准</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但大写有明显单位、文字错误的除外</w:t>
      </w:r>
      <w:r>
        <w:rPr>
          <w:rFonts w:hint="eastAsia" w:ascii="宋体" w:hAnsi="宋体" w:eastAsia="宋体" w:cs="宋体"/>
          <w:color w:val="auto"/>
          <w:spacing w:val="10"/>
          <w:sz w:val="24"/>
          <w:szCs w:val="24"/>
          <w:highlight w:val="none"/>
          <w:lang w:eastAsia="zh-CN"/>
        </w:rPr>
        <w:t>；</w:t>
      </w:r>
    </w:p>
    <w:p w14:paraId="725E42B6">
      <w:pPr>
        <w:spacing w:line="440" w:lineRule="exact"/>
        <w:ind w:firstLine="542"/>
        <w:contextualSpacing/>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0"/>
          <w:sz w:val="24"/>
          <w:szCs w:val="24"/>
          <w:highlight w:val="none"/>
          <w:lang w:val="en-US" w:eastAsia="zh-CN"/>
        </w:rPr>
        <w:t>6</w:t>
      </w:r>
      <w:r>
        <w:rPr>
          <w:rFonts w:hint="eastAsia" w:ascii="宋体" w:hAnsi="宋体" w:eastAsia="宋体" w:cs="宋体"/>
          <w:color w:val="auto"/>
          <w:spacing w:val="10"/>
          <w:sz w:val="24"/>
          <w:szCs w:val="24"/>
          <w:highlight w:val="none"/>
        </w:rPr>
        <w:t>）计量单位与第二章“投标人须知”第1.12款不符的，按招标文件规定进行修正。</w:t>
      </w:r>
    </w:p>
    <w:p w14:paraId="079A7F68">
      <w:pPr>
        <w:pStyle w:val="4"/>
        <w:spacing w:before="140" w:after="140" w:line="360" w:lineRule="auto"/>
        <w:jc w:val="center"/>
        <w:rPr>
          <w:rFonts w:hint="eastAsia" w:ascii="宋体" w:hAnsi="宋体" w:eastAsia="宋体" w:cs="宋体"/>
          <w:color w:val="auto"/>
          <w:sz w:val="24"/>
          <w:szCs w:val="24"/>
          <w:highlight w:val="none"/>
        </w:rPr>
      </w:pPr>
      <w:bookmarkStart w:id="123" w:name="_Toc26622"/>
      <w:r>
        <w:rPr>
          <w:rFonts w:hint="eastAsia" w:ascii="宋体" w:hAnsi="宋体" w:eastAsia="宋体" w:cs="宋体"/>
          <w:color w:val="auto"/>
          <w:sz w:val="24"/>
          <w:szCs w:val="24"/>
          <w:highlight w:val="none"/>
        </w:rPr>
        <w:t>7、排序与推荐中标候选人</w:t>
      </w:r>
      <w:bookmarkEnd w:id="123"/>
    </w:p>
    <w:p w14:paraId="4D2493BF">
      <w:pPr>
        <w:spacing w:line="440" w:lineRule="exact"/>
        <w:ind w:firstLine="423"/>
        <w:contextualSpacing/>
        <w:rPr>
          <w:rFonts w:hint="eastAsia" w:ascii="宋体" w:hAnsi="宋体" w:eastAsia="宋体" w:cs="宋体"/>
          <w:b w:val="0"/>
          <w:bCs w:val="0"/>
          <w:color w:val="auto"/>
          <w:spacing w:val="7"/>
          <w:sz w:val="24"/>
          <w:szCs w:val="24"/>
          <w:highlight w:val="none"/>
        </w:rPr>
      </w:pPr>
      <w:r>
        <w:rPr>
          <w:rFonts w:hint="eastAsia" w:ascii="宋体" w:hAnsi="宋体" w:eastAsia="宋体" w:cs="宋体"/>
          <w:b w:val="0"/>
          <w:bCs w:val="0"/>
          <w:color w:val="auto"/>
          <w:spacing w:val="7"/>
          <w:sz w:val="24"/>
          <w:szCs w:val="24"/>
          <w:highlight w:val="none"/>
        </w:rPr>
        <w:t>7.1投标人的综合得分等于资信标、技术标与商务标得分之和。</w:t>
      </w:r>
    </w:p>
    <w:p w14:paraId="6B92AACC">
      <w:pPr>
        <w:spacing w:line="440" w:lineRule="exact"/>
        <w:ind w:firstLine="423"/>
        <w:contextualSpacing/>
        <w:rPr>
          <w:rFonts w:hint="eastAsia" w:ascii="宋体" w:hAnsi="宋体" w:eastAsia="宋体" w:cs="宋体"/>
          <w:color w:val="auto"/>
          <w:spacing w:val="7"/>
          <w:sz w:val="24"/>
          <w:szCs w:val="24"/>
          <w:highlight w:val="none"/>
        </w:rPr>
      </w:pPr>
      <w:r>
        <w:rPr>
          <w:rFonts w:hint="eastAsia" w:ascii="宋体" w:hAnsi="宋体" w:eastAsia="宋体" w:cs="宋体"/>
          <w:b w:val="0"/>
          <w:bCs w:val="0"/>
          <w:color w:val="auto"/>
          <w:spacing w:val="7"/>
          <w:sz w:val="24"/>
          <w:szCs w:val="24"/>
          <w:highlight w:val="none"/>
        </w:rPr>
        <w:t>7.2评标委员会按投标人的综合得分由高至低推荐中标候选人（中标</w:t>
      </w:r>
      <w:r>
        <w:rPr>
          <w:rFonts w:hint="eastAsia" w:ascii="宋体" w:hAnsi="宋体" w:eastAsia="宋体" w:cs="宋体"/>
          <w:color w:val="auto"/>
          <w:spacing w:val="7"/>
          <w:sz w:val="24"/>
          <w:szCs w:val="24"/>
          <w:highlight w:val="none"/>
        </w:rPr>
        <w:t>候选人数见投标人须知前附表）。若得分相同，则投标报价低者排名在前；若投标报价也相同，则资信分高者排名在前；若资信分也相同，则由评标委员会按少数服从多数的原则通过投票表决决定排名先后。</w:t>
      </w:r>
    </w:p>
    <w:p w14:paraId="5131A350">
      <w:pPr>
        <w:pStyle w:val="4"/>
        <w:spacing w:before="140" w:after="140" w:line="360" w:lineRule="auto"/>
        <w:jc w:val="center"/>
        <w:rPr>
          <w:rFonts w:hint="eastAsia" w:ascii="宋体" w:hAnsi="宋体" w:eastAsia="宋体" w:cs="宋体"/>
          <w:color w:val="auto"/>
          <w:sz w:val="24"/>
          <w:szCs w:val="24"/>
          <w:highlight w:val="none"/>
        </w:rPr>
      </w:pPr>
      <w:bookmarkStart w:id="124" w:name="_Toc31485"/>
      <w:r>
        <w:rPr>
          <w:rFonts w:hint="eastAsia" w:ascii="宋体" w:hAnsi="宋体" w:eastAsia="宋体" w:cs="宋体"/>
          <w:color w:val="auto"/>
          <w:sz w:val="24"/>
          <w:szCs w:val="24"/>
          <w:highlight w:val="none"/>
        </w:rPr>
        <w:t>8、完成评标报告</w:t>
      </w:r>
      <w:bookmarkEnd w:id="124"/>
    </w:p>
    <w:p w14:paraId="21578904">
      <w:pPr>
        <w:spacing w:line="400" w:lineRule="exact"/>
        <w:ind w:right="2" w:firstLine="42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8.1 </w:t>
      </w:r>
      <w:r>
        <w:rPr>
          <w:rFonts w:hint="eastAsia" w:ascii="宋体" w:hAnsi="宋体" w:eastAsia="宋体" w:cs="宋体"/>
          <w:color w:val="auto"/>
          <w:spacing w:val="11"/>
          <w:sz w:val="24"/>
          <w:szCs w:val="24"/>
          <w:highlight w:val="none"/>
        </w:rPr>
        <w:t>评标委员会完成评标后，应当根据全体评标成员签字的原始评标记录和</w:t>
      </w:r>
      <w:r>
        <w:rPr>
          <w:rFonts w:hint="eastAsia" w:ascii="宋体" w:hAnsi="宋体" w:eastAsia="宋体" w:cs="宋体"/>
          <w:color w:val="auto"/>
          <w:spacing w:val="10"/>
          <w:sz w:val="24"/>
          <w:szCs w:val="24"/>
          <w:highlight w:val="none"/>
        </w:rPr>
        <w:t>评标结果编写评标</w:t>
      </w:r>
      <w:r>
        <w:rPr>
          <w:rFonts w:hint="eastAsia" w:ascii="宋体" w:hAnsi="宋体" w:eastAsia="宋体" w:cs="宋体"/>
          <w:color w:val="auto"/>
          <w:spacing w:val="8"/>
          <w:sz w:val="24"/>
          <w:szCs w:val="24"/>
          <w:highlight w:val="none"/>
        </w:rPr>
        <w:t>报告，并推荐中标候选人，评审报告由评标委员会成员</w:t>
      </w:r>
      <w:r>
        <w:rPr>
          <w:rFonts w:hint="eastAsia" w:ascii="宋体" w:hAnsi="宋体" w:eastAsia="宋体" w:cs="宋体"/>
          <w:color w:val="auto"/>
          <w:spacing w:val="7"/>
          <w:sz w:val="24"/>
          <w:szCs w:val="24"/>
          <w:highlight w:val="none"/>
        </w:rPr>
        <w:t>签字确认提交招标人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并抄送有关监督部门</w:t>
      </w:r>
      <w:r>
        <w:rPr>
          <w:rFonts w:hint="eastAsia" w:ascii="宋体" w:hAnsi="宋体" w:eastAsia="宋体" w:cs="宋体"/>
          <w:color w:val="auto"/>
          <w:spacing w:val="8"/>
          <w:sz w:val="24"/>
          <w:szCs w:val="24"/>
          <w:highlight w:val="none"/>
        </w:rPr>
        <w:t>。</w:t>
      </w:r>
    </w:p>
    <w:p w14:paraId="52C20F19">
      <w:pPr>
        <w:spacing w:line="400" w:lineRule="exact"/>
        <w:ind w:left="3" w:right="2" w:firstLine="4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8.2 </w:t>
      </w:r>
      <w:r>
        <w:rPr>
          <w:rFonts w:hint="eastAsia" w:ascii="宋体" w:hAnsi="宋体" w:eastAsia="宋体" w:cs="宋体"/>
          <w:color w:val="auto"/>
          <w:spacing w:val="11"/>
          <w:sz w:val="24"/>
          <w:szCs w:val="24"/>
          <w:highlight w:val="none"/>
        </w:rPr>
        <w:t>评标委员会成员对需要共同认定的事项存在争议的，应当按照少数服从</w:t>
      </w:r>
      <w:r>
        <w:rPr>
          <w:rFonts w:hint="eastAsia" w:ascii="宋体" w:hAnsi="宋体" w:eastAsia="宋体" w:cs="宋体"/>
          <w:color w:val="auto"/>
          <w:spacing w:val="10"/>
          <w:sz w:val="24"/>
          <w:szCs w:val="24"/>
          <w:highlight w:val="none"/>
        </w:rPr>
        <w:t>多数的原则作出结</w:t>
      </w:r>
      <w:r>
        <w:rPr>
          <w:rFonts w:hint="eastAsia" w:ascii="宋体" w:hAnsi="宋体" w:eastAsia="宋体" w:cs="宋体"/>
          <w:color w:val="auto"/>
          <w:spacing w:val="8"/>
          <w:sz w:val="24"/>
          <w:szCs w:val="24"/>
          <w:highlight w:val="none"/>
        </w:rPr>
        <w:t>论。持不同意见的评标委员会成员应当在评标</w:t>
      </w:r>
      <w:r>
        <w:rPr>
          <w:rFonts w:hint="eastAsia" w:ascii="宋体" w:hAnsi="宋体" w:eastAsia="宋体" w:cs="宋体"/>
          <w:color w:val="auto"/>
          <w:spacing w:val="7"/>
          <w:sz w:val="24"/>
          <w:szCs w:val="24"/>
          <w:highlight w:val="none"/>
        </w:rPr>
        <w:t>报告上签署不同意见及理由</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否则视为同意评标报告</w:t>
      </w:r>
      <w:r>
        <w:rPr>
          <w:rFonts w:hint="eastAsia" w:ascii="宋体" w:hAnsi="宋体" w:eastAsia="宋体" w:cs="宋体"/>
          <w:color w:val="auto"/>
          <w:spacing w:val="8"/>
          <w:sz w:val="24"/>
          <w:szCs w:val="24"/>
          <w:highlight w:val="none"/>
        </w:rPr>
        <w:t>。</w:t>
      </w:r>
    </w:p>
    <w:p w14:paraId="5969B716">
      <w:pPr>
        <w:spacing w:line="400" w:lineRule="exact"/>
        <w:ind w:firstLine="42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8.3 </w:t>
      </w:r>
      <w:r>
        <w:rPr>
          <w:rFonts w:hint="eastAsia" w:ascii="宋体" w:hAnsi="宋体" w:eastAsia="宋体" w:cs="宋体"/>
          <w:color w:val="auto"/>
          <w:spacing w:val="5"/>
          <w:sz w:val="24"/>
          <w:szCs w:val="24"/>
          <w:highlight w:val="none"/>
        </w:rPr>
        <w:t>评标报告应包</w:t>
      </w:r>
      <w:r>
        <w:rPr>
          <w:rFonts w:hint="eastAsia" w:ascii="宋体" w:hAnsi="宋体" w:eastAsia="宋体" w:cs="宋体"/>
          <w:color w:val="auto"/>
          <w:spacing w:val="4"/>
          <w:sz w:val="24"/>
          <w:szCs w:val="24"/>
          <w:highlight w:val="none"/>
        </w:rPr>
        <w:t>括以下内容</w:t>
      </w:r>
      <w:r>
        <w:rPr>
          <w:rFonts w:hint="eastAsia" w:ascii="宋体" w:hAnsi="宋体" w:eastAsia="宋体" w:cs="宋体"/>
          <w:color w:val="auto"/>
          <w:spacing w:val="5"/>
          <w:sz w:val="24"/>
          <w:szCs w:val="24"/>
          <w:highlight w:val="none"/>
        </w:rPr>
        <w:t>：</w:t>
      </w:r>
    </w:p>
    <w:p w14:paraId="5CBDE182">
      <w:pPr>
        <w:spacing w:line="400" w:lineRule="exact"/>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开标记录</w:t>
      </w:r>
      <w:r>
        <w:rPr>
          <w:rFonts w:hint="eastAsia" w:ascii="宋体" w:hAnsi="宋体" w:eastAsia="宋体" w:cs="宋体"/>
          <w:color w:val="auto"/>
          <w:spacing w:val="8"/>
          <w:sz w:val="24"/>
          <w:szCs w:val="24"/>
          <w:highlight w:val="none"/>
        </w:rPr>
        <w:t>；</w:t>
      </w:r>
    </w:p>
    <w:p w14:paraId="15C76091">
      <w:pPr>
        <w:spacing w:line="400" w:lineRule="exact"/>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评标</w:t>
      </w:r>
      <w:r>
        <w:rPr>
          <w:rFonts w:hint="eastAsia" w:ascii="宋体" w:hAnsi="宋体" w:eastAsia="宋体" w:cs="宋体"/>
          <w:color w:val="auto"/>
          <w:spacing w:val="7"/>
          <w:sz w:val="24"/>
          <w:szCs w:val="24"/>
          <w:highlight w:val="none"/>
        </w:rPr>
        <w:t>内容</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过程和结果</w:t>
      </w:r>
      <w:r>
        <w:rPr>
          <w:rFonts w:hint="eastAsia" w:ascii="宋体" w:hAnsi="宋体" w:eastAsia="宋体" w:cs="宋体"/>
          <w:color w:val="auto"/>
          <w:spacing w:val="9"/>
          <w:sz w:val="24"/>
          <w:szCs w:val="24"/>
          <w:highlight w:val="none"/>
        </w:rPr>
        <w:t>；</w:t>
      </w:r>
    </w:p>
    <w:p w14:paraId="0D129E11">
      <w:pPr>
        <w:spacing w:line="400" w:lineRule="exact"/>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否决投标情况说明及依据（包括对投标竞争性认定的理由（若有</w:t>
      </w:r>
      <w:r>
        <w:rPr>
          <w:rFonts w:hint="eastAsia" w:ascii="宋体" w:hAnsi="宋体" w:eastAsia="宋体" w:cs="宋体"/>
          <w:color w:val="auto"/>
          <w:spacing w:val="7"/>
          <w:sz w:val="24"/>
          <w:szCs w:val="24"/>
          <w:highlight w:val="none"/>
        </w:rPr>
        <w:t>））；</w:t>
      </w:r>
    </w:p>
    <w:p w14:paraId="64DDDF41">
      <w:pPr>
        <w:spacing w:line="400" w:lineRule="exact"/>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询标澄清纪要</w:t>
      </w:r>
      <w:r>
        <w:rPr>
          <w:rFonts w:hint="eastAsia" w:ascii="宋体" w:hAnsi="宋体" w:eastAsia="宋体" w:cs="宋体"/>
          <w:color w:val="auto"/>
          <w:spacing w:val="9"/>
          <w:sz w:val="24"/>
          <w:szCs w:val="24"/>
          <w:highlight w:val="none"/>
        </w:rPr>
        <w:t>；</w:t>
      </w:r>
    </w:p>
    <w:p w14:paraId="38FA955F">
      <w:pPr>
        <w:spacing w:line="400" w:lineRule="exact"/>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中标候选人的优劣对比和存在问题（</w:t>
      </w:r>
      <w:r>
        <w:rPr>
          <w:rFonts w:hint="eastAsia" w:ascii="宋体" w:hAnsi="宋体" w:eastAsia="宋体" w:cs="宋体"/>
          <w:color w:val="auto"/>
          <w:spacing w:val="6"/>
          <w:sz w:val="24"/>
          <w:szCs w:val="24"/>
          <w:highlight w:val="none"/>
        </w:rPr>
        <w:t>若有</w:t>
      </w:r>
      <w:r>
        <w:rPr>
          <w:rFonts w:hint="eastAsia" w:ascii="宋体" w:hAnsi="宋体" w:eastAsia="宋体" w:cs="宋体"/>
          <w:color w:val="auto"/>
          <w:spacing w:val="8"/>
          <w:sz w:val="24"/>
          <w:szCs w:val="24"/>
          <w:highlight w:val="none"/>
        </w:rPr>
        <w:t>）；</w:t>
      </w:r>
    </w:p>
    <w:p w14:paraId="062BDDB3">
      <w:pPr>
        <w:spacing w:line="400" w:lineRule="exact"/>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（6）评标委员会成员的不同意见及理由（若有）；</w:t>
      </w:r>
    </w:p>
    <w:p w14:paraId="6FF3F1B0">
      <w:pPr>
        <w:spacing w:line="400" w:lineRule="exact"/>
        <w:ind w:firstLine="431"/>
        <w:rPr>
          <w:rFonts w:hint="eastAsia" w:ascii="宋体" w:hAnsi="宋体" w:eastAsia="宋体" w:cs="宋体"/>
          <w:b/>
          <w:bCs/>
          <w:color w:val="auto"/>
          <w:sz w:val="24"/>
          <w:szCs w:val="24"/>
          <w:highlight w:val="none"/>
        </w:rPr>
      </w:pPr>
      <w:r>
        <w:rPr>
          <w:rFonts w:hint="eastAsia" w:ascii="宋体" w:hAnsi="宋体" w:eastAsia="宋体" w:cs="宋体"/>
          <w:color w:val="auto"/>
          <w:spacing w:val="8"/>
          <w:sz w:val="24"/>
          <w:szCs w:val="24"/>
          <w:highlight w:val="none"/>
        </w:rPr>
        <w:t>（7）其他建议。</w:t>
      </w:r>
    </w:p>
    <w:p w14:paraId="2B858B2E">
      <w:pPr>
        <w:spacing w:line="400" w:lineRule="exact"/>
        <w:ind w:firstLine="431"/>
        <w:rPr>
          <w:rFonts w:hint="eastAsia" w:ascii="宋体" w:hAnsi="宋体" w:eastAsia="宋体" w:cs="宋体"/>
          <w:b/>
          <w:bCs/>
          <w:color w:val="auto"/>
          <w:sz w:val="24"/>
          <w:szCs w:val="24"/>
          <w:highlight w:val="none"/>
        </w:rPr>
      </w:pPr>
    </w:p>
    <w:p w14:paraId="7497002B">
      <w:pPr>
        <w:spacing w:line="400" w:lineRule="exact"/>
        <w:ind w:firstLine="431"/>
        <w:rPr>
          <w:rFonts w:hint="eastAsia" w:ascii="宋体" w:hAnsi="宋体" w:eastAsia="宋体" w:cs="宋体"/>
          <w:b/>
          <w:bCs/>
          <w:color w:val="auto"/>
          <w:sz w:val="36"/>
          <w:szCs w:val="36"/>
          <w:highlight w:val="none"/>
        </w:rPr>
      </w:pPr>
    </w:p>
    <w:p w14:paraId="07496A4A">
      <w:pPr>
        <w:spacing w:line="400" w:lineRule="exact"/>
        <w:ind w:firstLine="3534" w:firstLineChars="1100"/>
        <w:rPr>
          <w:rFonts w:hint="eastAsia" w:ascii="宋体" w:hAnsi="宋体" w:eastAsia="宋体" w:cs="宋体"/>
          <w:b/>
          <w:bCs/>
          <w:color w:val="auto"/>
          <w:sz w:val="32"/>
          <w:highlight w:val="none"/>
        </w:rPr>
      </w:pPr>
    </w:p>
    <w:p w14:paraId="1AD90A35">
      <w:pPr>
        <w:widowControl/>
        <w:numPr>
          <w:ilvl w:val="-1"/>
          <w:numId w:val="0"/>
        </w:numPr>
        <w:spacing w:line="240" w:lineRule="auto"/>
        <w:ind w:firstLine="0" w:firstLineChars="0"/>
        <w:jc w:val="left"/>
        <w:outlineLvl w:val="9"/>
        <w:rPr>
          <w:rFonts w:hint="eastAsia" w:ascii="宋体" w:hAnsi="宋体" w:eastAsia="宋体" w:cs="宋体"/>
          <w:b/>
          <w:color w:val="auto"/>
          <w:kern w:val="44"/>
          <w:sz w:val="32"/>
          <w:szCs w:val="44"/>
          <w:highlight w:val="none"/>
        </w:rPr>
      </w:pPr>
      <w:r>
        <w:rPr>
          <w:rFonts w:hint="eastAsia" w:ascii="宋体" w:hAnsi="宋体" w:eastAsia="宋体" w:cs="宋体"/>
          <w:b/>
          <w:bCs w:val="0"/>
          <w:color w:val="auto"/>
          <w:kern w:val="44"/>
          <w:sz w:val="32"/>
          <w:szCs w:val="44"/>
          <w:highlight w:val="none"/>
        </w:rPr>
        <w:br w:type="page"/>
      </w:r>
    </w:p>
    <w:p w14:paraId="075C2FD0">
      <w:pPr>
        <w:widowControl/>
        <w:numPr>
          <w:ilvl w:val="0"/>
          <w:numId w:val="2"/>
        </w:numPr>
        <w:spacing w:line="360" w:lineRule="auto"/>
        <w:ind w:firstLine="0" w:firstLineChars="0"/>
        <w:jc w:val="center"/>
        <w:outlineLvl w:val="0"/>
        <w:rPr>
          <w:rFonts w:hint="eastAsia" w:ascii="宋体" w:hAnsi="宋体" w:eastAsia="宋体" w:cs="宋体"/>
          <w:b w:val="0"/>
          <w:bCs/>
          <w:color w:val="auto"/>
          <w:kern w:val="44"/>
          <w:sz w:val="32"/>
          <w:szCs w:val="44"/>
          <w:highlight w:val="none"/>
        </w:rPr>
      </w:pPr>
      <w:bookmarkStart w:id="125" w:name="_Toc21192"/>
      <w:r>
        <w:rPr>
          <w:rFonts w:hint="eastAsia" w:ascii="宋体" w:hAnsi="宋体" w:eastAsia="宋体" w:cs="宋体"/>
          <w:b w:val="0"/>
          <w:bCs/>
          <w:color w:val="auto"/>
          <w:kern w:val="44"/>
          <w:sz w:val="32"/>
          <w:szCs w:val="44"/>
          <w:highlight w:val="none"/>
        </w:rPr>
        <w:t>投标文件格式</w:t>
      </w:r>
      <w:bookmarkEnd w:id="118"/>
      <w:bookmarkEnd w:id="125"/>
    </w:p>
    <w:p w14:paraId="14E7D604">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投标文件封面格式</w:t>
      </w:r>
    </w:p>
    <w:p w14:paraId="3D45B033">
      <w:pPr>
        <w:adjustRightInd w:val="0"/>
        <w:snapToGrid w:val="0"/>
        <w:spacing w:line="360" w:lineRule="auto"/>
        <w:ind w:firstLine="480" w:firstLineChars="200"/>
        <w:jc w:val="center"/>
        <w:rPr>
          <w:rFonts w:hint="eastAsia" w:ascii="宋体" w:hAnsi="宋体" w:eastAsia="宋体" w:cs="宋体"/>
          <w:snapToGrid w:val="0"/>
          <w:color w:val="auto"/>
          <w:kern w:val="0"/>
          <w:sz w:val="24"/>
          <w:szCs w:val="24"/>
          <w:highlight w:val="none"/>
        </w:rPr>
      </w:pPr>
    </w:p>
    <w:p w14:paraId="10D01AD3">
      <w:pPr>
        <w:adjustRightInd w:val="0"/>
        <w:snapToGrid w:val="0"/>
        <w:spacing w:line="360" w:lineRule="auto"/>
        <w:ind w:right="420" w:firstLine="7920" w:firstLineChars="3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副本</w:t>
      </w:r>
    </w:p>
    <w:p w14:paraId="2D5C44D5">
      <w:pPr>
        <w:wordWrap w:val="0"/>
        <w:spacing w:line="440" w:lineRule="exact"/>
        <w:ind w:firstLine="2160" w:firstLineChars="600"/>
        <w:rPr>
          <w:rFonts w:hint="eastAsia" w:ascii="宋体" w:hAnsi="宋体" w:eastAsia="宋体" w:cs="宋体"/>
          <w:color w:val="auto"/>
          <w:sz w:val="36"/>
          <w:szCs w:val="36"/>
          <w:highlight w:val="none"/>
        </w:rPr>
      </w:pPr>
    </w:p>
    <w:p w14:paraId="00BE9279">
      <w:pPr>
        <w:wordWrap w:val="0"/>
        <w:spacing w:line="440" w:lineRule="exact"/>
        <w:ind w:firstLine="2160" w:firstLineChars="600"/>
        <w:rPr>
          <w:rFonts w:hint="eastAsia" w:ascii="宋体" w:hAnsi="宋体" w:eastAsia="宋体" w:cs="宋体"/>
          <w:color w:val="auto"/>
          <w:sz w:val="36"/>
          <w:szCs w:val="36"/>
          <w:highlight w:val="none"/>
        </w:rPr>
      </w:pPr>
    </w:p>
    <w:p w14:paraId="5020E48B">
      <w:pPr>
        <w:wordWrap w:val="0"/>
        <w:spacing w:line="440" w:lineRule="exact"/>
        <w:ind w:left="2524" w:leftChars="224" w:hanging="1807" w:hangingChars="50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2025-2026年能源运行中心智能远程水表系统技术服务采购项目</w:t>
      </w:r>
    </w:p>
    <w:p w14:paraId="12062978">
      <w:pPr>
        <w:wordWrap w:val="0"/>
        <w:spacing w:line="440" w:lineRule="exact"/>
        <w:ind w:firstLine="361" w:firstLineChars="100"/>
        <w:rPr>
          <w:rFonts w:hint="eastAsia" w:ascii="宋体" w:hAnsi="宋体" w:eastAsia="宋体" w:cs="宋体"/>
          <w:b/>
          <w:bCs/>
          <w:color w:val="auto"/>
          <w:sz w:val="36"/>
          <w:szCs w:val="36"/>
          <w:highlight w:val="none"/>
        </w:rPr>
      </w:pPr>
    </w:p>
    <w:p w14:paraId="4CC7A661">
      <w:pPr>
        <w:wordWrap w:val="0"/>
        <w:spacing w:line="440" w:lineRule="exact"/>
        <w:ind w:firstLine="723" w:firstLineChars="20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eastAsia="zh-CN"/>
        </w:rPr>
        <w:t>招标编号</w:t>
      </w:r>
      <w:r>
        <w:rPr>
          <w:rFonts w:hint="eastAsia" w:ascii="宋体" w:hAnsi="宋体" w:eastAsia="宋体" w:cs="宋体"/>
          <w:b/>
          <w:bCs/>
          <w:color w:val="auto"/>
          <w:sz w:val="36"/>
          <w:szCs w:val="36"/>
          <w:highlight w:val="none"/>
        </w:rPr>
        <w:t>：</w:t>
      </w:r>
      <w:r>
        <w:rPr>
          <w:rFonts w:hint="eastAsia" w:ascii="宋体" w:hAnsi="宋体" w:eastAsia="宋体" w:cs="宋体"/>
          <w:b/>
          <w:bCs/>
          <w:color w:val="auto"/>
          <w:sz w:val="36"/>
          <w:szCs w:val="36"/>
          <w:highlight w:val="none"/>
          <w:u w:val="single"/>
          <w:lang w:val="en-US" w:eastAsia="zh-CN"/>
        </w:rPr>
        <w:t xml:space="preserve">  NY-4FZB2506010         </w:t>
      </w:r>
    </w:p>
    <w:p w14:paraId="02D8FC45">
      <w:pPr>
        <w:wordWrap w:val="0"/>
        <w:spacing w:line="440" w:lineRule="exact"/>
        <w:rPr>
          <w:rFonts w:hint="eastAsia" w:ascii="宋体" w:hAnsi="宋体" w:eastAsia="宋体" w:cs="宋体"/>
          <w:color w:val="auto"/>
          <w:sz w:val="24"/>
          <w:szCs w:val="24"/>
          <w:highlight w:val="none"/>
        </w:rPr>
      </w:pPr>
    </w:p>
    <w:p w14:paraId="6F15981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5D85CE00">
      <w:pPr>
        <w:adjustRightInd w:val="0"/>
        <w:snapToGrid w:val="0"/>
        <w:spacing w:line="360" w:lineRule="auto"/>
        <w:jc w:val="center"/>
        <w:rPr>
          <w:rFonts w:hint="eastAsia" w:ascii="宋体" w:hAnsi="宋体" w:eastAsia="宋体" w:cs="宋体"/>
          <w:color w:val="auto"/>
          <w:sz w:val="24"/>
          <w:szCs w:val="24"/>
          <w:highlight w:val="none"/>
        </w:rPr>
      </w:pPr>
    </w:p>
    <w:p w14:paraId="336FA5B6">
      <w:pPr>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 标 文 件</w:t>
      </w:r>
    </w:p>
    <w:p w14:paraId="2B25E15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96F2801">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2E3F78DC">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46B11B27">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47DC22A4">
      <w:pPr>
        <w:adjustRightInd w:val="0"/>
        <w:snapToGrid w:val="0"/>
        <w:spacing w:line="360" w:lineRule="auto"/>
        <w:rPr>
          <w:rFonts w:hint="eastAsia" w:ascii="宋体" w:hAnsi="宋体" w:eastAsia="宋体" w:cs="宋体"/>
          <w:color w:val="auto"/>
          <w:sz w:val="24"/>
          <w:szCs w:val="24"/>
          <w:highlight w:val="none"/>
        </w:rPr>
      </w:pPr>
    </w:p>
    <w:p w14:paraId="46300EE3">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0E449B91">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74C59E1F">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5A53067A">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（盖单位公章）</w:t>
      </w:r>
    </w:p>
    <w:p w14:paraId="1D7D5161">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或其委托代理人：</w:t>
      </w:r>
      <w:r>
        <w:rPr>
          <w:rFonts w:hint="eastAsia" w:ascii="宋体" w:hAnsi="宋体" w:eastAsia="宋体" w:cs="宋体"/>
          <w:snapToGrid w:val="0"/>
          <w:color w:val="auto"/>
          <w:kern w:val="0"/>
          <w:sz w:val="24"/>
          <w:szCs w:val="24"/>
          <w:highlight w:val="none"/>
          <w:u w:val="single"/>
        </w:rPr>
        <w:t xml:space="preserve">   （签字或盖章）</w:t>
      </w:r>
    </w:p>
    <w:p w14:paraId="71FB4887">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69DF4F77">
      <w:pPr>
        <w:adjustRightInd w:val="0"/>
        <w:snapToGrid w:val="0"/>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Start w:id="126" w:name="_Toc83886040"/>
      <w:bookmarkStart w:id="127" w:name="_Toc17952"/>
      <w:bookmarkStart w:id="128" w:name="_Toc3260"/>
      <w:r>
        <w:rPr>
          <w:rFonts w:hint="eastAsia" w:ascii="宋体" w:hAnsi="宋体" w:eastAsia="宋体" w:cs="宋体"/>
          <w:b/>
          <w:bCs/>
          <w:color w:val="auto"/>
          <w:sz w:val="24"/>
          <w:szCs w:val="24"/>
          <w:highlight w:val="none"/>
        </w:rPr>
        <w:t>资格审查索引</w:t>
      </w:r>
      <w:bookmarkEnd w:id="126"/>
      <w:bookmarkEnd w:id="127"/>
      <w:bookmarkEnd w:id="128"/>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52D93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61B2B1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470" w:type="dxa"/>
            <w:noWrap w:val="0"/>
            <w:vAlign w:val="center"/>
          </w:tcPr>
          <w:p w14:paraId="3E00648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审查内容</w:t>
            </w:r>
          </w:p>
        </w:tc>
        <w:tc>
          <w:tcPr>
            <w:tcW w:w="1276" w:type="dxa"/>
            <w:noWrap w:val="0"/>
            <w:vAlign w:val="center"/>
          </w:tcPr>
          <w:p w14:paraId="6A25158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14:paraId="48260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87BFF2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center"/>
          </w:tcPr>
          <w:p w14:paraId="428839C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6917529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r>
      <w:tr w14:paraId="503409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3C3FBF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1F139DA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4FA0899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0B91A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C28D67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1C4FC1B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633CFCD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61F743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DE3099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3295A547">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0E36E5F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05EC5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CEB59A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6FCF88E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621F5B3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bl>
    <w:p w14:paraId="7D38B6C6">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注：投标人根据招标公告“</w:t>
      </w:r>
      <w:r>
        <w:rPr>
          <w:rFonts w:hint="eastAsia" w:ascii="宋体" w:hAnsi="宋体" w:eastAsia="宋体" w:cs="宋体"/>
          <w:color w:val="auto"/>
          <w:sz w:val="24"/>
          <w:szCs w:val="24"/>
          <w:highlight w:val="none"/>
          <w:lang w:val="zh-CN"/>
        </w:rPr>
        <w:t>投标人资格条件</w:t>
      </w:r>
      <w:r>
        <w:rPr>
          <w:rFonts w:hint="eastAsia" w:ascii="宋体" w:hAnsi="宋体" w:eastAsia="宋体" w:cs="宋体"/>
          <w:color w:val="auto"/>
          <w:sz w:val="24"/>
          <w:szCs w:val="24"/>
          <w:highlight w:val="none"/>
        </w:rPr>
        <w:t>”条款一一对应填写本表。</w:t>
      </w:r>
    </w:p>
    <w:p w14:paraId="759783DE">
      <w:pPr>
        <w:spacing w:line="420" w:lineRule="exact"/>
        <w:jc w:val="center"/>
        <w:rPr>
          <w:rFonts w:hint="eastAsia" w:ascii="宋体" w:hAnsi="宋体" w:eastAsia="宋体" w:cs="宋体"/>
          <w:color w:val="auto"/>
          <w:sz w:val="24"/>
          <w:szCs w:val="24"/>
          <w:highlight w:val="none"/>
        </w:rPr>
      </w:pPr>
    </w:p>
    <w:p w14:paraId="4D453D34">
      <w:pPr>
        <w:spacing w:line="360" w:lineRule="auto"/>
        <w:jc w:val="center"/>
        <w:outlineLvl w:val="1"/>
        <w:rPr>
          <w:rFonts w:hint="eastAsia" w:ascii="宋体" w:hAnsi="宋体" w:eastAsia="宋体" w:cs="宋体"/>
          <w:b/>
          <w:bCs/>
          <w:color w:val="auto"/>
          <w:sz w:val="24"/>
          <w:szCs w:val="24"/>
          <w:highlight w:val="none"/>
        </w:rPr>
      </w:pPr>
      <w:bookmarkStart w:id="129" w:name="_Toc32724"/>
      <w:bookmarkStart w:id="130" w:name="_Toc28418"/>
      <w:bookmarkStart w:id="131" w:name="_Toc83886041"/>
      <w:r>
        <w:rPr>
          <w:rFonts w:hint="eastAsia" w:ascii="宋体" w:hAnsi="宋体" w:eastAsia="宋体" w:cs="宋体"/>
          <w:b/>
          <w:bCs/>
          <w:color w:val="auto"/>
          <w:sz w:val="24"/>
          <w:szCs w:val="24"/>
          <w:highlight w:val="none"/>
        </w:rPr>
        <w:t>符合性审查索引</w:t>
      </w:r>
      <w:bookmarkEnd w:id="129"/>
      <w:bookmarkEnd w:id="130"/>
      <w:bookmarkEnd w:id="131"/>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D4CB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708393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470" w:type="dxa"/>
            <w:noWrap w:val="0"/>
            <w:vAlign w:val="center"/>
          </w:tcPr>
          <w:p w14:paraId="646FDA3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审查内容</w:t>
            </w:r>
          </w:p>
        </w:tc>
        <w:tc>
          <w:tcPr>
            <w:tcW w:w="1276" w:type="dxa"/>
            <w:noWrap w:val="0"/>
            <w:vAlign w:val="center"/>
          </w:tcPr>
          <w:p w14:paraId="1D8C80B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14:paraId="65BFB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EAA2B3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center"/>
          </w:tcPr>
          <w:p w14:paraId="7BB8C38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1C50885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r>
      <w:tr w14:paraId="491B9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61033C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24BF87B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5DC5E1F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7FEB9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8857CF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6B0AB1A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422C5E3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49E8CA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35DEE6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4D64DD8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20919DE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58D79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D49BA6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4DE6373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45AC1B4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bl>
    <w:p w14:paraId="48582B1F">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注：投标人根据评标方法和评价标准的“初步评审”中“符合性审查”条款一一对应填写本表。</w:t>
      </w:r>
    </w:p>
    <w:p w14:paraId="05A353F3">
      <w:pPr>
        <w:spacing w:line="360" w:lineRule="auto"/>
        <w:jc w:val="center"/>
        <w:outlineLvl w:val="1"/>
        <w:rPr>
          <w:rFonts w:hint="eastAsia" w:ascii="宋体" w:hAnsi="宋体" w:eastAsia="宋体" w:cs="宋体"/>
          <w:b/>
          <w:bCs/>
          <w:color w:val="auto"/>
          <w:sz w:val="24"/>
          <w:szCs w:val="24"/>
          <w:highlight w:val="none"/>
        </w:rPr>
      </w:pPr>
      <w:bookmarkStart w:id="132" w:name="_Toc83886042"/>
      <w:bookmarkStart w:id="133" w:name="_Toc20861"/>
      <w:bookmarkStart w:id="134" w:name="_Toc21733"/>
      <w:r>
        <w:rPr>
          <w:rFonts w:hint="eastAsia" w:ascii="宋体" w:hAnsi="宋体" w:eastAsia="宋体" w:cs="宋体"/>
          <w:b/>
          <w:bCs/>
          <w:color w:val="auto"/>
          <w:sz w:val="24"/>
          <w:szCs w:val="24"/>
          <w:highlight w:val="none"/>
        </w:rPr>
        <w:t>详细评审索引</w:t>
      </w:r>
      <w:bookmarkEnd w:id="132"/>
      <w:bookmarkEnd w:id="133"/>
      <w:bookmarkEnd w:id="134"/>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156CE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3C6AA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356" w:type="dxa"/>
            <w:noWrap w:val="0"/>
            <w:vAlign w:val="center"/>
          </w:tcPr>
          <w:p w14:paraId="08BB91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评分/评审细则</w:t>
            </w:r>
          </w:p>
        </w:tc>
        <w:tc>
          <w:tcPr>
            <w:tcW w:w="1276" w:type="dxa"/>
            <w:noWrap w:val="0"/>
            <w:vAlign w:val="center"/>
          </w:tcPr>
          <w:p w14:paraId="5AA103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14:paraId="6387D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794DAD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7D7F04B7">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648EBA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25AFD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31785F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5064559E">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2DC400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0C019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516B0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38A1FF99">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1DCC42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030EC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D7EAA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46F6F0EB">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06BE0B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2B408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8DE4D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6C91AF28">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color w:val="auto"/>
                <w:sz w:val="24"/>
                <w:szCs w:val="24"/>
                <w:highlight w:val="none"/>
              </w:rPr>
            </w:pPr>
          </w:p>
        </w:tc>
        <w:tc>
          <w:tcPr>
            <w:tcW w:w="1276" w:type="dxa"/>
            <w:noWrap w:val="0"/>
            <w:vAlign w:val="center"/>
          </w:tcPr>
          <w:p w14:paraId="0AF477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bl>
    <w:p w14:paraId="400C02A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注：投标人根据评标方法及评价标准的“详细评审”条款一一对应填写本表。</w:t>
      </w:r>
    </w:p>
    <w:p w14:paraId="421089AA">
      <w:pPr>
        <w:pStyle w:val="8"/>
        <w:rPr>
          <w:rFonts w:hint="eastAsia" w:ascii="宋体" w:hAnsi="宋体" w:eastAsia="宋体" w:cs="宋体"/>
          <w:color w:val="auto"/>
          <w:sz w:val="24"/>
          <w:szCs w:val="24"/>
          <w:highlight w:val="none"/>
        </w:rPr>
      </w:pPr>
    </w:p>
    <w:p w14:paraId="06AB98E5">
      <w:pPr>
        <w:pStyle w:val="8"/>
        <w:rPr>
          <w:rFonts w:hint="eastAsia" w:ascii="宋体" w:hAnsi="宋体" w:eastAsia="宋体" w:cs="宋体"/>
          <w:color w:val="auto"/>
          <w:sz w:val="24"/>
          <w:szCs w:val="24"/>
          <w:highlight w:val="none"/>
        </w:rPr>
      </w:pPr>
    </w:p>
    <w:p w14:paraId="779C4EA5">
      <w:pPr>
        <w:rPr>
          <w:rFonts w:hint="eastAsia" w:ascii="宋体" w:hAnsi="宋体" w:eastAsia="宋体" w:cs="宋体"/>
          <w:b/>
          <w:color w:val="auto"/>
          <w:sz w:val="24"/>
          <w:szCs w:val="24"/>
          <w:highlight w:val="none"/>
        </w:rPr>
      </w:pPr>
      <w:bookmarkStart w:id="135" w:name="_Toc83886043"/>
      <w:r>
        <w:rPr>
          <w:rFonts w:hint="eastAsia" w:ascii="宋体" w:hAnsi="宋体" w:eastAsia="宋体" w:cs="宋体"/>
          <w:b/>
          <w:color w:val="auto"/>
          <w:sz w:val="24"/>
          <w:szCs w:val="24"/>
          <w:highlight w:val="none"/>
        </w:rPr>
        <w:br w:type="page"/>
      </w:r>
    </w:p>
    <w:p w14:paraId="6BB0DFC7">
      <w:pP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目录</w:t>
      </w:r>
      <w:r>
        <w:rPr>
          <w:rFonts w:hint="eastAsia" w:ascii="宋体" w:hAnsi="宋体" w:eastAsia="宋体" w:cs="宋体"/>
          <w:b/>
          <w:color w:val="auto"/>
          <w:sz w:val="32"/>
          <w:szCs w:val="32"/>
          <w:highlight w:val="none"/>
        </w:rPr>
        <w:br w:type="textWrapping"/>
      </w:r>
      <w:r>
        <w:rPr>
          <w:rFonts w:hint="eastAsia" w:ascii="宋体" w:hAnsi="宋体" w:eastAsia="宋体" w:cs="宋体"/>
          <w:b/>
          <w:color w:val="auto"/>
          <w:sz w:val="24"/>
          <w:szCs w:val="24"/>
          <w:highlight w:val="none"/>
        </w:rPr>
        <w:t>资格审查文件部分</w:t>
      </w:r>
    </w:p>
    <w:p w14:paraId="125E4733">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1.营业执照（或者事业单位法人证书）副本复印件……………………………………（页码）</w:t>
      </w:r>
    </w:p>
    <w:p w14:paraId="1679A41A">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2.投标保证金缴存证明……………………………………………………………………（页码）</w:t>
      </w:r>
    </w:p>
    <w:p w14:paraId="68D19837">
      <w:pPr>
        <w:wordWrap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3.其他资格条件证明材料（复印件加盖公章）</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2"/>
          <w:sz w:val="24"/>
          <w:szCs w:val="24"/>
          <w:highlight w:val="none"/>
          <w:lang w:val="en-US" w:eastAsia="zh-CN" w:bidi="ar-SA"/>
        </w:rPr>
        <w:t>……………………（页码）</w:t>
      </w:r>
    </w:p>
    <w:p w14:paraId="0EECCCF6">
      <w:pPr>
        <w:wordWrap w:val="0"/>
        <w:spacing w:line="360" w:lineRule="auto"/>
        <w:jc w:val="center"/>
        <w:outlineLvl w:val="9"/>
        <w:rPr>
          <w:rFonts w:hint="eastAsia" w:ascii="宋体" w:hAnsi="宋体" w:eastAsia="宋体" w:cs="宋体"/>
          <w:b/>
          <w:color w:val="auto"/>
          <w:sz w:val="24"/>
          <w:szCs w:val="24"/>
          <w:highlight w:val="none"/>
        </w:rPr>
      </w:pPr>
      <w:bookmarkStart w:id="136" w:name="_Toc22296"/>
      <w:r>
        <w:rPr>
          <w:rFonts w:hint="eastAsia" w:ascii="宋体" w:hAnsi="宋体" w:eastAsia="宋体" w:cs="宋体"/>
          <w:b/>
          <w:color w:val="auto"/>
          <w:sz w:val="24"/>
          <w:szCs w:val="24"/>
          <w:highlight w:val="none"/>
        </w:rPr>
        <w:t>商务文件部分</w:t>
      </w:r>
      <w:bookmarkEnd w:id="136"/>
    </w:p>
    <w:p w14:paraId="430EA71D">
      <w:pPr>
        <w:wordWrap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1.投标函……………………………………………………………………………………（页码）</w:t>
      </w:r>
    </w:p>
    <w:p w14:paraId="763756BC">
      <w:pPr>
        <w:wordWrap w:val="0"/>
        <w:snapToGrid w:val="0"/>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投标报价明细表</w:t>
      </w:r>
      <w:r>
        <w:rPr>
          <w:rFonts w:hint="eastAsia" w:ascii="宋体" w:hAnsi="宋体" w:eastAsia="宋体" w:cs="宋体"/>
          <w:color w:val="auto"/>
          <w:sz w:val="24"/>
          <w:szCs w:val="24"/>
          <w:highlight w:val="none"/>
        </w:rPr>
        <w:t>…………………………………………………………………………（页码）</w:t>
      </w:r>
    </w:p>
    <w:p w14:paraId="622A44D9">
      <w:pPr>
        <w:wordWrap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3.法定代表人授权书（格式见附件）……………………………………………………（页码）</w:t>
      </w:r>
    </w:p>
    <w:p w14:paraId="608CBD36">
      <w:pPr>
        <w:wordWrap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商务偏离表（格式见附件）……………………………………………………………（页码）</w:t>
      </w:r>
    </w:p>
    <w:p w14:paraId="7C5C09CB">
      <w:pPr>
        <w:adjustRightInd w:val="0"/>
        <w:snapToGrid w:val="0"/>
        <w:spacing w:line="360" w:lineRule="auto"/>
        <w:jc w:val="both"/>
        <w:outlineLvl w:val="9"/>
        <w:rPr>
          <w:rFonts w:hint="eastAsia" w:ascii="宋体" w:hAnsi="宋体" w:eastAsia="宋体" w:cs="宋体"/>
          <w:b/>
          <w:bCs/>
          <w:color w:val="auto"/>
          <w:sz w:val="24"/>
          <w:szCs w:val="24"/>
          <w:highlight w:val="none"/>
        </w:rPr>
      </w:pPr>
      <w:bookmarkStart w:id="137" w:name="_Toc26363"/>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优惠条件及特殊承诺</w:t>
      </w:r>
      <w:r>
        <w:rPr>
          <w:rFonts w:hint="eastAsia" w:ascii="宋体" w:hAnsi="宋体" w:eastAsia="宋体" w:cs="宋体"/>
          <w:color w:val="auto"/>
          <w:sz w:val="24"/>
          <w:szCs w:val="24"/>
          <w:highlight w:val="none"/>
        </w:rPr>
        <w:t>……………………………………………………………………（页码）</w:t>
      </w:r>
      <w:bookmarkEnd w:id="137"/>
    </w:p>
    <w:p w14:paraId="660ACAAE">
      <w:pPr>
        <w:wordWrap w:val="0"/>
        <w:spacing w:line="360" w:lineRule="auto"/>
        <w:jc w:val="center"/>
        <w:outlineLvl w:val="9"/>
        <w:rPr>
          <w:rFonts w:hint="eastAsia" w:ascii="宋体" w:hAnsi="宋体" w:eastAsia="宋体" w:cs="宋体"/>
          <w:b/>
          <w:bCs/>
          <w:color w:val="auto"/>
          <w:sz w:val="24"/>
          <w:szCs w:val="24"/>
          <w:highlight w:val="none"/>
        </w:rPr>
      </w:pPr>
      <w:bookmarkStart w:id="138" w:name="_Toc25551"/>
      <w:r>
        <w:rPr>
          <w:rFonts w:hint="eastAsia" w:ascii="宋体" w:hAnsi="宋体" w:eastAsia="宋体" w:cs="宋体"/>
          <w:b/>
          <w:color w:val="auto"/>
          <w:sz w:val="24"/>
          <w:szCs w:val="24"/>
          <w:highlight w:val="none"/>
        </w:rPr>
        <w:t>资信文件部分</w:t>
      </w:r>
      <w:bookmarkEnd w:id="138"/>
    </w:p>
    <w:p w14:paraId="66BA75F7">
      <w:pPr>
        <w:numPr>
          <w:ilvl w:val="0"/>
          <w:numId w:val="0"/>
        </w:numPr>
        <w:wordWrap w:val="0"/>
        <w:adjustRightInd w:val="0"/>
        <w:snapToGrid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投标人基本情况表………………………………………………………………………（页码）</w:t>
      </w:r>
    </w:p>
    <w:p w14:paraId="02F1E8C2">
      <w:pPr>
        <w:wordWrap w:val="0"/>
        <w:adjustRightInd w:val="0"/>
        <w:snapToGrid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股东信息及出资比例信息表……………………………………………………………（页码）</w:t>
      </w:r>
    </w:p>
    <w:p w14:paraId="19ED69E1">
      <w:pPr>
        <w:wordWrap w:val="0"/>
        <w:adjustRightInd w:val="0"/>
        <w:snapToGrid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3.企业</w:t>
      </w:r>
      <w:r>
        <w:rPr>
          <w:rFonts w:hint="eastAsia" w:ascii="宋体" w:hAnsi="宋体" w:eastAsia="宋体" w:cs="宋体"/>
          <w:color w:val="auto"/>
          <w:sz w:val="24"/>
          <w:szCs w:val="24"/>
          <w:highlight w:val="none"/>
        </w:rPr>
        <w:t>类似项目业绩一览表………………………………………………………………（页码）</w:t>
      </w:r>
    </w:p>
    <w:p w14:paraId="643349CE">
      <w:pPr>
        <w:wordWrap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4.诚信廉洁承诺函</w:t>
      </w:r>
      <w:r>
        <w:rPr>
          <w:rFonts w:hint="eastAsia" w:ascii="宋体" w:hAnsi="宋体" w:eastAsia="宋体" w:cs="宋体"/>
          <w:color w:val="auto"/>
          <w:sz w:val="24"/>
          <w:szCs w:val="24"/>
          <w:highlight w:val="none"/>
        </w:rPr>
        <w:t>…………………………………………………………………………（页码）</w:t>
      </w:r>
    </w:p>
    <w:p w14:paraId="75D2F4DC">
      <w:pPr>
        <w:wordWrap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5.安全服务承诺函</w:t>
      </w:r>
      <w:r>
        <w:rPr>
          <w:rFonts w:hint="eastAsia" w:ascii="宋体" w:hAnsi="宋体" w:eastAsia="宋体" w:cs="宋体"/>
          <w:color w:val="auto"/>
          <w:sz w:val="24"/>
          <w:szCs w:val="24"/>
          <w:highlight w:val="none"/>
        </w:rPr>
        <w:t>…………………………………………………………………………（页码）</w:t>
      </w:r>
    </w:p>
    <w:p w14:paraId="6E4EA321">
      <w:pPr>
        <w:wordWrap w:val="0"/>
        <w:spacing w:line="4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6.合法知识产权承诺函</w:t>
      </w:r>
      <w:r>
        <w:rPr>
          <w:rFonts w:hint="eastAsia" w:ascii="宋体" w:hAnsi="宋体" w:eastAsia="宋体" w:cs="宋体"/>
          <w:color w:val="auto"/>
          <w:sz w:val="24"/>
          <w:szCs w:val="24"/>
          <w:highlight w:val="none"/>
        </w:rPr>
        <w:t>……………………………………………………………………（页码）</w:t>
      </w:r>
    </w:p>
    <w:p w14:paraId="5F13E8B4">
      <w:pPr>
        <w:wordWrap w:val="0"/>
        <w:spacing w:line="4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7.招标文件技术要求响应承诺……………………………………………………………（页码）</w:t>
      </w:r>
    </w:p>
    <w:p w14:paraId="010C5549">
      <w:pPr>
        <w:wordWrap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投标人认为有必要的其他内容等………………………………………………………（页码）</w:t>
      </w:r>
    </w:p>
    <w:p w14:paraId="4B790B87">
      <w:pPr>
        <w:numPr>
          <w:ilvl w:val="255"/>
          <w:numId w:val="0"/>
        </w:numPr>
        <w:wordWrap w:val="0"/>
        <w:adjustRightInd w:val="0"/>
        <w:snapToGrid w:val="0"/>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技术文件部分</w:t>
      </w:r>
    </w:p>
    <w:p w14:paraId="748B89E2">
      <w:pPr>
        <w:numPr>
          <w:ilvl w:val="255"/>
          <w:numId w:val="0"/>
        </w:numPr>
        <w:wordWrap w:val="0"/>
        <w:adjustRightInd w:val="0"/>
        <w:snapToGrid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1.技术与服务解决方案……………………………………………………………………（页码）</w:t>
      </w:r>
    </w:p>
    <w:p w14:paraId="539B5536">
      <w:pPr>
        <w:numPr>
          <w:ilvl w:val="255"/>
          <w:numId w:val="0"/>
        </w:numPr>
        <w:wordWrap w:val="0"/>
        <w:adjustRightInd w:val="0"/>
        <w:snapToGrid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技术偏离表</w:t>
      </w:r>
      <w:r>
        <w:rPr>
          <w:rFonts w:hint="eastAsia" w:ascii="宋体" w:hAnsi="宋体" w:eastAsia="宋体" w:cs="宋体"/>
          <w:color w:val="auto"/>
          <w:sz w:val="24"/>
          <w:szCs w:val="24"/>
          <w:highlight w:val="none"/>
        </w:rPr>
        <w:t>………………………………………………………………………………（页码）</w:t>
      </w:r>
    </w:p>
    <w:p w14:paraId="738407DE">
      <w:pPr>
        <w:numPr>
          <w:ilvl w:val="255"/>
          <w:numId w:val="0"/>
        </w:numPr>
        <w:wordWrap w:val="0"/>
        <w:adjustRightInd w:val="0"/>
        <w:snapToGrid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增值服务及特殊承诺</w:t>
      </w:r>
      <w:r>
        <w:rPr>
          <w:rFonts w:hint="eastAsia" w:ascii="宋体" w:hAnsi="宋体" w:eastAsia="宋体" w:cs="宋体"/>
          <w:color w:val="auto"/>
          <w:sz w:val="24"/>
          <w:szCs w:val="24"/>
          <w:highlight w:val="none"/>
        </w:rPr>
        <w:t>……………………………………………………………………（页码）</w:t>
      </w:r>
    </w:p>
    <w:p w14:paraId="62069347">
      <w:pPr>
        <w:numPr>
          <w:ilvl w:val="255"/>
          <w:numId w:val="0"/>
        </w:numPr>
        <w:wordWrap w:val="0"/>
        <w:adjustRightInd w:val="0"/>
        <w:snapToGrid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投标人认为需要提供的其他文件和说明………………………………………………（页码）</w:t>
      </w:r>
    </w:p>
    <w:p w14:paraId="4097317D">
      <w:pPr>
        <w:adjustRightInd w:val="0"/>
        <w:snapToGrid w:val="0"/>
        <w:spacing w:line="360" w:lineRule="auto"/>
        <w:jc w:val="center"/>
        <w:outlineLvl w:val="9"/>
        <w:rPr>
          <w:rFonts w:hint="eastAsia" w:ascii="宋体" w:hAnsi="宋体" w:eastAsia="宋体" w:cs="宋体"/>
          <w:color w:val="auto"/>
          <w:highlight w:val="none"/>
        </w:rPr>
      </w:pPr>
    </w:p>
    <w:p w14:paraId="18BE8D8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40FBAA">
      <w:pPr>
        <w:adjustRightInd w:val="0"/>
        <w:snapToGrid w:val="0"/>
        <w:spacing w:line="360" w:lineRule="auto"/>
        <w:jc w:val="center"/>
        <w:outlineLvl w:val="1"/>
        <w:rPr>
          <w:rFonts w:hint="eastAsia" w:ascii="宋体" w:hAnsi="宋体" w:eastAsia="宋体" w:cs="宋体"/>
          <w:snapToGrid w:val="0"/>
          <w:color w:val="auto"/>
          <w:kern w:val="0"/>
          <w:szCs w:val="21"/>
          <w:highlight w:val="none"/>
          <w:lang w:eastAsia="zh-CN"/>
        </w:rPr>
      </w:pPr>
      <w:bookmarkStart w:id="139" w:name="_Toc22537"/>
      <w:r>
        <w:rPr>
          <w:rFonts w:hint="eastAsia" w:ascii="宋体" w:hAnsi="宋体" w:eastAsia="宋体" w:cs="宋体"/>
          <w:b/>
          <w:bCs/>
          <w:color w:val="auto"/>
          <w:sz w:val="28"/>
          <w:szCs w:val="28"/>
          <w:highlight w:val="none"/>
        </w:rPr>
        <w:t>第一部分、资格文件</w:t>
      </w:r>
      <w:bookmarkEnd w:id="135"/>
      <w:bookmarkEnd w:id="139"/>
    </w:p>
    <w:p w14:paraId="48344300">
      <w:pPr>
        <w:pStyle w:val="5"/>
        <w:jc w:val="lef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一、营业执照、事业单位法人证书、社会团体法人登记证书或其他组织登记证明文件副本（复印件加盖公章）</w:t>
      </w:r>
    </w:p>
    <w:p w14:paraId="7A083BE2">
      <w:pPr>
        <w:jc w:val="left"/>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p>
    <w:p w14:paraId="730B3479">
      <w:pPr>
        <w:jc w:val="left"/>
        <w:outlineLvl w:val="9"/>
        <w:rPr>
          <w:rFonts w:hint="eastAsia" w:ascii="宋体" w:hAnsi="宋体" w:eastAsia="宋体" w:cs="宋体"/>
          <w:bCs w:val="0"/>
          <w:color w:val="auto"/>
          <w:sz w:val="24"/>
          <w:szCs w:val="24"/>
          <w:highlight w:val="none"/>
          <w:lang w:val="en-US" w:eastAsia="zh-CN"/>
        </w:rPr>
      </w:pPr>
    </w:p>
    <w:p w14:paraId="31211EB6">
      <w:pPr>
        <w:ind w:firstLine="480" w:firstLineChars="200"/>
        <w:jc w:val="left"/>
        <w:outlineLvl w:val="9"/>
        <w:rPr>
          <w:rFonts w:hint="eastAsia" w:ascii="宋体" w:hAnsi="宋体" w:eastAsia="宋体" w:cs="宋体"/>
          <w:bCs w:val="0"/>
          <w:color w:val="auto"/>
          <w:sz w:val="24"/>
          <w:szCs w:val="24"/>
          <w:highlight w:val="none"/>
          <w:lang w:val="en-US" w:eastAsia="zh-CN"/>
        </w:rPr>
      </w:pPr>
    </w:p>
    <w:p w14:paraId="3B8922EC">
      <w:pPr>
        <w:pStyle w:val="5"/>
        <w:ind w:firstLine="482" w:firstLineChars="200"/>
        <w:jc w:val="lef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、投标保证金缴存证明</w:t>
      </w:r>
    </w:p>
    <w:p w14:paraId="655D9191">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（附投标保证金缴存复印件）</w:t>
      </w:r>
    </w:p>
    <w:p w14:paraId="605FB89B">
      <w:pPr>
        <w:numPr>
          <w:ilvl w:val="0"/>
          <w:numId w:val="0"/>
        </w:numPr>
        <w:jc w:val="left"/>
        <w:outlineLvl w:val="9"/>
        <w:rPr>
          <w:rFonts w:hint="eastAsia" w:ascii="宋体" w:hAnsi="宋体" w:eastAsia="宋体" w:cs="宋体"/>
          <w:b/>
          <w:bCs/>
          <w:color w:val="auto"/>
          <w:sz w:val="24"/>
          <w:szCs w:val="24"/>
          <w:highlight w:val="none"/>
          <w:lang w:val="en-US" w:eastAsia="zh-CN"/>
        </w:rPr>
      </w:pPr>
    </w:p>
    <w:p w14:paraId="203AFAAC">
      <w:pPr>
        <w:numPr>
          <w:ilvl w:val="0"/>
          <w:numId w:val="0"/>
        </w:numPr>
        <w:ind w:firstLine="482" w:firstLineChars="200"/>
        <w:jc w:val="left"/>
        <w:outlineLvl w:val="9"/>
        <w:rPr>
          <w:rFonts w:hint="eastAsia" w:ascii="宋体" w:hAnsi="宋体" w:eastAsia="宋体" w:cs="宋体"/>
          <w:b/>
          <w:bCs/>
          <w:color w:val="auto"/>
          <w:sz w:val="24"/>
          <w:szCs w:val="24"/>
          <w:highlight w:val="none"/>
          <w:lang w:val="en-US" w:eastAsia="zh-CN"/>
        </w:rPr>
      </w:pPr>
    </w:p>
    <w:p w14:paraId="27EAA237">
      <w:pPr>
        <w:pStyle w:val="5"/>
        <w:jc w:val="left"/>
        <w:rPr>
          <w:rFonts w:hint="eastAsia" w:ascii="宋体" w:hAnsi="宋体" w:eastAsia="宋体" w:cs="宋体"/>
          <w:bCs w:val="0"/>
          <w:color w:val="auto"/>
          <w:sz w:val="24"/>
          <w:szCs w:val="24"/>
          <w:highlight w:val="none"/>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Cs w:val="0"/>
          <w:color w:val="auto"/>
          <w:kern w:val="2"/>
          <w:sz w:val="24"/>
          <w:szCs w:val="24"/>
          <w:highlight w:val="none"/>
        </w:rPr>
        <w:t>其他资格条件证明材料（复印件加盖公章）</w:t>
      </w:r>
    </w:p>
    <w:p w14:paraId="4FDE2D10">
      <w:pPr>
        <w:adjustRightInd w:val="0"/>
        <w:snapToGrid w:val="0"/>
        <w:spacing w:line="360" w:lineRule="auto"/>
        <w:jc w:val="both"/>
        <w:outlineLvl w:val="9"/>
        <w:rPr>
          <w:rFonts w:hint="eastAsia" w:ascii="宋体" w:hAnsi="宋体" w:eastAsia="宋体" w:cs="宋体"/>
          <w:b/>
          <w:bCs/>
          <w:color w:val="auto"/>
          <w:sz w:val="28"/>
          <w:szCs w:val="28"/>
          <w:highlight w:val="none"/>
        </w:rPr>
      </w:pPr>
    </w:p>
    <w:p w14:paraId="3AD5CE35">
      <w:pPr>
        <w:outlineLvl w:val="9"/>
        <w:rPr>
          <w:rFonts w:hint="eastAsia" w:ascii="宋体" w:hAnsi="宋体" w:eastAsia="宋体" w:cs="宋体"/>
          <w:color w:val="auto"/>
          <w:highlight w:val="none"/>
        </w:rPr>
      </w:pPr>
    </w:p>
    <w:p w14:paraId="2E91F1CD">
      <w:pPr>
        <w:pStyle w:val="24"/>
        <w:outlineLvl w:val="9"/>
        <w:rPr>
          <w:rFonts w:hint="eastAsia" w:ascii="宋体" w:hAnsi="宋体" w:eastAsia="宋体" w:cs="宋体"/>
          <w:color w:val="auto"/>
          <w:highlight w:val="none"/>
        </w:rPr>
      </w:pPr>
    </w:p>
    <w:p w14:paraId="4FE40C62">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140" w:name="_Toc18885"/>
      <w:bookmarkStart w:id="141" w:name="_Toc83886044"/>
    </w:p>
    <w:p w14:paraId="7BB53E31">
      <w:pPr>
        <w:wordWrap w:val="0"/>
        <w:spacing w:line="360" w:lineRule="auto"/>
        <w:jc w:val="center"/>
        <w:outlineLvl w:val="1"/>
        <w:rPr>
          <w:rFonts w:hint="eastAsia" w:ascii="宋体" w:hAnsi="宋体" w:eastAsia="宋体" w:cs="宋体"/>
          <w:b/>
          <w:bCs/>
          <w:color w:val="auto"/>
          <w:sz w:val="24"/>
          <w:szCs w:val="24"/>
          <w:highlight w:val="none"/>
        </w:rPr>
      </w:pPr>
      <w:bookmarkStart w:id="142" w:name="_Toc10923"/>
      <w:r>
        <w:rPr>
          <w:rFonts w:hint="eastAsia" w:ascii="宋体" w:hAnsi="宋体" w:eastAsia="宋体" w:cs="宋体"/>
          <w:b/>
          <w:bCs/>
          <w:color w:val="auto"/>
          <w:sz w:val="24"/>
          <w:szCs w:val="24"/>
          <w:highlight w:val="none"/>
        </w:rPr>
        <w:t>第二部分、商务文件</w:t>
      </w:r>
      <w:bookmarkEnd w:id="140"/>
      <w:bookmarkEnd w:id="141"/>
      <w:bookmarkEnd w:id="142"/>
    </w:p>
    <w:p w14:paraId="5C054BB2">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 标 函</w:t>
      </w:r>
    </w:p>
    <w:p w14:paraId="2190BC4C">
      <w:pPr>
        <w:adjustRightInd w:val="0"/>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杭州临江环境能源有限公司：</w:t>
      </w:r>
    </w:p>
    <w:p w14:paraId="1886996E">
      <w:pPr>
        <w:adjustRightInd w:val="0"/>
        <w:snapToGrid w:val="0"/>
        <w:spacing w:line="360" w:lineRule="auto"/>
        <w:ind w:left="182" w:leftChars="5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1．我方仔细研究了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2025-2026年能源运行中心智能远程水表系统技术服务采购项目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NY-4FZB2506010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招标文件（包括招标补充文件）的全部内容，愿意以人民币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%（发票为</w:t>
      </w:r>
      <w:r>
        <w:rPr>
          <w:rFonts w:hint="eastAsia" w:ascii="宋体" w:hAnsi="宋体" w:eastAsia="宋体" w:cs="宋体"/>
          <w:b/>
          <w:bCs/>
          <w:color w:val="auto"/>
          <w:sz w:val="32"/>
          <w:szCs w:val="32"/>
          <w:highlight w:val="none"/>
          <w:u w:val="single"/>
          <w:lang w:val="en-US" w:eastAsia="zh-CN"/>
        </w:rPr>
        <w:t>货物类发票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的投标总报价承担本项目的相关工作，交货期（服务期）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966F8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2．我方承诺在投标有效期内不撤销投标文件（从投标截止日起90日历天）</w:t>
      </w:r>
      <w:r>
        <w:rPr>
          <w:rFonts w:hint="eastAsia" w:ascii="宋体" w:hAnsi="宋体" w:eastAsia="宋体" w:cs="宋体"/>
          <w:b/>
          <w:bCs/>
          <w:color w:val="auto"/>
          <w:sz w:val="24"/>
          <w:szCs w:val="24"/>
          <w:highlight w:val="none"/>
          <w:lang w:val="en-US" w:eastAsia="zh-CN"/>
        </w:rPr>
        <w:t>注：按项目实际情况予以修改投标有效期</w:t>
      </w:r>
      <w:r>
        <w:rPr>
          <w:rFonts w:hint="eastAsia" w:ascii="宋体" w:hAnsi="宋体" w:eastAsia="宋体" w:cs="宋体"/>
          <w:color w:val="auto"/>
          <w:sz w:val="24"/>
          <w:szCs w:val="24"/>
          <w:highlight w:val="none"/>
        </w:rPr>
        <w:t>。</w:t>
      </w:r>
    </w:p>
    <w:p w14:paraId="30D876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3．我方已详细审查全部招标文件、包括修改文件(如需要修改)以及全部参考资料和有关附件。我们完全理解并同意放弃对这方面有不明及误解的权利。</w:t>
      </w:r>
    </w:p>
    <w:p w14:paraId="58A0DA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我方同意按照招标人要求提供与其招标有关的一切数据和资料，完全理解招标人不一定接受最低价的投标或收到的任何投标。</w:t>
      </w:r>
    </w:p>
    <w:p w14:paraId="6F77920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5．如我方中标：</w:t>
      </w:r>
    </w:p>
    <w:p w14:paraId="7CDEEF0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（1）我方承诺收到中标通知书后，在中标通知书规定的期限内与你方签订合同。</w:t>
      </w:r>
    </w:p>
    <w:p w14:paraId="72B66B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（2）我方承诺按照招标文件规定向你方递交履约担保。</w:t>
      </w:r>
    </w:p>
    <w:p w14:paraId="1D0181C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（3）我方承诺在合同约定的期限内完成所有工作内容。</w:t>
      </w:r>
    </w:p>
    <w:p w14:paraId="75DA6BE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．我方在此声明，所递交的投标文件及有关资料内容完整、真实和准确。</w:t>
      </w:r>
    </w:p>
    <w:p w14:paraId="18B8BD4D">
      <w:pPr>
        <w:adjustRightInd w:val="0"/>
        <w:snapToGrid w:val="0"/>
        <w:spacing w:line="360" w:lineRule="auto"/>
        <w:ind w:firstLine="480" w:firstLineChars="200"/>
        <w:rPr>
          <w:rFonts w:hint="eastAsia" w:ascii="宋体" w:hAnsi="宋体" w:eastAsia="宋体" w:cs="宋体"/>
          <w:color w:val="auto"/>
          <w:spacing w:val="6"/>
          <w:position w:val="1"/>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如我方在响应过程中，发生招标文件规定的招标人可以不退还投标保证金的情形的，我方同意招标人</w:t>
      </w:r>
      <w:r>
        <w:rPr>
          <w:rFonts w:hint="eastAsia" w:ascii="宋体" w:hAnsi="宋体" w:eastAsia="宋体" w:cs="宋体"/>
          <w:color w:val="auto"/>
          <w:spacing w:val="6"/>
          <w:position w:val="1"/>
          <w:sz w:val="24"/>
          <w:szCs w:val="24"/>
          <w:highlight w:val="none"/>
        </w:rPr>
        <w:t>不退还我方缴纳的全部投标保证金。</w:t>
      </w:r>
    </w:p>
    <w:p w14:paraId="6A1BBDFC">
      <w:pPr>
        <w:spacing w:line="440" w:lineRule="exact"/>
        <w:ind w:firstLine="504"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lang w:val="en-US" w:eastAsia="zh-CN"/>
        </w:rPr>
        <w:t>8</w:t>
      </w: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p w14:paraId="04E6C401">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14:paraId="5FF7F840">
      <w:pPr>
        <w:rPr>
          <w:rFonts w:hint="eastAsia" w:ascii="宋体" w:hAnsi="宋体" w:eastAsia="宋体" w:cs="宋体"/>
          <w:color w:val="auto"/>
          <w:sz w:val="24"/>
          <w:szCs w:val="24"/>
          <w:highlight w:val="none"/>
        </w:rPr>
      </w:pPr>
    </w:p>
    <w:p w14:paraId="42CA982C">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14:paraId="5867634F">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position w:val="15"/>
          <w:sz w:val="24"/>
          <w:szCs w:val="24"/>
          <w:highlight w:val="none"/>
        </w:rPr>
        <w:t xml:space="preserve">地   址 </w:t>
      </w:r>
      <w:r>
        <w:rPr>
          <w:rFonts w:hint="eastAsia" w:ascii="宋体" w:hAnsi="宋体" w:eastAsia="宋体" w:cs="宋体"/>
          <w:color w:val="auto"/>
          <w:spacing w:val="-69"/>
          <w:position w:val="15"/>
          <w:sz w:val="24"/>
          <w:szCs w:val="24"/>
          <w:highlight w:val="none"/>
        </w:rPr>
        <w:t>：</w:t>
      </w:r>
    </w:p>
    <w:p w14:paraId="38A512F5">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w:t>
      </w:r>
      <w:r>
        <w:rPr>
          <w:rFonts w:hint="eastAsia" w:ascii="宋体" w:hAnsi="宋体" w:eastAsia="宋体" w:cs="宋体"/>
          <w:color w:val="auto"/>
          <w:spacing w:val="2"/>
          <w:sz w:val="24"/>
          <w:szCs w:val="24"/>
          <w:highlight w:val="none"/>
        </w:rPr>
        <w:t>编码</w:t>
      </w:r>
      <w:r>
        <w:rPr>
          <w:rFonts w:hint="eastAsia" w:ascii="宋体" w:hAnsi="宋体" w:eastAsia="宋体" w:cs="宋体"/>
          <w:color w:val="auto"/>
          <w:spacing w:val="4"/>
          <w:sz w:val="24"/>
          <w:szCs w:val="24"/>
          <w:highlight w:val="none"/>
        </w:rPr>
        <w:t>：</w:t>
      </w:r>
    </w:p>
    <w:p w14:paraId="4C06FBD5">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pacing w:val="-94"/>
          <w:sz w:val="24"/>
          <w:szCs w:val="24"/>
          <w:highlight w:val="none"/>
        </w:rPr>
        <w:t>：</w:t>
      </w:r>
    </w:p>
    <w:p w14:paraId="4E834B57">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开</w:t>
      </w:r>
      <w:r>
        <w:rPr>
          <w:rFonts w:hint="eastAsia" w:ascii="宋体" w:hAnsi="宋体" w:eastAsia="宋体" w:cs="宋体"/>
          <w:color w:val="auto"/>
          <w:spacing w:val="5"/>
          <w:sz w:val="24"/>
          <w:szCs w:val="24"/>
          <w:highlight w:val="none"/>
        </w:rPr>
        <w:t>户银行</w:t>
      </w:r>
      <w:r>
        <w:rPr>
          <w:rFonts w:hint="eastAsia" w:ascii="宋体" w:hAnsi="宋体" w:eastAsia="宋体" w:cs="宋体"/>
          <w:color w:val="auto"/>
          <w:spacing w:val="7"/>
          <w:sz w:val="24"/>
          <w:szCs w:val="24"/>
          <w:highlight w:val="none"/>
        </w:rPr>
        <w:t>：</w:t>
      </w:r>
    </w:p>
    <w:p w14:paraId="07A1A4C0">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pacing w:val="-72"/>
          <w:sz w:val="24"/>
          <w:szCs w:val="24"/>
          <w:highlight w:val="none"/>
        </w:rPr>
        <w:t>：</w:t>
      </w:r>
    </w:p>
    <w:p w14:paraId="42B91B2E">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年   月   日</w:t>
      </w:r>
    </w:p>
    <w:p w14:paraId="0EF7A74A">
      <w:pPr>
        <w:spacing w:line="440" w:lineRule="exact"/>
        <w:rPr>
          <w:rFonts w:hint="eastAsia" w:ascii="宋体" w:hAnsi="宋体" w:eastAsia="宋体" w:cs="宋体"/>
          <w:color w:val="auto"/>
          <w:sz w:val="24"/>
          <w:szCs w:val="24"/>
          <w:highlight w:val="none"/>
        </w:rPr>
        <w:sectPr>
          <w:pgSz w:w="11906" w:h="16838"/>
          <w:pgMar w:top="1440" w:right="1080" w:bottom="1440" w:left="1080" w:header="0" w:footer="714" w:gutter="0"/>
          <w:pgNumType w:fmt="decimal"/>
          <w:cols w:space="720" w:num="1"/>
          <w:docGrid w:linePitch="286" w:charSpace="0"/>
        </w:sectPr>
      </w:pPr>
    </w:p>
    <w:p w14:paraId="5EB0EF15">
      <w:pPr>
        <w:pStyle w:val="5"/>
        <w:jc w:val="center"/>
        <w:rPr>
          <w:rFonts w:hint="eastAsia" w:ascii="宋体" w:hAnsi="宋体" w:eastAsia="宋体" w:cs="宋体"/>
          <w:color w:val="auto"/>
          <w:kern w:val="0"/>
          <w:sz w:val="24"/>
          <w:szCs w:val="24"/>
          <w:highlight w:val="none"/>
        </w:rPr>
      </w:pPr>
      <w:r>
        <w:rPr>
          <w:rFonts w:hint="eastAsia" w:ascii="宋体" w:hAnsi="宋体" w:eastAsia="宋体" w:cs="宋体"/>
          <w:bCs w:val="0"/>
          <w:color w:val="auto"/>
          <w:sz w:val="24"/>
          <w:szCs w:val="24"/>
          <w:highlight w:val="none"/>
        </w:rPr>
        <w:t>二、</w:t>
      </w:r>
      <w:r>
        <w:rPr>
          <w:rFonts w:hint="eastAsia" w:ascii="宋体" w:hAnsi="宋体" w:eastAsia="宋体" w:cs="宋体"/>
          <w:bCs w:val="0"/>
          <w:color w:val="auto"/>
          <w:sz w:val="24"/>
          <w:szCs w:val="24"/>
          <w:highlight w:val="none"/>
          <w:lang w:eastAsia="zh-CN"/>
        </w:rPr>
        <w:t>投标报价明细表</w:t>
      </w:r>
    </w:p>
    <w:p w14:paraId="27F29D57">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szCs w:val="24"/>
          <w:highlight w:val="none"/>
        </w:rPr>
      </w:pPr>
    </w:p>
    <w:p w14:paraId="2AB62603">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2025-2026年能源运行中心智能远程水表系统技术服务采购项目</w:t>
      </w:r>
      <w:r>
        <w:rPr>
          <w:rFonts w:hint="eastAsia" w:ascii="宋体" w:hAnsi="宋体" w:eastAsia="宋体" w:cs="宋体"/>
          <w:color w:val="auto"/>
          <w:kern w:val="0"/>
          <w:sz w:val="24"/>
          <w:szCs w:val="24"/>
          <w:highlight w:val="none"/>
          <w:u w:val="single"/>
        </w:rPr>
        <w:t xml:space="preserve"> </w:t>
      </w:r>
    </w:p>
    <w:p w14:paraId="447E8E06">
      <w:pPr>
        <w:snapToGrid w:val="0"/>
        <w:spacing w:line="30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eastAsia="zh-CN"/>
        </w:rPr>
        <w:t>招标编号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NY-4FZB2506010</w:t>
      </w:r>
      <w:r>
        <w:rPr>
          <w:rFonts w:hint="eastAsia" w:ascii="宋体" w:hAnsi="宋体" w:eastAsia="宋体" w:cs="宋体"/>
          <w:color w:val="auto"/>
          <w:kern w:val="0"/>
          <w:sz w:val="24"/>
          <w:szCs w:val="24"/>
          <w:highlight w:val="none"/>
          <w:u w:val="single"/>
        </w:rPr>
        <w:t xml:space="preserve">   </w:t>
      </w:r>
    </w:p>
    <w:tbl>
      <w:tblPr>
        <w:tblStyle w:val="25"/>
        <w:tblW w:w="88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4"/>
        <w:gridCol w:w="1222"/>
        <w:gridCol w:w="1129"/>
        <w:gridCol w:w="3487"/>
        <w:gridCol w:w="415"/>
        <w:gridCol w:w="573"/>
        <w:gridCol w:w="720"/>
        <w:gridCol w:w="649"/>
      </w:tblGrid>
      <w:tr w14:paraId="2B21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9041E6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DEFF2A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货物名称</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2F71B67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推荐品牌</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C4B406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val="en-US"/>
              </w:rPr>
            </w:pPr>
            <w:r>
              <w:rPr>
                <w:rFonts w:hint="eastAsia" w:ascii="宋体" w:hAnsi="宋体" w:eastAsia="宋体" w:cs="宋体"/>
                <w:b/>
                <w:bCs/>
                <w:i w:val="0"/>
                <w:iCs w:val="0"/>
                <w:color w:val="auto"/>
                <w:kern w:val="0"/>
                <w:sz w:val="20"/>
                <w:szCs w:val="20"/>
                <w:highlight w:val="none"/>
                <w:u w:val="none"/>
                <w:lang w:val="en-US" w:eastAsia="zh-CN" w:bidi="ar"/>
              </w:rPr>
              <w:t>技术要求</w:t>
            </w:r>
          </w:p>
        </w:tc>
        <w:tc>
          <w:tcPr>
            <w:tcW w:w="415" w:type="dxa"/>
            <w:tcBorders>
              <w:top w:val="single" w:color="000000" w:sz="4" w:space="0"/>
              <w:left w:val="single" w:color="000000" w:sz="4" w:space="0"/>
              <w:bottom w:val="single" w:color="000000" w:sz="4" w:space="0"/>
              <w:right w:val="single" w:color="000000" w:sz="4" w:space="0"/>
            </w:tcBorders>
            <w:noWrap w:val="0"/>
            <w:vAlign w:val="center"/>
          </w:tcPr>
          <w:p w14:paraId="0879D67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3783A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25CDB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09BB4E1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金额（元）</w:t>
            </w:r>
          </w:p>
        </w:tc>
      </w:tr>
      <w:tr w14:paraId="7BD1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EF0C3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D141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机柜</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7A0BE0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E9746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42U/2055*600*1000(高*宽*深)/黑色，含PDU插排，风扇，托盘等</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2B0D1D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2EEDF7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A244FB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2C161C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1A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D5F4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0BCA1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机架式服务器</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268B972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D2AD9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2*10核/64G/2*600G SAS 10K+3*1.2T SAS 10K/Raid 5/4*千兆网口/23.8寸显示器/2u</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18A54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28FADE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8ED54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48BC72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26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17F25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89EA2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上位机</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EE040F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9EE6F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14代i7/16G/1T M.2/1T 硬盘/23.8寸显示器</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14E9E5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0A664B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25433E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1E385C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72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59F98B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2E9B5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机架式防火墙</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B1DD2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01326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企业级防火墙,2*GE(SFP)+10*GE,USG6307E，2U</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738C6A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A1AE6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AAA2B3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26991B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5F0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197A1F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8B51A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供水在线监测系统</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24F2724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0EA6E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包括并不限于：数据采集监视；实时报警、历史报警；历史曲线、曲线分析；常规日、月、年报表；动态展示图；第三方平台数据接口；独立计费页面；具备网络拓扑展示以及数据点表，端口拓展能力</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288988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5C4D11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5D364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30D51E9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07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1C298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DC287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光伏供电系统</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7155D0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7B00B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20W，连续3天阴雨配置，含光伏组件、立杆、电池,防雷组件</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0C6492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72ACF3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E2144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4E28DB5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AE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5B0096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79CFC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光伏供电系统</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12E17A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40354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50W，连续3天阴雨配置，含光伏组件、立杆、电池,防雷组件</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45DAB2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7BA4E4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6D1191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41BB19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351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4964FC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9A0E8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现场采集箱</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6D5FC1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697739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壁挂式不锈钢箱，含485通讯数据采集、4G DTU、开关电源,空气开关，防雷组件，IP66级以上，材质：304</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06B73A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0A5DD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34</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2FE7D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0230E6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0D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1C383E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F162D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现场采集箱</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971B0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6DD2C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壁挂式不锈钢箱，含485通讯数据采集、4G DTU、开关电源,空气开关，防雷组件，IP66级以上，材质：304，防爆等级：ExdⅡCT6或以上</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0159FA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0E8A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087251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557C0D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53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B274084">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5D597F0">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5185F00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456DC188">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DN32,24V供电，485通讯，精度等级：0.2，具备瞬时流量、累积流量、设备故障传输，材质：碳钢，内衬：F4(PTFE)，电极：不锈钢316，IP67</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219B0AB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8F8D788">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C6D79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4566A5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4A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5A1DEC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DD815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08155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80A6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DN40,24V供电，485通讯，精度等级：0.2，具备瞬时流量、累积流量、设备故障传输，材质：碳钢，内衬：F4(PTFE)，电极：不锈钢316，IP67</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6F7CD7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2BC582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A39104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05373E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848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424014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E0160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37E2649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721F3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DN50,24V供电，485通讯，精度等级：0.2，具备瞬时流量、累积流量、设备故障传输，材质：碳钢，内衬：F4(PTFE)，电极：不锈钢316，IP67</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547439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3B035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97F1DE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66521B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47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18D1C2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F9D30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7B9D0A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A559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DN65,24V供电，485通讯，精度等级：0.2，具备瞬时流量、累计流量、设备故障传输，材质：碳钢，内衬：F4(PTFE)，电极：不锈钢316，IP67</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029FFA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325FC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A26ED3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5FB6AB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D2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E140A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B83CD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32397E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7BE2DA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DN80,24V供电，485通讯，精度等级：0.2，具备瞬时流量、累计流量、设备故障传输，材质：碳钢，内衬：F4(PTFE)，电极：不锈钢316，IP67</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3250D0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6C7F3F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9AC2E9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594F9ED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74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67DD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2795D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CBA8E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AC66E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DN100,24V供电，485通讯，精度等级：0.2，具备瞬时流量、累计流量、设备故障传输，材质：碳钢，内衬：F4(PTFE)，电极：不锈钢316，IP67</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1AF4B3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6C280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F21619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687D67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0E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7698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F505F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32FC65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67183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DN150,24V供电，485通讯，精度等级：0.2，具备瞬时流量、累计流量、设备故障传输，材质：碳钢，内衬：F4(PTFE)，电极：不锈钢316，IP67</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57C497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C7DAC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E019C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712E6A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14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7BF25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D4C21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插入式超声流量计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7121AD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4AE46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DN300,24V供电，485通讯，精度等级：0.5，具备瞬时流量、累计流量、设备故障传输，壁挂式，带双层控制箱</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094CD0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775478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A97848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691FB47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FF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DAA6D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A438F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插入式超声流量计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0D951B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EEF38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DN400,24V供电，485通讯，精度等级：0.5，具备瞬时流量、累计流量、设备故障传输，壁挂式，带双层控制箱</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42FB4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4D42E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8359F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379A6AC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A2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96C04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16B8B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7986FB9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32A1E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DN40,PN1.0Mpa，伸缩式蝶阀</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4469DA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bottom"/>
          </w:tcPr>
          <w:p w14:paraId="0088A1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5064F4C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bottom"/>
          </w:tcPr>
          <w:p w14:paraId="12421A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0B5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AA7DA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75989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1CDD75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7EAD0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DN50,PN1.0Mpa，伸缩式蝶阀</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411E3A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bottom"/>
          </w:tcPr>
          <w:p w14:paraId="49E59C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33B67C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bottom"/>
          </w:tcPr>
          <w:p w14:paraId="2E608D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D4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12BA6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026D8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5A3058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94DF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DN65,PN1.0Mpa，伸缩式蝶阀</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696560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bottom"/>
          </w:tcPr>
          <w:p w14:paraId="17C0467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1F5A7C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bottom"/>
          </w:tcPr>
          <w:p w14:paraId="5CF5824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0F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31446F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A641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6D595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7ED1FF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DN80,PN1.0Mpa，伸缩式蝶阀</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3B5A50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bottom"/>
          </w:tcPr>
          <w:p w14:paraId="7628C3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432BA65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bottom"/>
          </w:tcPr>
          <w:p w14:paraId="7B8D89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AE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90FC5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F74C9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31C6CE0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4D55CE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DN100,PN1.0Mpa，伸缩式蝶阀</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4D6021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bottom"/>
          </w:tcPr>
          <w:p w14:paraId="727599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13D992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bottom"/>
          </w:tcPr>
          <w:p w14:paraId="5F4E639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21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C4493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49455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法兰式蝶阀</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48BF9C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EE6B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DN150,PN1.0Mpa，伸缩式蝶阀</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2A4B5B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ign w:val="bottom"/>
          </w:tcPr>
          <w:p w14:paraId="27CE4DA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27</w:t>
            </w: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58A58D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bottom"/>
          </w:tcPr>
          <w:p w14:paraId="2EC0A3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63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472C8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DCAC4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无缝钢管</w:t>
            </w:r>
          </w:p>
        </w:tc>
        <w:tc>
          <w:tcPr>
            <w:tcW w:w="1129" w:type="dxa"/>
            <w:tcBorders>
              <w:top w:val="single" w:color="000000" w:sz="4" w:space="0"/>
              <w:left w:val="single" w:color="000000" w:sz="4" w:space="0"/>
              <w:bottom w:val="single" w:color="000000" w:sz="4" w:space="0"/>
              <w:right w:val="single" w:color="000000" w:sz="4" w:space="0"/>
            </w:tcBorders>
            <w:noWrap/>
            <w:vAlign w:val="center"/>
          </w:tcPr>
          <w:p w14:paraId="6E3718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ign w:val="center"/>
          </w:tcPr>
          <w:p w14:paraId="2F1A47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DN400,PN1.0Mpa镀锌碳钢</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3DB0B2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5A82DB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0FE33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68B5AE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9C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1AF852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14D3E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控制电缆</w:t>
            </w:r>
          </w:p>
        </w:tc>
        <w:tc>
          <w:tcPr>
            <w:tcW w:w="1129" w:type="dxa"/>
            <w:tcBorders>
              <w:top w:val="single" w:color="000000" w:sz="4" w:space="0"/>
              <w:left w:val="single" w:color="000000" w:sz="4" w:space="0"/>
              <w:bottom w:val="single" w:color="000000" w:sz="4" w:space="0"/>
              <w:right w:val="single" w:color="000000" w:sz="4" w:space="0"/>
            </w:tcBorders>
            <w:noWrap/>
            <w:vAlign w:val="center"/>
          </w:tcPr>
          <w:p w14:paraId="1FB638B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ign w:val="center"/>
          </w:tcPr>
          <w:p w14:paraId="5879A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ZR-RVVP 2*1.0</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1D6E10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A69F9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800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D5263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181FE5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06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393179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CA010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1B291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086B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ZR-RVV 2*1.0</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262EFB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D9581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400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066A3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6FF178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03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6FFAA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1CD7B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2C4DAC9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1CA03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ZR-YJV22 2*1.5</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7885D3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C8305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4000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9B78C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468279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54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968F7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11B8D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4E85AF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AEDE1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ZR-YJV22 2*4.0</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535A77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60A396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85B56D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593FF2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194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41B528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B37D5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镀锌钢管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40633BF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6F654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国标DN32，PN1.6，材质：镀锌无缝钢</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128B32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08AEB7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400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185B3E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3CF8BA5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F8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5B5982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C9E1F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镀锌钢管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C1B5C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8DE72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国标DN25，PN1.6，材质：镀锌无缝钢</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20ABF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882A9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400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8ED9B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42FDAF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79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7A84F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A0846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镀锌钢管</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48130C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A7CEA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国标DN40，PN1.6，材质：镀锌无缝钢</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4569DB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69322B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F30F8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1DFADB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6B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63AD3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80980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镀锌电缆槽盒</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3E1BF2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4AF01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长宽厚：50mm*100mm*2mm，材质：镀锌钢板</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4953CA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12BB64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3B3CE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33C1C5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48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337FB8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04A2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镀锌电缆槽盒</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3A9C13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693171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长宽厚：100*200mm*2mm，材质：镀锌钢板</w:t>
            </w:r>
          </w:p>
        </w:tc>
        <w:tc>
          <w:tcPr>
            <w:tcW w:w="415" w:type="dxa"/>
            <w:tcBorders>
              <w:top w:val="single" w:color="000000" w:sz="4" w:space="0"/>
              <w:left w:val="single" w:color="000000" w:sz="4" w:space="0"/>
              <w:bottom w:val="single" w:color="000000" w:sz="4" w:space="0"/>
              <w:right w:val="single" w:color="000000" w:sz="4" w:space="0"/>
            </w:tcBorders>
            <w:noWrap/>
            <w:vAlign w:val="center"/>
          </w:tcPr>
          <w:p w14:paraId="07A9F6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13EEF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5DE8A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1CB65A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0B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684778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34</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A09E2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MCC电源柜</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52091B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空开品牌施耐德、西门子、ABB或同等档次品牌</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EC5C6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 xml:space="preserve">长宽深800*1200*600，220VAC，总空开一个，双电源切换开关一套，指针式电压表、电流表、分空开20个，内部需完成配线，端子引出，坐落式机柜，机柜材质：冷轧板，颜色：RAL7035 </w:t>
            </w:r>
          </w:p>
        </w:tc>
        <w:tc>
          <w:tcPr>
            <w:tcW w:w="415" w:type="dxa"/>
            <w:tcBorders>
              <w:top w:val="single" w:color="000000" w:sz="4" w:space="0"/>
              <w:left w:val="single" w:color="000000" w:sz="4" w:space="0"/>
              <w:bottom w:val="single" w:color="000000" w:sz="4" w:space="0"/>
              <w:right w:val="single" w:color="000000" w:sz="4" w:space="0"/>
            </w:tcBorders>
            <w:noWrap w:val="0"/>
            <w:vAlign w:val="center"/>
          </w:tcPr>
          <w:p w14:paraId="260C70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620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75F2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35F184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p>
        </w:tc>
      </w:tr>
      <w:tr w14:paraId="3A3B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14:paraId="01DC5E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3CD6D4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w:t>
            </w:r>
          </w:p>
        </w:tc>
        <w:tc>
          <w:tcPr>
            <w:tcW w:w="6973" w:type="dxa"/>
            <w:gridSpan w:val="6"/>
            <w:tcBorders>
              <w:top w:val="single" w:color="000000" w:sz="4" w:space="0"/>
              <w:left w:val="single" w:color="000000" w:sz="4" w:space="0"/>
              <w:bottom w:val="single" w:color="000000" w:sz="4" w:space="0"/>
              <w:right w:val="single" w:color="000000" w:sz="4" w:space="0"/>
            </w:tcBorders>
            <w:noWrap w:val="0"/>
            <w:vAlign w:val="center"/>
          </w:tcPr>
          <w:p w14:paraId="36511C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p>
        </w:tc>
      </w:tr>
    </w:tbl>
    <w:p w14:paraId="7C8B4F20">
      <w:pPr>
        <w:numPr>
          <w:ilvl w:val="0"/>
          <w:numId w:val="0"/>
        </w:numPr>
        <w:tabs>
          <w:tab w:val="left" w:pos="180"/>
          <w:tab w:val="left" w:pos="900"/>
        </w:tabs>
        <w:spacing w:line="360" w:lineRule="exact"/>
        <w:ind w:right="420" w:rightChars="0"/>
        <w:rPr>
          <w:rFonts w:hint="eastAsia" w:ascii="宋体" w:hAnsi="宋体" w:eastAsia="宋体" w:cs="宋体"/>
          <w:color w:val="auto"/>
          <w:sz w:val="24"/>
          <w:szCs w:val="24"/>
          <w:highlight w:val="none"/>
        </w:rPr>
      </w:pPr>
    </w:p>
    <w:p w14:paraId="3C630C4B">
      <w:pPr>
        <w:numPr>
          <w:ilvl w:val="0"/>
          <w:numId w:val="0"/>
        </w:numPr>
        <w:tabs>
          <w:tab w:val="left" w:pos="180"/>
          <w:tab w:val="left" w:pos="900"/>
        </w:tabs>
        <w:spacing w:line="360" w:lineRule="exact"/>
        <w:ind w:right="42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投标人需按本表格式</w:t>
      </w:r>
      <w:r>
        <w:rPr>
          <w:rFonts w:hint="eastAsia" w:ascii="宋体" w:hAnsi="宋体" w:eastAsia="宋体" w:cs="宋体"/>
          <w:color w:val="auto"/>
          <w:sz w:val="24"/>
          <w:szCs w:val="24"/>
          <w:highlight w:val="none"/>
          <w:lang w:val="en-US" w:eastAsia="zh-CN"/>
        </w:rPr>
        <w:t>根据实际需求清单自行</w:t>
      </w:r>
      <w:r>
        <w:rPr>
          <w:rFonts w:hint="eastAsia" w:ascii="宋体" w:hAnsi="宋体" w:eastAsia="宋体" w:cs="宋体"/>
          <w:color w:val="auto"/>
          <w:sz w:val="24"/>
          <w:szCs w:val="24"/>
          <w:highlight w:val="none"/>
        </w:rPr>
        <w:t>填写，</w:t>
      </w:r>
      <w:r>
        <w:rPr>
          <w:rFonts w:hint="eastAsia" w:ascii="宋体" w:hAnsi="宋体" w:eastAsia="宋体" w:cs="宋体"/>
          <w:color w:val="auto"/>
          <w:sz w:val="24"/>
          <w:szCs w:val="24"/>
          <w:highlight w:val="none"/>
          <w:lang w:val="zh-CN"/>
        </w:rPr>
        <w:t>栏数不够可自加</w:t>
      </w:r>
      <w:r>
        <w:rPr>
          <w:rFonts w:hint="eastAsia" w:ascii="宋体" w:hAnsi="宋体" w:eastAsia="宋体" w:cs="宋体"/>
          <w:color w:val="auto"/>
          <w:sz w:val="24"/>
          <w:szCs w:val="24"/>
          <w:highlight w:val="none"/>
        </w:rPr>
        <w:t>。</w:t>
      </w:r>
    </w:p>
    <w:p w14:paraId="13CBEE1F">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本次报价包括了完成本合同所需的所有费用，包括但不限于货物、运输费、保险费、加工费、包装费、</w:t>
      </w:r>
      <w:r>
        <w:rPr>
          <w:rFonts w:hint="eastAsia" w:ascii="宋体" w:hAnsi="宋体" w:eastAsia="宋体" w:cs="宋体"/>
          <w:color w:val="auto"/>
          <w:kern w:val="2"/>
          <w:sz w:val="24"/>
          <w:szCs w:val="24"/>
          <w:highlight w:val="none"/>
          <w:lang w:val="en-US" w:eastAsia="zh-CN" w:bidi="ar"/>
        </w:rPr>
        <w:t>安装费、运行调试费、</w:t>
      </w:r>
      <w:r>
        <w:rPr>
          <w:rFonts w:hint="eastAsia" w:ascii="宋体" w:hAnsi="宋体" w:eastAsia="宋体" w:cs="宋体"/>
          <w:color w:val="auto"/>
          <w:sz w:val="24"/>
          <w:szCs w:val="24"/>
          <w:highlight w:val="none"/>
        </w:rPr>
        <w:t>人工费、税费、装卸费、管理费、利润、风险费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辅助材料（如</w:t>
      </w:r>
      <w:r>
        <w:rPr>
          <w:rFonts w:hint="eastAsia" w:ascii="宋体" w:hAnsi="宋体" w:eastAsia="宋体" w:cs="宋体"/>
          <w:color w:val="auto"/>
          <w:kern w:val="2"/>
          <w:sz w:val="24"/>
          <w:szCs w:val="24"/>
          <w:highlight w:val="none"/>
          <w:lang w:val="en-US" w:eastAsia="zh-CN" w:bidi="ar-SA"/>
        </w:rPr>
        <w:t>U型卡、螺丝、接头垫片、膨胀螺丝、弯头、不锈钢</w:t>
      </w:r>
      <w:r>
        <w:rPr>
          <w:rFonts w:hint="eastAsia" w:ascii="宋体" w:hAnsi="宋体" w:eastAsia="宋体" w:cs="宋体"/>
          <w:color w:val="auto"/>
          <w:kern w:val="2"/>
          <w:sz w:val="24"/>
          <w:szCs w:val="24"/>
          <w:highlight w:val="none"/>
          <w:lang w:val="zh-CN" w:eastAsia="zh-CN" w:bidi="ar-SA"/>
        </w:rPr>
        <w:t>法兰</w:t>
      </w:r>
      <w:r>
        <w:rPr>
          <w:rFonts w:hint="eastAsia" w:ascii="宋体" w:hAnsi="宋体" w:eastAsia="宋体" w:cs="宋体"/>
          <w:color w:val="auto"/>
          <w:kern w:val="2"/>
          <w:sz w:val="24"/>
          <w:szCs w:val="24"/>
          <w:highlight w:val="none"/>
          <w:lang w:val="en-US" w:eastAsia="zh-CN" w:bidi="ar-SA"/>
        </w:rPr>
        <w:t>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等</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sz w:val="24"/>
          <w:szCs w:val="24"/>
          <w:highlight w:val="none"/>
        </w:rPr>
        <w:t>投标人应充分考虑项目成本，合理报价，</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不再另行追加费用。</w:t>
      </w:r>
    </w:p>
    <w:p w14:paraId="23DB618D">
      <w:pPr>
        <w:tabs>
          <w:tab w:val="left" w:pos="180"/>
          <w:tab w:val="left" w:pos="900"/>
        </w:tabs>
        <w:spacing w:line="400" w:lineRule="exact"/>
        <w:jc w:val="right"/>
        <w:rPr>
          <w:rFonts w:hint="eastAsia" w:ascii="宋体" w:hAnsi="宋体" w:eastAsia="宋体" w:cs="宋体"/>
          <w:color w:val="auto"/>
          <w:sz w:val="24"/>
          <w:szCs w:val="24"/>
          <w:highlight w:val="none"/>
        </w:rPr>
      </w:pPr>
    </w:p>
    <w:p w14:paraId="14649339">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14:paraId="035A51E5">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 xml:space="preserve">或其委托代理人（签字或盖章）：          </w:t>
      </w:r>
    </w:p>
    <w:p w14:paraId="2B5FA27F">
      <w:pPr>
        <w:pStyle w:val="11"/>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43" w:name="_Toc30796"/>
    </w:p>
    <w:p w14:paraId="7FE03E02">
      <w:pPr>
        <w:rPr>
          <w:rFonts w:hint="eastAsia" w:ascii="宋体" w:hAnsi="宋体" w:eastAsia="宋体" w:cs="宋体"/>
          <w:b w:val="0"/>
          <w:bCs w:val="0"/>
          <w:color w:val="auto"/>
          <w:sz w:val="24"/>
          <w:szCs w:val="24"/>
          <w:highlight w:val="none"/>
          <w:lang w:val="en-US" w:eastAsia="zh-CN"/>
        </w:rPr>
      </w:pPr>
      <w:bookmarkStart w:id="144" w:name="_Toc83886045"/>
      <w:bookmarkStart w:id="145" w:name="_Toc27321"/>
      <w:r>
        <w:rPr>
          <w:rFonts w:hint="eastAsia" w:ascii="宋体" w:hAnsi="宋体" w:eastAsia="宋体" w:cs="宋体"/>
          <w:b w:val="0"/>
          <w:bCs w:val="0"/>
          <w:color w:val="auto"/>
          <w:sz w:val="24"/>
          <w:szCs w:val="24"/>
          <w:highlight w:val="none"/>
          <w:lang w:val="en-US" w:eastAsia="zh-CN"/>
        </w:rPr>
        <w:br w:type="page"/>
      </w:r>
    </w:p>
    <w:p w14:paraId="38CB0675">
      <w:pPr>
        <w:pStyle w:val="5"/>
        <w:numPr>
          <w:ilvl w:val="-1"/>
          <w:numId w:val="0"/>
        </w:numPr>
        <w:ind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Cs w:val="0"/>
          <w:color w:val="auto"/>
          <w:sz w:val="24"/>
          <w:szCs w:val="24"/>
          <w:highlight w:val="none"/>
        </w:rPr>
        <w:t>法定代表人身份证明或</w:t>
      </w:r>
    </w:p>
    <w:p w14:paraId="38215099">
      <w:pPr>
        <w:pStyle w:val="5"/>
        <w:numPr>
          <w:ilvl w:val="-1"/>
          <w:numId w:val="0"/>
        </w:numPr>
        <w:ind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附有法定代表人和</w:t>
      </w:r>
      <w:r>
        <w:rPr>
          <w:rFonts w:hint="eastAsia" w:ascii="宋体" w:hAnsi="宋体" w:eastAsia="宋体" w:cs="宋体"/>
          <w:bCs w:val="0"/>
          <w:color w:val="auto"/>
          <w:sz w:val="24"/>
          <w:szCs w:val="24"/>
          <w:highlight w:val="none"/>
          <w:lang w:val="en-US" w:eastAsia="zh-CN"/>
        </w:rPr>
        <w:t>委托代理人</w:t>
      </w:r>
      <w:r>
        <w:rPr>
          <w:rFonts w:hint="eastAsia" w:ascii="宋体" w:hAnsi="宋体" w:eastAsia="宋体" w:cs="宋体"/>
          <w:bCs w:val="0"/>
          <w:color w:val="auto"/>
          <w:sz w:val="24"/>
          <w:szCs w:val="24"/>
          <w:highlight w:val="none"/>
        </w:rPr>
        <w:t>身份证明的授权委托书</w:t>
      </w:r>
    </w:p>
    <w:p w14:paraId="0DB3C0C2">
      <w:pPr>
        <w:snapToGrid w:val="0"/>
        <w:spacing w:line="360" w:lineRule="auto"/>
        <w:jc w:val="center"/>
        <w:rPr>
          <w:rFonts w:hint="eastAsia" w:ascii="宋体" w:hAnsi="宋体" w:eastAsia="宋体" w:cs="宋体"/>
          <w:b/>
          <w:bCs/>
          <w:color w:val="auto"/>
          <w:sz w:val="24"/>
          <w:szCs w:val="24"/>
          <w:highlight w:val="none"/>
        </w:rPr>
      </w:pPr>
    </w:p>
    <w:p w14:paraId="28649F8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w:t>
      </w:r>
    </w:p>
    <w:p w14:paraId="45715D90">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5EF317BA">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628CE27C">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7E675B9E">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A9DFE7E">
      <w:pPr>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lang w:val="en-US" w:eastAsia="zh-CN"/>
        </w:rPr>
        <w:t xml:space="preserve">   </w:t>
      </w:r>
    </w:p>
    <w:p w14:paraId="4B799DCC">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24B5747C">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手机</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电子邮箱：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rPr>
        <w:t>的法定代表人。</w:t>
      </w:r>
    </w:p>
    <w:p w14:paraId="6149BE5E">
      <w:pPr>
        <w:snapToGrid w:val="0"/>
        <w:spacing w:line="360" w:lineRule="auto"/>
        <w:ind w:firstLine="560"/>
        <w:rPr>
          <w:rFonts w:hint="eastAsia" w:ascii="宋体" w:hAnsi="宋体" w:eastAsia="宋体" w:cs="宋体"/>
          <w:color w:val="auto"/>
          <w:sz w:val="24"/>
          <w:szCs w:val="24"/>
          <w:highlight w:val="none"/>
        </w:rPr>
      </w:pPr>
    </w:p>
    <w:p w14:paraId="61E7180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58044D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0A0B7118">
      <w:pPr>
        <w:snapToGrid w:val="0"/>
        <w:spacing w:line="360" w:lineRule="auto"/>
        <w:rPr>
          <w:rFonts w:hint="eastAsia" w:ascii="宋体" w:hAnsi="宋体" w:eastAsia="宋体" w:cs="宋体"/>
          <w:color w:val="auto"/>
          <w:sz w:val="24"/>
          <w:szCs w:val="24"/>
          <w:highlight w:val="none"/>
        </w:rPr>
      </w:pPr>
    </w:p>
    <w:p w14:paraId="48E1C94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投标人：（盖单位公章） </w:t>
      </w:r>
    </w:p>
    <w:p w14:paraId="1E20BBF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99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B0EED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法定代表人身份证复印件粘贴处（正、反面）</w:t>
            </w:r>
          </w:p>
        </w:tc>
      </w:tr>
    </w:tbl>
    <w:p w14:paraId="3BC81521">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注：法定代表人参加开标的，须携带本人身份证或驾驶证或公安机关出具的临时身份证明或港澳台胞证或护照原件（其他诸如市民卡等无效）和法定代表人身份证明原件。</w:t>
      </w:r>
    </w:p>
    <w:p w14:paraId="1736889A">
      <w:pPr>
        <w:spacing w:after="120" w:afterLines="50"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授权委托书</w:t>
      </w:r>
    </w:p>
    <w:p w14:paraId="784EA542">
      <w:pPr>
        <w:spacing w:line="440" w:lineRule="exact"/>
        <w:ind w:firstLine="480" w:firstLineChars="200"/>
        <w:rPr>
          <w:rFonts w:hint="eastAsia" w:ascii="宋体" w:hAnsi="宋体" w:eastAsia="宋体" w:cs="宋体"/>
          <w:color w:val="auto"/>
          <w:sz w:val="24"/>
          <w:szCs w:val="24"/>
          <w:highlight w:val="none"/>
        </w:rPr>
      </w:pPr>
    </w:p>
    <w:p w14:paraId="70FAF01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w:t>
      </w: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手机</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电子邮箱：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2025-2026年能源运行中心智能远程水表系统技术服务采购项目</w:t>
      </w:r>
      <w:r>
        <w:rPr>
          <w:rFonts w:hint="eastAsia" w:ascii="宋体" w:hAnsi="宋体" w:eastAsia="宋体" w:cs="宋体"/>
          <w:color w:val="auto"/>
          <w:sz w:val="24"/>
          <w:szCs w:val="24"/>
          <w:highlight w:val="none"/>
          <w:u w:val="single"/>
          <w:lang w:val="en-US" w:eastAsia="zh-CN"/>
        </w:rPr>
        <w:t xml:space="preserve">  （招标编号：NY-4FZB2506010 ）  </w:t>
      </w:r>
      <w:r>
        <w:rPr>
          <w:rFonts w:hint="eastAsia" w:ascii="宋体" w:hAnsi="宋体" w:eastAsia="宋体" w:cs="宋体"/>
          <w:color w:val="auto"/>
          <w:sz w:val="24"/>
          <w:szCs w:val="24"/>
          <w:highlight w:val="none"/>
        </w:rPr>
        <w:t>投标文件、签订合同和处理有关事宜，其法律后果由我方承担。</w:t>
      </w:r>
    </w:p>
    <w:p w14:paraId="71B4698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1D15543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附：委托代理人身份证复印件</w:t>
      </w:r>
    </w:p>
    <w:p w14:paraId="4D9DDE57">
      <w:pPr>
        <w:spacing w:line="440" w:lineRule="exact"/>
        <w:rPr>
          <w:rFonts w:hint="eastAsia" w:ascii="宋体" w:hAnsi="宋体" w:eastAsia="宋体" w:cs="宋体"/>
          <w:color w:val="auto"/>
          <w:sz w:val="24"/>
          <w:szCs w:val="24"/>
          <w:highlight w:val="none"/>
        </w:rPr>
      </w:pPr>
    </w:p>
    <w:p w14:paraId="4FA643E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投标人：（盖单位公章）</w:t>
      </w:r>
    </w:p>
    <w:p w14:paraId="4126734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38FE97B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027E0A05">
      <w:pPr>
        <w:spacing w:line="440" w:lineRule="exact"/>
        <w:rPr>
          <w:rFonts w:hint="eastAsia" w:ascii="宋体" w:hAnsi="宋体" w:eastAsia="宋体" w:cs="宋体"/>
          <w:color w:val="auto"/>
          <w:sz w:val="24"/>
          <w:szCs w:val="24"/>
          <w:highlight w:val="none"/>
        </w:rPr>
      </w:pPr>
    </w:p>
    <w:p w14:paraId="0A18A66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委托的代理人：（签字或盖章）</w:t>
      </w:r>
    </w:p>
    <w:p w14:paraId="0A4FB51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779043AB">
      <w:pPr>
        <w:snapToGrid w:val="0"/>
        <w:spacing w:line="36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7B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D013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委托代理人身份证复印件粘贴处（正、反面）</w:t>
            </w:r>
          </w:p>
        </w:tc>
      </w:tr>
    </w:tbl>
    <w:p w14:paraId="5965E95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注：1、如投标文件由委托代理人签字或盖章的，</w:t>
      </w:r>
      <w:r>
        <w:rPr>
          <w:rFonts w:hint="eastAsia" w:ascii="宋体" w:hAnsi="宋体" w:eastAsia="宋体" w:cs="宋体"/>
          <w:b/>
          <w:color w:val="auto"/>
          <w:sz w:val="24"/>
          <w:szCs w:val="24"/>
          <w:highlight w:val="none"/>
          <w:u w:val="single"/>
        </w:rPr>
        <w:t>投标文件必须附此授权委托书和法定代表人身份证明</w:t>
      </w:r>
      <w:r>
        <w:rPr>
          <w:rFonts w:hint="eastAsia" w:ascii="宋体" w:hAnsi="宋体" w:eastAsia="宋体" w:cs="宋体"/>
          <w:b/>
          <w:color w:val="auto"/>
          <w:sz w:val="24"/>
          <w:szCs w:val="24"/>
          <w:highlight w:val="none"/>
        </w:rPr>
        <w:t>。</w:t>
      </w:r>
    </w:p>
    <w:p w14:paraId="5EA789B8">
      <w:pPr>
        <w:spacing w:line="44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14:paraId="31CF5ABA">
      <w:pPr>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14:paraId="4DE495F1">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40761D70">
      <w:pPr>
        <w:pStyle w:val="5"/>
        <w:jc w:val="center"/>
        <w:rPr>
          <w:rFonts w:hint="eastAsia" w:ascii="宋体" w:hAnsi="宋体" w:eastAsia="宋体" w:cs="宋体"/>
          <w:bCs w:val="0"/>
          <w:color w:val="auto"/>
          <w:sz w:val="24"/>
          <w:szCs w:val="24"/>
          <w:highlight w:val="none"/>
        </w:rPr>
      </w:pPr>
      <w:r>
        <w:rPr>
          <w:rFonts w:hint="eastAsia" w:ascii="宋体" w:hAnsi="宋体" w:eastAsia="宋体" w:cs="宋体"/>
          <w:b/>
          <w:bCs/>
          <w:color w:val="auto"/>
          <w:sz w:val="24"/>
          <w:szCs w:val="24"/>
          <w:highlight w:val="none"/>
          <w:lang w:val="en-US" w:eastAsia="zh-CN"/>
        </w:rPr>
        <w:t xml:space="preserve"> 四、</w:t>
      </w:r>
      <w:r>
        <w:rPr>
          <w:rFonts w:hint="eastAsia" w:ascii="宋体" w:hAnsi="宋体" w:eastAsia="宋体" w:cs="宋体"/>
          <w:bCs w:val="0"/>
          <w:color w:val="auto"/>
          <w:sz w:val="24"/>
          <w:szCs w:val="24"/>
          <w:highlight w:val="none"/>
        </w:rPr>
        <w:t>商务偏离表</w:t>
      </w:r>
    </w:p>
    <w:p w14:paraId="3207C45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729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55E5A8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43" w:type="dxa"/>
            <w:gridSpan w:val="2"/>
            <w:noWrap w:val="0"/>
            <w:vAlign w:val="center"/>
          </w:tcPr>
          <w:p w14:paraId="56DFB2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3921" w:type="dxa"/>
            <w:gridSpan w:val="2"/>
            <w:noWrap w:val="0"/>
            <w:vAlign w:val="center"/>
          </w:tcPr>
          <w:p w14:paraId="0F633A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1367" w:type="dxa"/>
            <w:vMerge w:val="restart"/>
            <w:noWrap w:val="0"/>
            <w:vAlign w:val="center"/>
          </w:tcPr>
          <w:p w14:paraId="4AFE65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A8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60A13A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7FAFF3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003" w:type="dxa"/>
            <w:noWrap w:val="0"/>
            <w:vAlign w:val="center"/>
          </w:tcPr>
          <w:p w14:paraId="302861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简要内容</w:t>
            </w:r>
          </w:p>
        </w:tc>
        <w:tc>
          <w:tcPr>
            <w:tcW w:w="1200" w:type="dxa"/>
            <w:noWrap w:val="0"/>
            <w:vAlign w:val="center"/>
          </w:tcPr>
          <w:p w14:paraId="1EC114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721" w:type="dxa"/>
            <w:noWrap w:val="0"/>
            <w:vAlign w:val="center"/>
          </w:tcPr>
          <w:p w14:paraId="522EE6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实际响应的具体内容</w:t>
            </w:r>
          </w:p>
        </w:tc>
        <w:tc>
          <w:tcPr>
            <w:tcW w:w="1367" w:type="dxa"/>
            <w:vMerge w:val="continue"/>
            <w:noWrap w:val="0"/>
            <w:vAlign w:val="center"/>
          </w:tcPr>
          <w:p w14:paraId="6431DC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A1C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EA563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4CBAA0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44E20C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29263D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46DC1F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1C9848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612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F8E93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7B35AC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09085C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535681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7FDA72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3906B5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75F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554A8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422004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3E77FA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64A25D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3B822A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1B034A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9F6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86257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10F5BD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16FA47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1FD4AE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7AF3FB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3751CB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CFF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C0078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5FDE3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1C0C2D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5A17A60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0AC7EE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7B73E61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A3B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020D2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199E4F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157BF2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40BEC12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651D7A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7FF506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534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46A1B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229452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6DA108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4917F3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58DD3E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779CB1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7B8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72129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02E605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622D01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5D842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31BF5B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222CB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0A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E46E7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6320BC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18A0B0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4106E8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45E224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7489C6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E61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9CDAF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21456B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66E053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52CFD4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66A285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73F568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B47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2467B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0BD44D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50A7D3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4E6877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40BE3E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17AD2B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4ED02EBB">
      <w:pPr>
        <w:wordWrap w:val="0"/>
        <w:spacing w:line="400" w:lineRule="exact"/>
        <w:jc w:val="both"/>
        <w:rPr>
          <w:rFonts w:hint="eastAsia" w:ascii="宋体" w:hAnsi="宋体" w:eastAsia="宋体" w:cs="宋体"/>
          <w:color w:val="auto"/>
          <w:kern w:val="0"/>
          <w:sz w:val="24"/>
          <w:szCs w:val="24"/>
          <w:highlight w:val="none"/>
          <w:lang w:val="en-US" w:eastAsia="zh-CN" w:bidi="ar-SA"/>
        </w:rPr>
      </w:pPr>
    </w:p>
    <w:p w14:paraId="08EEA2C2">
      <w:pPr>
        <w:rPr>
          <w:rFonts w:hint="eastAsia" w:ascii="宋体" w:hAnsi="宋体" w:eastAsia="宋体" w:cs="宋体"/>
          <w:color w:val="auto"/>
          <w:sz w:val="24"/>
          <w:szCs w:val="24"/>
          <w:highlight w:val="none"/>
          <w:lang w:val="en-US" w:eastAsia="zh-CN"/>
        </w:rPr>
      </w:pPr>
    </w:p>
    <w:p w14:paraId="190136A3">
      <w:pPr>
        <w:wordWrap/>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注：1、请</w:t>
      </w:r>
      <w:r>
        <w:rPr>
          <w:rFonts w:hint="eastAsia" w:ascii="宋体" w:hAnsi="宋体" w:eastAsia="宋体" w:cs="宋体"/>
          <w:color w:val="auto"/>
          <w:kern w:val="2"/>
          <w:sz w:val="24"/>
          <w:szCs w:val="24"/>
          <w:highlight w:val="none"/>
          <w:lang w:val="en-GB" w:eastAsia="zh-CN" w:bidi="ar-SA"/>
        </w:rPr>
        <w:t>投标人在“是否响应”栏内根据响应情况填写“满足或负偏离，或正偏离”，负偏离或正偏离请在“偏离说明”栏内扼要说明偏离情况。</w:t>
      </w:r>
    </w:p>
    <w:p w14:paraId="00156EC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若投标人未提供或未填写本表，均视作完全响应招标文件要求。</w:t>
      </w:r>
    </w:p>
    <w:p w14:paraId="6531FAA0">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08C3F579">
      <w:pPr>
        <w:adjustRightInd w:val="0"/>
        <w:snapToGrid w:val="0"/>
        <w:spacing w:line="360" w:lineRule="auto"/>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投标人（盖公章）：</w:t>
      </w:r>
    </w:p>
    <w:p w14:paraId="560E94F8">
      <w:pPr>
        <w:adjustRightInd w:val="0"/>
        <w:snapToGrid w:val="0"/>
        <w:spacing w:line="360" w:lineRule="auto"/>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法定代表人</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负责人</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rPr>
        <w:t>或其委托代理人（签字或盖章）：</w:t>
      </w:r>
    </w:p>
    <w:p w14:paraId="17446F35">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7B169972">
      <w:pPr>
        <w:pStyle w:val="48"/>
        <w:adjustRightInd w:val="0"/>
        <w:snapToGrid w:val="0"/>
        <w:spacing w:line="360" w:lineRule="auto"/>
        <w:rPr>
          <w:rFonts w:hint="eastAsia" w:ascii="宋体" w:hAnsi="宋体" w:eastAsia="宋体" w:cs="宋体"/>
          <w:color w:val="auto"/>
          <w:sz w:val="24"/>
          <w:szCs w:val="24"/>
          <w:highlight w:val="none"/>
        </w:rPr>
      </w:pPr>
    </w:p>
    <w:p w14:paraId="6E5A7BFF">
      <w:pPr>
        <w:pStyle w:val="31"/>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14:paraId="4D36217E">
      <w:pPr>
        <w:pStyle w:val="5"/>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五</w:t>
      </w:r>
      <w:r>
        <w:rPr>
          <w:rFonts w:hint="eastAsia" w:ascii="宋体" w:hAnsi="宋体" w:eastAsia="宋体" w:cs="宋体"/>
          <w:bCs w:val="0"/>
          <w:color w:val="auto"/>
          <w:sz w:val="24"/>
          <w:szCs w:val="24"/>
          <w:highlight w:val="none"/>
        </w:rPr>
        <w:t>、</w:t>
      </w:r>
      <w:r>
        <w:rPr>
          <w:rFonts w:hint="eastAsia" w:ascii="宋体" w:hAnsi="宋体" w:eastAsia="宋体" w:cs="宋体"/>
          <w:bCs w:val="0"/>
          <w:color w:val="auto"/>
          <w:sz w:val="24"/>
          <w:szCs w:val="24"/>
          <w:highlight w:val="none"/>
          <w:lang w:val="zh-CN"/>
        </w:rPr>
        <w:t>优惠条件及特殊承诺</w:t>
      </w:r>
    </w:p>
    <w:p w14:paraId="7A1A20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（由投标人根据招标需求自行编制）</w:t>
      </w:r>
    </w:p>
    <w:p w14:paraId="56ABE058">
      <w:pPr>
        <w:spacing w:line="360" w:lineRule="auto"/>
        <w:jc w:val="center"/>
        <w:rPr>
          <w:rFonts w:hint="eastAsia" w:ascii="宋体" w:hAnsi="宋体" w:eastAsia="宋体" w:cs="宋体"/>
          <w:color w:val="auto"/>
          <w:sz w:val="24"/>
          <w:szCs w:val="24"/>
          <w:highlight w:val="none"/>
        </w:rPr>
      </w:pPr>
    </w:p>
    <w:p w14:paraId="72E27268">
      <w:pPr>
        <w:pStyle w:val="11"/>
        <w:spacing w:line="360" w:lineRule="auto"/>
        <w:rPr>
          <w:rFonts w:hint="eastAsia" w:ascii="宋体" w:hAnsi="宋体" w:eastAsia="宋体" w:cs="宋体"/>
          <w:color w:val="auto"/>
          <w:sz w:val="24"/>
          <w:szCs w:val="24"/>
          <w:highlight w:val="none"/>
        </w:rPr>
      </w:pPr>
    </w:p>
    <w:p w14:paraId="7E671C55">
      <w:pPr>
        <w:pStyle w:val="11"/>
        <w:spacing w:line="360" w:lineRule="auto"/>
        <w:rPr>
          <w:rFonts w:hint="eastAsia" w:ascii="宋体" w:hAnsi="宋体" w:eastAsia="宋体" w:cs="宋体"/>
          <w:color w:val="auto"/>
          <w:sz w:val="24"/>
          <w:szCs w:val="24"/>
          <w:highlight w:val="none"/>
        </w:rPr>
      </w:pPr>
    </w:p>
    <w:p w14:paraId="23DE4549">
      <w:pPr>
        <w:pStyle w:val="11"/>
        <w:spacing w:line="360" w:lineRule="auto"/>
        <w:rPr>
          <w:rFonts w:hint="eastAsia" w:ascii="宋体" w:hAnsi="宋体" w:eastAsia="宋体" w:cs="宋体"/>
          <w:color w:val="auto"/>
          <w:sz w:val="24"/>
          <w:szCs w:val="24"/>
          <w:highlight w:val="none"/>
        </w:rPr>
      </w:pPr>
    </w:p>
    <w:p w14:paraId="60DD01F3">
      <w:pPr>
        <w:pStyle w:val="11"/>
        <w:spacing w:line="360" w:lineRule="auto"/>
        <w:rPr>
          <w:rFonts w:hint="eastAsia" w:ascii="宋体" w:hAnsi="宋体" w:eastAsia="宋体" w:cs="宋体"/>
          <w:color w:val="auto"/>
          <w:sz w:val="24"/>
          <w:szCs w:val="24"/>
          <w:highlight w:val="none"/>
        </w:rPr>
      </w:pPr>
    </w:p>
    <w:p w14:paraId="4562AABE">
      <w:pPr>
        <w:pStyle w:val="11"/>
        <w:spacing w:line="360" w:lineRule="auto"/>
        <w:rPr>
          <w:rFonts w:hint="eastAsia" w:ascii="宋体" w:hAnsi="宋体" w:eastAsia="宋体" w:cs="宋体"/>
          <w:color w:val="auto"/>
          <w:sz w:val="24"/>
          <w:szCs w:val="24"/>
          <w:highlight w:val="none"/>
        </w:rPr>
      </w:pPr>
    </w:p>
    <w:p w14:paraId="7B82B47F">
      <w:pPr>
        <w:pStyle w:val="11"/>
        <w:spacing w:line="360" w:lineRule="auto"/>
        <w:rPr>
          <w:rFonts w:hint="eastAsia" w:ascii="宋体" w:hAnsi="宋体" w:eastAsia="宋体" w:cs="宋体"/>
          <w:color w:val="auto"/>
          <w:sz w:val="24"/>
          <w:szCs w:val="24"/>
          <w:highlight w:val="none"/>
        </w:rPr>
      </w:pPr>
    </w:p>
    <w:p w14:paraId="6F754A81">
      <w:pPr>
        <w:pStyle w:val="11"/>
        <w:spacing w:line="360" w:lineRule="auto"/>
        <w:rPr>
          <w:rFonts w:hint="eastAsia" w:ascii="宋体" w:hAnsi="宋体" w:eastAsia="宋体" w:cs="宋体"/>
          <w:color w:val="auto"/>
          <w:sz w:val="24"/>
          <w:szCs w:val="24"/>
          <w:highlight w:val="none"/>
        </w:rPr>
      </w:pPr>
    </w:p>
    <w:p w14:paraId="1CB44824">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0FF09343">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14:paraId="3AA5F1AA">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年    月    日</w:t>
      </w:r>
    </w:p>
    <w:p w14:paraId="61273218">
      <w:pPr>
        <w:snapToGrid w:val="0"/>
        <w:spacing w:line="360" w:lineRule="auto"/>
        <w:jc w:val="center"/>
        <w:outlineLvl w:val="9"/>
        <w:rPr>
          <w:rFonts w:hint="eastAsia" w:ascii="宋体" w:hAnsi="宋体" w:eastAsia="宋体" w:cs="宋体"/>
          <w:b/>
          <w:bCs/>
          <w:color w:val="auto"/>
          <w:sz w:val="24"/>
          <w:szCs w:val="24"/>
          <w:highlight w:val="none"/>
        </w:rPr>
      </w:pPr>
    </w:p>
    <w:p w14:paraId="2B60E3F6">
      <w:pPr>
        <w:jc w:val="both"/>
        <w:outlineLvl w:val="9"/>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br w:type="page"/>
      </w:r>
    </w:p>
    <w:p w14:paraId="623FB773">
      <w:pPr>
        <w:pStyle w:val="4"/>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第三部分、资信文件</w:t>
      </w:r>
      <w:bookmarkEnd w:id="144"/>
      <w:bookmarkEnd w:id="145"/>
    </w:p>
    <w:p w14:paraId="255C0ACE">
      <w:pPr>
        <w:pStyle w:val="5"/>
        <w:jc w:val="center"/>
        <w:rPr>
          <w:rFonts w:hint="eastAsia" w:ascii="宋体" w:hAnsi="宋体" w:eastAsia="宋体" w:cs="宋体"/>
          <w:color w:val="auto"/>
          <w:sz w:val="24"/>
          <w:szCs w:val="24"/>
          <w:highlight w:val="none"/>
        </w:rPr>
      </w:pPr>
      <w:bookmarkStart w:id="146" w:name="_Toc31736"/>
      <w:r>
        <w:rPr>
          <w:rFonts w:hint="eastAsia" w:ascii="宋体" w:hAnsi="宋体" w:eastAsia="宋体" w:cs="宋体"/>
          <w:color w:val="auto"/>
          <w:sz w:val="24"/>
          <w:szCs w:val="24"/>
          <w:highlight w:val="none"/>
        </w:rPr>
        <w:t>一、投标人基本情况表</w:t>
      </w:r>
      <w:bookmarkEnd w:id="146"/>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6F5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DED734A">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370" w:type="dxa"/>
            <w:gridSpan w:val="7"/>
            <w:noWrap w:val="0"/>
            <w:vAlign w:val="center"/>
          </w:tcPr>
          <w:p w14:paraId="6782A8E0">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803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94824F7">
            <w:pPr>
              <w:pStyle w:val="48"/>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营业执照（事业单位法人证书等）</w:t>
            </w:r>
          </w:p>
        </w:tc>
      </w:tr>
      <w:tr w14:paraId="5A45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3FD7268B">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697" w:type="dxa"/>
            <w:gridSpan w:val="3"/>
            <w:noWrap w:val="0"/>
            <w:vAlign w:val="center"/>
          </w:tcPr>
          <w:p w14:paraId="332230E6">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37E9B68A">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2870" w:type="dxa"/>
            <w:gridSpan w:val="2"/>
            <w:noWrap w:val="0"/>
            <w:vAlign w:val="center"/>
          </w:tcPr>
          <w:p w14:paraId="1AA244F3">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D0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886229B">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发照机关</w:t>
            </w:r>
          </w:p>
        </w:tc>
        <w:tc>
          <w:tcPr>
            <w:tcW w:w="2697" w:type="dxa"/>
            <w:gridSpan w:val="3"/>
            <w:noWrap w:val="0"/>
            <w:vAlign w:val="center"/>
          </w:tcPr>
          <w:p w14:paraId="753B493E">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0DC09F59">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870" w:type="dxa"/>
            <w:gridSpan w:val="2"/>
            <w:noWrap w:val="0"/>
            <w:vAlign w:val="center"/>
          </w:tcPr>
          <w:p w14:paraId="4D7AF481">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FF4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0B04EC11">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697" w:type="dxa"/>
            <w:gridSpan w:val="3"/>
            <w:noWrap w:val="0"/>
            <w:vAlign w:val="center"/>
          </w:tcPr>
          <w:p w14:paraId="60111FF6">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3EBF0482">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c>
          <w:tcPr>
            <w:tcW w:w="2870" w:type="dxa"/>
            <w:gridSpan w:val="2"/>
            <w:noWrap w:val="0"/>
            <w:vAlign w:val="center"/>
          </w:tcPr>
          <w:p w14:paraId="26615003">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9C2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A30AD21">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70" w:type="dxa"/>
            <w:gridSpan w:val="7"/>
            <w:noWrap w:val="0"/>
            <w:vAlign w:val="center"/>
          </w:tcPr>
          <w:p w14:paraId="5CFBA237">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469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9D4A6DF">
            <w:pPr>
              <w:pStyle w:val="48"/>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单位资质</w:t>
            </w:r>
          </w:p>
        </w:tc>
      </w:tr>
      <w:tr w14:paraId="45FA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66AB0AC">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单位资质等级</w:t>
            </w:r>
          </w:p>
        </w:tc>
        <w:tc>
          <w:tcPr>
            <w:tcW w:w="2697" w:type="dxa"/>
            <w:gridSpan w:val="3"/>
            <w:noWrap w:val="0"/>
            <w:vAlign w:val="center"/>
          </w:tcPr>
          <w:p w14:paraId="7F721C13">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7B05B24E">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870" w:type="dxa"/>
            <w:gridSpan w:val="2"/>
            <w:noWrap w:val="0"/>
            <w:vAlign w:val="center"/>
          </w:tcPr>
          <w:p w14:paraId="6B079C9A">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4DE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20C38A1">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7" w:type="dxa"/>
            <w:gridSpan w:val="3"/>
            <w:noWrap w:val="0"/>
            <w:vAlign w:val="center"/>
          </w:tcPr>
          <w:p w14:paraId="626204CE">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1A974A8A">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业务范围</w:t>
            </w:r>
          </w:p>
        </w:tc>
        <w:tc>
          <w:tcPr>
            <w:tcW w:w="2870" w:type="dxa"/>
            <w:gridSpan w:val="2"/>
            <w:noWrap w:val="0"/>
            <w:vAlign w:val="center"/>
          </w:tcPr>
          <w:p w14:paraId="2DD203ED">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D6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34FC50CF">
            <w:pPr>
              <w:pStyle w:val="48"/>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领导层构成情况</w:t>
            </w:r>
          </w:p>
        </w:tc>
      </w:tr>
      <w:tr w14:paraId="03D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401C852">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17135B73">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14" w:type="dxa"/>
            <w:gridSpan w:val="2"/>
            <w:noWrap w:val="0"/>
            <w:vAlign w:val="center"/>
          </w:tcPr>
          <w:p w14:paraId="231F95B5">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914" w:type="dxa"/>
            <w:gridSpan w:val="2"/>
            <w:noWrap w:val="0"/>
            <w:vAlign w:val="center"/>
          </w:tcPr>
          <w:p w14:paraId="48C3C833">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2" w:type="dxa"/>
            <w:noWrap w:val="0"/>
            <w:vAlign w:val="center"/>
          </w:tcPr>
          <w:p w14:paraId="0D75C8C2">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14:paraId="746F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326E802">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14" w:type="dxa"/>
            <w:gridSpan w:val="3"/>
            <w:noWrap w:val="0"/>
            <w:vAlign w:val="center"/>
          </w:tcPr>
          <w:p w14:paraId="220C6C09">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2544BDA9">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55380CB4">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49817270">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D3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6F0F1EF">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914" w:type="dxa"/>
            <w:gridSpan w:val="3"/>
            <w:noWrap w:val="0"/>
            <w:vAlign w:val="center"/>
          </w:tcPr>
          <w:p w14:paraId="4C6478EF">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4E87310F">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409CB6F5">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538DAF61">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E18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DE628C0">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1F01A52B">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79805047">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1DA65742">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629F4A8C">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C12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13B2172">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752B4EEA">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697D398E">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3CD39EB6">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4273234E">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8D5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0846D1C">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7FD65BA9">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2563EB84">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7C7DC910">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124DF627">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58D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F8DCE81">
            <w:pPr>
              <w:pStyle w:val="48"/>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人员职称构成情况</w:t>
            </w:r>
          </w:p>
        </w:tc>
      </w:tr>
      <w:tr w14:paraId="1F30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57C415C">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人员总数</w:t>
            </w:r>
          </w:p>
        </w:tc>
        <w:tc>
          <w:tcPr>
            <w:tcW w:w="1914" w:type="dxa"/>
            <w:gridSpan w:val="3"/>
            <w:noWrap w:val="0"/>
            <w:vAlign w:val="center"/>
          </w:tcPr>
          <w:p w14:paraId="5689E9E6">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w:t>
            </w:r>
          </w:p>
        </w:tc>
        <w:tc>
          <w:tcPr>
            <w:tcW w:w="1914" w:type="dxa"/>
            <w:gridSpan w:val="2"/>
            <w:noWrap w:val="0"/>
            <w:vAlign w:val="center"/>
          </w:tcPr>
          <w:p w14:paraId="1E7CDB49">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w:t>
            </w:r>
          </w:p>
        </w:tc>
        <w:tc>
          <w:tcPr>
            <w:tcW w:w="1914" w:type="dxa"/>
            <w:gridSpan w:val="2"/>
            <w:noWrap w:val="0"/>
            <w:vAlign w:val="center"/>
          </w:tcPr>
          <w:p w14:paraId="245701C5">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w:t>
            </w:r>
          </w:p>
        </w:tc>
        <w:tc>
          <w:tcPr>
            <w:tcW w:w="1802" w:type="dxa"/>
            <w:noWrap w:val="0"/>
            <w:vAlign w:val="center"/>
          </w:tcPr>
          <w:p w14:paraId="70D5EF02">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r w14:paraId="665E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D099B75">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785E015F">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1F9A8FA9">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7DE0432F">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14E109AB">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D84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8AB7C34">
            <w:pPr>
              <w:pStyle w:val="48"/>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近5年营业额情况（万元）</w:t>
            </w:r>
          </w:p>
        </w:tc>
      </w:tr>
      <w:tr w14:paraId="7CC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036F008F">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660" w:type="dxa"/>
            <w:noWrap w:val="0"/>
            <w:vAlign w:val="center"/>
          </w:tcPr>
          <w:p w14:paraId="781A1B61">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noWrap w:val="0"/>
            <w:vAlign w:val="center"/>
          </w:tcPr>
          <w:p w14:paraId="5671C191">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noWrap w:val="0"/>
            <w:vAlign w:val="center"/>
          </w:tcPr>
          <w:p w14:paraId="1FF4B115">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802" w:type="dxa"/>
            <w:noWrap w:val="0"/>
            <w:vAlign w:val="center"/>
          </w:tcPr>
          <w:p w14:paraId="7E9E98DB">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r>
      <w:tr w14:paraId="1586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522369CC">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660" w:type="dxa"/>
            <w:noWrap w:val="0"/>
            <w:vAlign w:val="center"/>
          </w:tcPr>
          <w:p w14:paraId="689F11BE">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253E82B2">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563AE894">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5A8C26CC">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7CA86124">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注：本表后应附相关证明材料的复印件并加盖公章。</w:t>
      </w:r>
    </w:p>
    <w:p w14:paraId="15FFA1D6">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14:paraId="5933F875">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sz w:val="24"/>
          <w:szCs w:val="24"/>
          <w:highlight w:val="none"/>
        </w:rPr>
        <w:t>或其委托代理人（签字或盖章）：</w:t>
      </w:r>
    </w:p>
    <w:p w14:paraId="55382BCC">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47" w:name="_Toc24517"/>
    </w:p>
    <w:p w14:paraId="276AF0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29444FF">
      <w:pPr>
        <w:pStyle w:val="48"/>
        <w:snapToGrid w:val="0"/>
        <w:spacing w:line="360" w:lineRule="auto"/>
        <w:rPr>
          <w:rFonts w:hint="eastAsia" w:ascii="宋体" w:hAnsi="宋体" w:eastAsia="宋体" w:cs="宋体"/>
          <w:color w:val="auto"/>
          <w:sz w:val="24"/>
          <w:szCs w:val="24"/>
          <w:highlight w:val="none"/>
        </w:rPr>
      </w:pPr>
    </w:p>
    <w:p w14:paraId="5EC6818F">
      <w:pPr>
        <w:pStyle w:val="5"/>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、股东信息及出资比例信息表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2934"/>
        <w:gridCol w:w="2935"/>
      </w:tblGrid>
      <w:tr w14:paraId="6CC7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450C8B16">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5" w:type="dxa"/>
            <w:noWrap w:val="0"/>
            <w:vAlign w:val="center"/>
          </w:tcPr>
          <w:p w14:paraId="6ED0E48D">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股东</w:t>
            </w:r>
          </w:p>
        </w:tc>
        <w:tc>
          <w:tcPr>
            <w:tcW w:w="3316" w:type="dxa"/>
            <w:noWrap w:val="0"/>
            <w:vAlign w:val="center"/>
          </w:tcPr>
          <w:p w14:paraId="51C1AEB5">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出资比例</w:t>
            </w:r>
          </w:p>
        </w:tc>
      </w:tr>
      <w:tr w14:paraId="33E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4DF9C892">
            <w:pPr>
              <w:pStyle w:val="8"/>
              <w:rPr>
                <w:rFonts w:hint="eastAsia" w:ascii="宋体" w:hAnsi="宋体" w:eastAsia="宋体" w:cs="宋体"/>
                <w:bCs/>
                <w:color w:val="auto"/>
                <w:sz w:val="24"/>
                <w:szCs w:val="24"/>
                <w:highlight w:val="none"/>
              </w:rPr>
            </w:pPr>
          </w:p>
        </w:tc>
        <w:tc>
          <w:tcPr>
            <w:tcW w:w="3315" w:type="dxa"/>
            <w:noWrap w:val="0"/>
            <w:vAlign w:val="top"/>
          </w:tcPr>
          <w:p w14:paraId="547E48B5">
            <w:pPr>
              <w:pStyle w:val="8"/>
              <w:rPr>
                <w:rFonts w:hint="eastAsia" w:ascii="宋体" w:hAnsi="宋体" w:eastAsia="宋体" w:cs="宋体"/>
                <w:bCs/>
                <w:color w:val="auto"/>
                <w:sz w:val="24"/>
                <w:szCs w:val="24"/>
                <w:highlight w:val="none"/>
              </w:rPr>
            </w:pPr>
          </w:p>
        </w:tc>
        <w:tc>
          <w:tcPr>
            <w:tcW w:w="3316" w:type="dxa"/>
            <w:noWrap w:val="0"/>
            <w:vAlign w:val="top"/>
          </w:tcPr>
          <w:p w14:paraId="682A905A">
            <w:pPr>
              <w:pStyle w:val="8"/>
              <w:rPr>
                <w:rFonts w:hint="eastAsia" w:ascii="宋体" w:hAnsi="宋体" w:eastAsia="宋体" w:cs="宋体"/>
                <w:bCs/>
                <w:color w:val="auto"/>
                <w:sz w:val="24"/>
                <w:szCs w:val="24"/>
                <w:highlight w:val="none"/>
              </w:rPr>
            </w:pPr>
          </w:p>
        </w:tc>
      </w:tr>
      <w:tr w14:paraId="14E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A28F49C">
            <w:pPr>
              <w:pStyle w:val="8"/>
              <w:rPr>
                <w:rFonts w:hint="eastAsia" w:ascii="宋体" w:hAnsi="宋体" w:eastAsia="宋体" w:cs="宋体"/>
                <w:bCs/>
                <w:color w:val="auto"/>
                <w:sz w:val="24"/>
                <w:szCs w:val="24"/>
                <w:highlight w:val="none"/>
              </w:rPr>
            </w:pPr>
          </w:p>
        </w:tc>
        <w:tc>
          <w:tcPr>
            <w:tcW w:w="3315" w:type="dxa"/>
            <w:noWrap w:val="0"/>
            <w:vAlign w:val="top"/>
          </w:tcPr>
          <w:p w14:paraId="374F76CA">
            <w:pPr>
              <w:pStyle w:val="8"/>
              <w:rPr>
                <w:rFonts w:hint="eastAsia" w:ascii="宋体" w:hAnsi="宋体" w:eastAsia="宋体" w:cs="宋体"/>
                <w:bCs/>
                <w:color w:val="auto"/>
                <w:sz w:val="24"/>
                <w:szCs w:val="24"/>
                <w:highlight w:val="none"/>
              </w:rPr>
            </w:pPr>
          </w:p>
        </w:tc>
        <w:tc>
          <w:tcPr>
            <w:tcW w:w="3316" w:type="dxa"/>
            <w:noWrap w:val="0"/>
            <w:vAlign w:val="top"/>
          </w:tcPr>
          <w:p w14:paraId="5738471C">
            <w:pPr>
              <w:pStyle w:val="8"/>
              <w:rPr>
                <w:rFonts w:hint="eastAsia" w:ascii="宋体" w:hAnsi="宋体" w:eastAsia="宋体" w:cs="宋体"/>
                <w:bCs/>
                <w:color w:val="auto"/>
                <w:sz w:val="24"/>
                <w:szCs w:val="24"/>
                <w:highlight w:val="none"/>
              </w:rPr>
            </w:pPr>
          </w:p>
        </w:tc>
      </w:tr>
      <w:tr w14:paraId="3C6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B49E5E8">
            <w:pPr>
              <w:pStyle w:val="8"/>
              <w:rPr>
                <w:rFonts w:hint="eastAsia" w:ascii="宋体" w:hAnsi="宋体" w:eastAsia="宋体" w:cs="宋体"/>
                <w:bCs/>
                <w:color w:val="auto"/>
                <w:sz w:val="24"/>
                <w:szCs w:val="24"/>
                <w:highlight w:val="none"/>
              </w:rPr>
            </w:pPr>
          </w:p>
        </w:tc>
        <w:tc>
          <w:tcPr>
            <w:tcW w:w="3315" w:type="dxa"/>
            <w:noWrap w:val="0"/>
            <w:vAlign w:val="top"/>
          </w:tcPr>
          <w:p w14:paraId="47C73743">
            <w:pPr>
              <w:pStyle w:val="8"/>
              <w:rPr>
                <w:rFonts w:hint="eastAsia" w:ascii="宋体" w:hAnsi="宋体" w:eastAsia="宋体" w:cs="宋体"/>
                <w:bCs/>
                <w:color w:val="auto"/>
                <w:sz w:val="24"/>
                <w:szCs w:val="24"/>
                <w:highlight w:val="none"/>
              </w:rPr>
            </w:pPr>
          </w:p>
        </w:tc>
        <w:tc>
          <w:tcPr>
            <w:tcW w:w="3316" w:type="dxa"/>
            <w:noWrap w:val="0"/>
            <w:vAlign w:val="top"/>
          </w:tcPr>
          <w:p w14:paraId="573C8B92">
            <w:pPr>
              <w:pStyle w:val="8"/>
              <w:rPr>
                <w:rFonts w:hint="eastAsia" w:ascii="宋体" w:hAnsi="宋体" w:eastAsia="宋体" w:cs="宋体"/>
                <w:bCs/>
                <w:color w:val="auto"/>
                <w:sz w:val="24"/>
                <w:szCs w:val="24"/>
                <w:highlight w:val="none"/>
              </w:rPr>
            </w:pPr>
          </w:p>
        </w:tc>
      </w:tr>
      <w:tr w14:paraId="5F6C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45F0B56">
            <w:pPr>
              <w:pStyle w:val="8"/>
              <w:rPr>
                <w:rFonts w:hint="eastAsia" w:ascii="宋体" w:hAnsi="宋体" w:eastAsia="宋体" w:cs="宋体"/>
                <w:bCs/>
                <w:color w:val="auto"/>
                <w:sz w:val="24"/>
                <w:szCs w:val="24"/>
                <w:highlight w:val="none"/>
              </w:rPr>
            </w:pPr>
          </w:p>
        </w:tc>
        <w:tc>
          <w:tcPr>
            <w:tcW w:w="3315" w:type="dxa"/>
            <w:noWrap w:val="0"/>
            <w:vAlign w:val="top"/>
          </w:tcPr>
          <w:p w14:paraId="0D2E6FCF">
            <w:pPr>
              <w:pStyle w:val="8"/>
              <w:rPr>
                <w:rFonts w:hint="eastAsia" w:ascii="宋体" w:hAnsi="宋体" w:eastAsia="宋体" w:cs="宋体"/>
                <w:bCs/>
                <w:color w:val="auto"/>
                <w:sz w:val="24"/>
                <w:szCs w:val="24"/>
                <w:highlight w:val="none"/>
              </w:rPr>
            </w:pPr>
          </w:p>
        </w:tc>
        <w:tc>
          <w:tcPr>
            <w:tcW w:w="3316" w:type="dxa"/>
            <w:noWrap w:val="0"/>
            <w:vAlign w:val="top"/>
          </w:tcPr>
          <w:p w14:paraId="60230C79">
            <w:pPr>
              <w:pStyle w:val="8"/>
              <w:rPr>
                <w:rFonts w:hint="eastAsia" w:ascii="宋体" w:hAnsi="宋体" w:eastAsia="宋体" w:cs="宋体"/>
                <w:bCs/>
                <w:color w:val="auto"/>
                <w:sz w:val="24"/>
                <w:szCs w:val="24"/>
                <w:highlight w:val="none"/>
              </w:rPr>
            </w:pPr>
          </w:p>
        </w:tc>
      </w:tr>
      <w:tr w14:paraId="693D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1B1DD09">
            <w:pPr>
              <w:pStyle w:val="8"/>
              <w:rPr>
                <w:rFonts w:hint="eastAsia" w:ascii="宋体" w:hAnsi="宋体" w:eastAsia="宋体" w:cs="宋体"/>
                <w:bCs/>
                <w:color w:val="auto"/>
                <w:sz w:val="24"/>
                <w:szCs w:val="24"/>
                <w:highlight w:val="none"/>
              </w:rPr>
            </w:pPr>
          </w:p>
        </w:tc>
        <w:tc>
          <w:tcPr>
            <w:tcW w:w="3315" w:type="dxa"/>
            <w:noWrap w:val="0"/>
            <w:vAlign w:val="top"/>
          </w:tcPr>
          <w:p w14:paraId="57D9898D">
            <w:pPr>
              <w:pStyle w:val="8"/>
              <w:rPr>
                <w:rFonts w:hint="eastAsia" w:ascii="宋体" w:hAnsi="宋体" w:eastAsia="宋体" w:cs="宋体"/>
                <w:bCs/>
                <w:color w:val="auto"/>
                <w:sz w:val="24"/>
                <w:szCs w:val="24"/>
                <w:highlight w:val="none"/>
              </w:rPr>
            </w:pPr>
          </w:p>
        </w:tc>
        <w:tc>
          <w:tcPr>
            <w:tcW w:w="3316" w:type="dxa"/>
            <w:noWrap w:val="0"/>
            <w:vAlign w:val="top"/>
          </w:tcPr>
          <w:p w14:paraId="5241F97E">
            <w:pPr>
              <w:pStyle w:val="8"/>
              <w:rPr>
                <w:rFonts w:hint="eastAsia" w:ascii="宋体" w:hAnsi="宋体" w:eastAsia="宋体" w:cs="宋体"/>
                <w:bCs/>
                <w:color w:val="auto"/>
                <w:sz w:val="24"/>
                <w:szCs w:val="24"/>
                <w:highlight w:val="none"/>
              </w:rPr>
            </w:pPr>
          </w:p>
        </w:tc>
      </w:tr>
      <w:tr w14:paraId="6F0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89AAF89">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3315" w:type="dxa"/>
            <w:noWrap w:val="0"/>
            <w:vAlign w:val="top"/>
          </w:tcPr>
          <w:p w14:paraId="35F8A563">
            <w:pPr>
              <w:pStyle w:val="8"/>
              <w:rPr>
                <w:rFonts w:hint="eastAsia" w:ascii="宋体" w:hAnsi="宋体" w:eastAsia="宋体" w:cs="宋体"/>
                <w:bCs/>
                <w:color w:val="auto"/>
                <w:sz w:val="24"/>
                <w:szCs w:val="24"/>
                <w:highlight w:val="none"/>
              </w:rPr>
            </w:pPr>
          </w:p>
        </w:tc>
        <w:tc>
          <w:tcPr>
            <w:tcW w:w="3316" w:type="dxa"/>
            <w:noWrap w:val="0"/>
            <w:vAlign w:val="top"/>
          </w:tcPr>
          <w:p w14:paraId="46601FE7">
            <w:pPr>
              <w:pStyle w:val="8"/>
              <w:rPr>
                <w:rFonts w:hint="eastAsia" w:ascii="宋体" w:hAnsi="宋体" w:eastAsia="宋体" w:cs="宋体"/>
                <w:bCs/>
                <w:color w:val="auto"/>
                <w:sz w:val="24"/>
                <w:szCs w:val="24"/>
                <w:highlight w:val="none"/>
              </w:rPr>
            </w:pPr>
          </w:p>
        </w:tc>
      </w:tr>
    </w:tbl>
    <w:p w14:paraId="6A68A172">
      <w:pPr>
        <w:pStyle w:val="8"/>
        <w:spacing w:before="4"/>
        <w:rPr>
          <w:rFonts w:hint="eastAsia" w:ascii="宋体" w:hAnsi="宋体" w:eastAsia="宋体" w:cs="宋体"/>
          <w:b/>
          <w:color w:val="auto"/>
          <w:sz w:val="24"/>
          <w:szCs w:val="24"/>
          <w:highlight w:val="none"/>
        </w:rPr>
      </w:pPr>
    </w:p>
    <w:p w14:paraId="0943EB51">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注：若投标人未按实际情况填写或填写虚假信息或漏填信息，经评标委员会讨论后，应作废标处理。</w:t>
      </w:r>
    </w:p>
    <w:p w14:paraId="7DA269B7">
      <w:pPr>
        <w:spacing w:line="440" w:lineRule="exact"/>
        <w:contextualSpacing/>
        <w:rPr>
          <w:rFonts w:hint="eastAsia" w:ascii="宋体" w:hAnsi="宋体" w:eastAsia="宋体" w:cs="宋体"/>
          <w:color w:val="auto"/>
          <w:position w:val="15"/>
          <w:sz w:val="24"/>
          <w:szCs w:val="24"/>
          <w:highlight w:val="none"/>
        </w:rPr>
      </w:pPr>
    </w:p>
    <w:p w14:paraId="19C4A25B">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投标人（盖公章）：</w:t>
      </w:r>
    </w:p>
    <w:p w14:paraId="5B383AA2">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法定代表人或其委托代理人（签字或盖章）： </w:t>
      </w:r>
    </w:p>
    <w:p w14:paraId="00191972">
      <w:pPr>
        <w:rPr>
          <w:rFonts w:hint="eastAsia" w:ascii="宋体" w:hAnsi="宋体" w:eastAsia="宋体" w:cs="宋体"/>
          <w:b/>
          <w:color w:val="auto"/>
          <w:kern w:val="0"/>
          <w:sz w:val="24"/>
          <w:szCs w:val="24"/>
          <w:highlight w:val="none"/>
        </w:rPr>
      </w:pPr>
      <w:r>
        <w:rPr>
          <w:rFonts w:hint="eastAsia" w:ascii="宋体" w:hAnsi="宋体" w:eastAsia="宋体" w:cs="宋体"/>
          <w:color w:val="auto"/>
          <w:position w:val="15"/>
          <w:sz w:val="24"/>
          <w:szCs w:val="24"/>
          <w:highlight w:val="none"/>
        </w:rPr>
        <w:t>日期：</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年</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月</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日</w:t>
      </w:r>
    </w:p>
    <w:p w14:paraId="660A1274">
      <w:pPr>
        <w:rPr>
          <w:rFonts w:hint="eastAsia" w:ascii="宋体" w:hAnsi="宋体" w:eastAsia="宋体" w:cs="宋体"/>
          <w:color w:val="auto"/>
          <w:highlight w:val="none"/>
        </w:rPr>
      </w:pPr>
    </w:p>
    <w:p w14:paraId="2401CA6F">
      <w:pPr>
        <w:rPr>
          <w:rFonts w:hint="eastAsia" w:ascii="宋体" w:hAnsi="宋体" w:eastAsia="宋体" w:cs="宋体"/>
          <w:color w:val="auto"/>
          <w:highlight w:val="none"/>
        </w:rPr>
      </w:pPr>
    </w:p>
    <w:p w14:paraId="0FC7555F">
      <w:pPr>
        <w:rPr>
          <w:rFonts w:hint="eastAsia" w:ascii="宋体" w:hAnsi="宋体" w:eastAsia="宋体" w:cs="宋体"/>
          <w:color w:val="auto"/>
          <w:highlight w:val="none"/>
        </w:rPr>
      </w:pPr>
    </w:p>
    <w:p w14:paraId="7BCD6FA7">
      <w:pPr>
        <w:pStyle w:val="8"/>
        <w:rPr>
          <w:rFonts w:hint="eastAsia" w:ascii="宋体" w:hAnsi="宋体" w:eastAsia="宋体" w:cs="宋体"/>
          <w:color w:val="auto"/>
          <w:highlight w:val="none"/>
        </w:rPr>
      </w:pPr>
    </w:p>
    <w:p w14:paraId="576AFC9C">
      <w:pPr>
        <w:snapToGrid w:val="0"/>
        <w:spacing w:line="360" w:lineRule="auto"/>
        <w:jc w:val="center"/>
        <w:outlineLvl w:val="9"/>
        <w:rPr>
          <w:rFonts w:hint="eastAsia" w:ascii="宋体" w:hAnsi="宋体" w:eastAsia="宋体" w:cs="宋体"/>
          <w:color w:val="auto"/>
          <w:sz w:val="24"/>
          <w:szCs w:val="24"/>
          <w:highlight w:val="none"/>
        </w:rPr>
      </w:pPr>
    </w:p>
    <w:bookmarkEnd w:id="147"/>
    <w:p w14:paraId="037B4C61">
      <w:pPr>
        <w:numPr>
          <w:ilvl w:val="0"/>
          <w:numId w:val="0"/>
        </w:numPr>
        <w:snapToGrid w:val="0"/>
        <w:spacing w:line="360" w:lineRule="auto"/>
        <w:ind w:left="0" w:leftChars="0" w:firstLine="482" w:firstLineChars="200"/>
        <w:jc w:val="center"/>
        <w:outlineLvl w:val="2"/>
        <w:rPr>
          <w:rFonts w:hint="eastAsia" w:ascii="宋体" w:hAnsi="宋体" w:eastAsia="宋体" w:cs="宋体"/>
          <w:b/>
          <w:bCs/>
          <w:color w:val="auto"/>
          <w:sz w:val="24"/>
          <w:szCs w:val="24"/>
          <w:highlight w:val="none"/>
        </w:rPr>
      </w:pPr>
      <w:bookmarkStart w:id="148" w:name="_Toc5764"/>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rPr>
        <w:t>投标人</w:t>
      </w:r>
      <w:r>
        <w:rPr>
          <w:rFonts w:hint="eastAsia" w:ascii="宋体" w:hAnsi="宋体" w:eastAsia="宋体" w:cs="宋体"/>
          <w:b/>
          <w:bCs/>
          <w:color w:val="auto"/>
          <w:sz w:val="24"/>
          <w:szCs w:val="24"/>
          <w:highlight w:val="none"/>
          <w:lang w:val="en-US" w:eastAsia="zh-CN"/>
        </w:rPr>
        <w:t>近</w:t>
      </w:r>
      <w:r>
        <w:rPr>
          <w:rFonts w:hint="eastAsia" w:ascii="宋体" w:hAnsi="宋体" w:eastAsia="宋体" w:cs="宋体"/>
          <w:b/>
          <w:bCs/>
          <w:color w:val="auto"/>
          <w:sz w:val="24"/>
          <w:szCs w:val="24"/>
          <w:highlight w:val="none"/>
          <w:u w:val="none"/>
          <w:lang w:val="en-US" w:eastAsia="zh-CN"/>
        </w:rPr>
        <w:t>_3_</w:t>
      </w:r>
      <w:r>
        <w:rPr>
          <w:rFonts w:hint="eastAsia" w:ascii="宋体" w:hAnsi="宋体" w:eastAsia="宋体" w:cs="宋体"/>
          <w:b/>
          <w:bCs/>
          <w:color w:val="auto"/>
          <w:sz w:val="24"/>
          <w:szCs w:val="24"/>
          <w:highlight w:val="none"/>
          <w:lang w:val="en-US" w:eastAsia="zh-CN"/>
        </w:rPr>
        <w:t>年类似业绩</w:t>
      </w:r>
      <w:r>
        <w:rPr>
          <w:rFonts w:hint="eastAsia" w:ascii="宋体" w:hAnsi="宋体" w:eastAsia="宋体" w:cs="宋体"/>
          <w:b/>
          <w:bCs/>
          <w:color w:val="auto"/>
          <w:sz w:val="24"/>
          <w:szCs w:val="24"/>
          <w:highlight w:val="none"/>
        </w:rPr>
        <w:t>情况表</w:t>
      </w:r>
      <w:bookmarkEnd w:id="148"/>
    </w:p>
    <w:p w14:paraId="05912E5C">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日至投标文件递交截止之日</w:t>
      </w:r>
      <w:r>
        <w:rPr>
          <w:rFonts w:hint="eastAsia" w:ascii="宋体" w:hAnsi="宋体" w:eastAsia="宋体" w:cs="宋体"/>
          <w:color w:val="auto"/>
          <w:spacing w:val="-3"/>
          <w:sz w:val="24"/>
          <w:szCs w:val="24"/>
          <w:highlight w:val="none"/>
        </w:rPr>
        <w:t>对应本次采</w:t>
      </w:r>
      <w:r>
        <w:rPr>
          <w:rFonts w:hint="eastAsia" w:ascii="宋体" w:hAnsi="宋体" w:eastAsia="宋体" w:cs="宋体"/>
          <w:color w:val="auto"/>
          <w:spacing w:val="-1"/>
          <w:sz w:val="24"/>
          <w:szCs w:val="24"/>
          <w:highlight w:val="none"/>
        </w:rPr>
        <w:t>购标的物</w:t>
      </w:r>
      <w:r>
        <w:rPr>
          <w:rFonts w:hint="eastAsia" w:ascii="宋体" w:hAnsi="宋体" w:eastAsia="宋体" w:cs="宋体"/>
          <w:color w:val="auto"/>
          <w:sz w:val="24"/>
          <w:szCs w:val="24"/>
          <w:highlight w:val="none"/>
        </w:rPr>
        <w:t>销售业绩）</w:t>
      </w:r>
    </w:p>
    <w:tbl>
      <w:tblPr>
        <w:tblStyle w:val="25"/>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41E8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35F0A3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7" w:type="dxa"/>
            <w:shd w:val="clear" w:color="auto" w:fill="auto"/>
            <w:noWrap w:val="0"/>
            <w:vAlign w:val="center"/>
          </w:tcPr>
          <w:p w14:paraId="5A0F951E">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1134" w:type="dxa"/>
            <w:shd w:val="clear" w:color="auto" w:fill="auto"/>
            <w:noWrap w:val="0"/>
            <w:vAlign w:val="center"/>
          </w:tcPr>
          <w:p w14:paraId="7EC6C2F2">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126" w:type="dxa"/>
            <w:shd w:val="clear" w:color="auto" w:fill="auto"/>
            <w:noWrap w:val="0"/>
            <w:vAlign w:val="center"/>
          </w:tcPr>
          <w:p w14:paraId="22E3CD7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125" w:type="dxa"/>
            <w:shd w:val="clear" w:color="auto" w:fill="auto"/>
            <w:noWrap w:val="0"/>
            <w:vAlign w:val="center"/>
          </w:tcPr>
          <w:p w14:paraId="35D84F3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p>
        </w:tc>
        <w:tc>
          <w:tcPr>
            <w:tcW w:w="850" w:type="dxa"/>
            <w:shd w:val="clear" w:color="auto" w:fill="auto"/>
            <w:noWrap w:val="0"/>
            <w:vAlign w:val="center"/>
          </w:tcPr>
          <w:p w14:paraId="75AA85B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134" w:type="dxa"/>
            <w:shd w:val="clear" w:color="auto" w:fill="auto"/>
            <w:noWrap w:val="0"/>
            <w:vAlign w:val="center"/>
          </w:tcPr>
          <w:p w14:paraId="60C5497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152" w:type="dxa"/>
            <w:shd w:val="clear" w:color="auto" w:fill="D9D9D9"/>
            <w:noWrap w:val="0"/>
            <w:vAlign w:val="center"/>
          </w:tcPr>
          <w:p w14:paraId="1A962BB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合同证明文件所在页码</w:t>
            </w:r>
          </w:p>
        </w:tc>
        <w:tc>
          <w:tcPr>
            <w:tcW w:w="646" w:type="dxa"/>
            <w:noWrap w:val="0"/>
            <w:vAlign w:val="center"/>
          </w:tcPr>
          <w:p w14:paraId="6B5B8FC4">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6613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96417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3F61DC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3BFD4F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225601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03FDCD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67301D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4F1DE3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44EF25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1DBD4B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60F4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8531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692A43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076CC3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2FF854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19FA4B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7A4342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4FBF72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25EDFA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4E835D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7C56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07919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057029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3D5CC8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577FE2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10DA49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7AA83DF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3AE4E7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6DE7D1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05332E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CFC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10AF1A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252F4C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6DC842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5EB231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7DEB9D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6AC7CA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3E0172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72F976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468777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B55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863F6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068F57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7E3B6F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63C1CE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5B979A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20AFFA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1A1F72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11E835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2330FB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2A8D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2341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462543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71BD15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50E5C1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4BD77E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557ACCF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4CC08C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4B8143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2994AD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29866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7EF8FB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6AC6CF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2CB943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714A06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0B999E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0E7F5D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045955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3C4FB5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53BE58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bl>
    <w:p w14:paraId="0A4B82E0">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注：1、投标人可按上述的格式自行编制，须随表提交相应的合同复印件并注明所在投标人资信文件页码。</w:t>
      </w:r>
    </w:p>
    <w:p w14:paraId="0BC9F173">
      <w:pPr>
        <w:pStyle w:val="48"/>
        <w:numPr>
          <w:ilvl w:val="0"/>
          <w:numId w:val="3"/>
        </w:num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不录入此表的不作为评审依据。</w:t>
      </w:r>
    </w:p>
    <w:p w14:paraId="047D6DA9">
      <w:pPr>
        <w:pStyle w:val="48"/>
        <w:snapToGrid w:val="0"/>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b w:val="0"/>
          <w:color w:val="auto"/>
          <w:sz w:val="24"/>
          <w:szCs w:val="24"/>
          <w:highlight w:val="none"/>
          <w:lang w:val="en-US" w:eastAsia="zh-CN"/>
        </w:rPr>
        <w:t xml:space="preserve">3、若投标人为联合体的，类似项目业绩由联合体成员各方合并提交。 </w:t>
      </w:r>
    </w:p>
    <w:p w14:paraId="352669FF">
      <w:pPr>
        <w:pStyle w:val="48"/>
        <w:snapToGrid w:val="0"/>
        <w:spacing w:line="360" w:lineRule="auto"/>
        <w:rPr>
          <w:rFonts w:hint="eastAsia" w:ascii="宋体" w:hAnsi="宋体" w:eastAsia="宋体" w:cs="宋体"/>
          <w:snapToGrid w:val="0"/>
          <w:color w:val="auto"/>
          <w:sz w:val="24"/>
          <w:szCs w:val="24"/>
          <w:highlight w:val="none"/>
        </w:rPr>
      </w:pPr>
    </w:p>
    <w:p w14:paraId="3B8DDB96">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14:paraId="5B26017F">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sz w:val="24"/>
          <w:szCs w:val="24"/>
          <w:highlight w:val="none"/>
        </w:rPr>
        <w:t>或其委托代理人（签字或盖章）：</w:t>
      </w:r>
    </w:p>
    <w:p w14:paraId="1C6A8A8E">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0D4C1F41">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br w:type="page"/>
      </w:r>
    </w:p>
    <w:p w14:paraId="094D3647">
      <w:pPr>
        <w:pStyle w:val="48"/>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18CA8063">
      <w:pPr>
        <w:pStyle w:val="48"/>
        <w:adjustRightInd w:val="0"/>
        <w:snapToGrid w:val="0"/>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bCs/>
          <w:color w:val="auto"/>
          <w:sz w:val="24"/>
          <w:szCs w:val="24"/>
          <w:highlight w:val="none"/>
        </w:rPr>
        <w:t>诚信廉洁承诺函</w:t>
      </w:r>
    </w:p>
    <w:p w14:paraId="2682F88F">
      <w:pPr>
        <w:pStyle w:val="8"/>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杭州临江环境能源有限公司</w:t>
      </w:r>
      <w:r>
        <w:rPr>
          <w:rFonts w:hint="eastAsia" w:ascii="宋体" w:hAnsi="宋体" w:eastAsia="宋体" w:cs="宋体"/>
          <w:b/>
          <w:bCs/>
          <w:color w:val="auto"/>
          <w:sz w:val="24"/>
          <w:szCs w:val="24"/>
          <w:highlight w:val="none"/>
          <w:u w:val="single"/>
        </w:rPr>
        <w:t>：</w:t>
      </w:r>
    </w:p>
    <w:p w14:paraId="0B380022">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w:t>
      </w:r>
      <w:r>
        <w:rPr>
          <w:rFonts w:hint="eastAsia" w:ascii="宋体" w:hAnsi="宋体" w:eastAsia="宋体" w:cs="宋体"/>
          <w:color w:val="auto"/>
          <w:sz w:val="24"/>
          <w:szCs w:val="24"/>
          <w:highlight w:val="none"/>
          <w:lang w:val="en-US" w:eastAsia="zh-CN"/>
        </w:rPr>
        <w:t>参与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2025-2026年能源运行中心智能远程水表系统技术服务采购项目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NY-4FZB2506010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提供的信息（含投标资料、各项应答及承诺）是真实可靠，并能在价格有效期内忠实履行的。</w:t>
      </w:r>
    </w:p>
    <w:p w14:paraId="2046C005">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714A4984">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承诺不对</w:t>
      </w:r>
      <w:r>
        <w:rPr>
          <w:rFonts w:hint="eastAsia" w:ascii="宋体" w:hAnsi="宋体" w:eastAsia="宋体" w:cs="宋体"/>
          <w:color w:val="auto"/>
          <w:sz w:val="24"/>
          <w:szCs w:val="24"/>
          <w:highlight w:val="none"/>
          <w:lang w:val="en-US" w:eastAsia="zh-CN"/>
        </w:rPr>
        <w:t>招标相关</w:t>
      </w:r>
      <w:r>
        <w:rPr>
          <w:rFonts w:hint="eastAsia" w:ascii="宋体" w:hAnsi="宋体" w:eastAsia="宋体" w:cs="宋体"/>
          <w:color w:val="auto"/>
          <w:sz w:val="24"/>
          <w:szCs w:val="24"/>
          <w:highlight w:val="none"/>
        </w:rPr>
        <w:t>工作人员行贿，如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招标相关工作人员</w:t>
      </w:r>
      <w:r>
        <w:rPr>
          <w:rFonts w:hint="eastAsia" w:ascii="宋体" w:hAnsi="宋体" w:eastAsia="宋体" w:cs="宋体"/>
          <w:color w:val="auto"/>
          <w:sz w:val="24"/>
          <w:szCs w:val="24"/>
          <w:highlight w:val="none"/>
        </w:rPr>
        <w:t>行贿的，则</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有权解除本合同，要求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赔偿因此所造成的损失；</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保留在相关媒体或网站等对外发布的权利。</w:t>
      </w:r>
    </w:p>
    <w:p w14:paraId="0B8A2069">
      <w:pPr>
        <w:spacing w:line="360" w:lineRule="auto"/>
        <w:jc w:val="center"/>
        <w:rPr>
          <w:rFonts w:hint="eastAsia" w:ascii="宋体" w:hAnsi="宋体" w:eastAsia="宋体" w:cs="宋体"/>
          <w:color w:val="auto"/>
          <w:sz w:val="24"/>
          <w:szCs w:val="24"/>
          <w:highlight w:val="none"/>
        </w:rPr>
      </w:pPr>
    </w:p>
    <w:p w14:paraId="0DA0F576">
      <w:pPr>
        <w:spacing w:line="360" w:lineRule="auto"/>
        <w:jc w:val="center"/>
        <w:rPr>
          <w:rFonts w:hint="eastAsia" w:ascii="宋体" w:hAnsi="宋体" w:eastAsia="宋体" w:cs="宋体"/>
          <w:color w:val="auto"/>
          <w:sz w:val="24"/>
          <w:szCs w:val="24"/>
          <w:highlight w:val="none"/>
        </w:rPr>
      </w:pPr>
    </w:p>
    <w:p w14:paraId="5D262113">
      <w:pPr>
        <w:rPr>
          <w:rFonts w:hint="eastAsia" w:ascii="宋体" w:hAnsi="宋体" w:eastAsia="宋体" w:cs="宋体"/>
          <w:color w:val="auto"/>
          <w:sz w:val="24"/>
          <w:szCs w:val="24"/>
          <w:highlight w:val="none"/>
        </w:rPr>
      </w:pPr>
    </w:p>
    <w:p w14:paraId="4A7915F1">
      <w:pPr>
        <w:rPr>
          <w:rFonts w:hint="eastAsia" w:ascii="宋体" w:hAnsi="宋体" w:eastAsia="宋体" w:cs="宋体"/>
          <w:color w:val="auto"/>
          <w:sz w:val="24"/>
          <w:szCs w:val="24"/>
          <w:highlight w:val="none"/>
        </w:rPr>
      </w:pPr>
    </w:p>
    <w:p w14:paraId="4EEFBD00">
      <w:pPr>
        <w:rPr>
          <w:rFonts w:hint="eastAsia" w:ascii="宋体" w:hAnsi="宋体" w:eastAsia="宋体" w:cs="宋体"/>
          <w:color w:val="auto"/>
          <w:sz w:val="24"/>
          <w:szCs w:val="24"/>
          <w:highlight w:val="none"/>
        </w:rPr>
      </w:pPr>
    </w:p>
    <w:p w14:paraId="35D23FCC">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14:paraId="7F1E5EA0">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或其委托代理人（签字或盖章）：</w:t>
      </w:r>
    </w:p>
    <w:p w14:paraId="197AAAA5">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46B4512B">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br w:type="page"/>
      </w:r>
    </w:p>
    <w:p w14:paraId="51DA081F">
      <w:pPr>
        <w:pStyle w:val="48"/>
        <w:adjustRightInd w:val="0"/>
        <w:snapToGrid w:val="0"/>
        <w:spacing w:line="360" w:lineRule="auto"/>
        <w:jc w:val="center"/>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五、安全服务承诺函</w:t>
      </w:r>
    </w:p>
    <w:p w14:paraId="3E204E38">
      <w:pPr>
        <w:spacing w:line="360" w:lineRule="exact"/>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杭州临江环境能源有限公司：</w:t>
      </w:r>
    </w:p>
    <w:p w14:paraId="0BD10AB5">
      <w:pPr>
        <w:spacing w:line="360" w:lineRule="exact"/>
        <w:ind w:firstLine="720" w:firstLineChars="300"/>
        <w:jc w:val="left"/>
        <w:rPr>
          <w:rFonts w:hint="eastAsia" w:ascii="宋体" w:hAnsi="宋体" w:eastAsia="宋体" w:cs="宋体"/>
          <w:color w:val="auto"/>
          <w:sz w:val="24"/>
          <w:szCs w:val="24"/>
          <w:highlight w:val="none"/>
        </w:rPr>
      </w:pPr>
    </w:p>
    <w:p w14:paraId="4E01BD81">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承诺如成为</w:t>
      </w:r>
      <w:r>
        <w:rPr>
          <w:rFonts w:hint="eastAsia" w:ascii="宋体" w:hAnsi="宋体" w:eastAsia="宋体" w:cs="宋体"/>
          <w:color w:val="auto"/>
          <w:sz w:val="24"/>
          <w:szCs w:val="24"/>
          <w:highlight w:val="none"/>
          <w:u w:val="single"/>
          <w:lang w:eastAsia="zh-CN"/>
        </w:rPr>
        <w:t>2025-2026年能源运行中心智能远程水表系统技术服务采购项目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NY-4FZB2506010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151BB99">
      <w:pPr>
        <w:spacing w:line="400" w:lineRule="exact"/>
        <w:rPr>
          <w:rFonts w:hint="eastAsia" w:ascii="宋体" w:hAnsi="宋体" w:eastAsia="宋体" w:cs="宋体"/>
          <w:color w:val="auto"/>
          <w:sz w:val="18"/>
          <w:szCs w:val="18"/>
          <w:highlight w:val="none"/>
        </w:rPr>
      </w:pPr>
    </w:p>
    <w:p w14:paraId="725D419E">
      <w:pPr>
        <w:spacing w:line="400" w:lineRule="exact"/>
        <w:rPr>
          <w:rFonts w:hint="eastAsia" w:ascii="宋体" w:hAnsi="宋体" w:eastAsia="宋体" w:cs="宋体"/>
          <w:color w:val="auto"/>
          <w:sz w:val="18"/>
          <w:szCs w:val="18"/>
          <w:highlight w:val="none"/>
        </w:rPr>
      </w:pPr>
    </w:p>
    <w:p w14:paraId="0E71EF98">
      <w:pPr>
        <w:pStyle w:val="8"/>
        <w:spacing w:line="400" w:lineRule="exact"/>
        <w:ind w:firstLine="210"/>
        <w:rPr>
          <w:rFonts w:hint="eastAsia" w:ascii="宋体" w:hAnsi="宋体" w:eastAsia="宋体" w:cs="宋体"/>
          <w:color w:val="auto"/>
          <w:highlight w:val="none"/>
        </w:rPr>
      </w:pPr>
    </w:p>
    <w:p w14:paraId="65B98FB8">
      <w:pPr>
        <w:pStyle w:val="23"/>
        <w:spacing w:line="400" w:lineRule="exact"/>
        <w:ind w:firstLine="210"/>
        <w:rPr>
          <w:rFonts w:hint="eastAsia" w:ascii="宋体" w:hAnsi="宋体" w:eastAsia="宋体" w:cs="宋体"/>
          <w:color w:val="auto"/>
          <w:kern w:val="2"/>
          <w:sz w:val="24"/>
          <w:szCs w:val="24"/>
          <w:highlight w:val="none"/>
          <w:lang w:val="en-US" w:eastAsia="zh-CN" w:bidi="ar-SA"/>
        </w:rPr>
      </w:pPr>
    </w:p>
    <w:p w14:paraId="58A08DD1">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投标人（盖公章）：</w:t>
      </w:r>
    </w:p>
    <w:p w14:paraId="6C8950F9">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法定代表人或其委托代理人（签字或盖章）：</w:t>
      </w:r>
    </w:p>
    <w:p w14:paraId="7559962C">
      <w:pPr>
        <w:pStyle w:val="8"/>
        <w:spacing w:line="400" w:lineRule="exact"/>
        <w:ind w:firstLine="2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日期：      年    月    日  </w:t>
      </w:r>
    </w:p>
    <w:p w14:paraId="308F6A82">
      <w:pPr>
        <w:pStyle w:val="21"/>
        <w:spacing w:line="400" w:lineRule="exact"/>
        <w:outlineLvl w:val="9"/>
        <w:rPr>
          <w:rFonts w:hint="eastAsia" w:ascii="宋体" w:hAnsi="宋体" w:eastAsia="宋体" w:cs="宋体"/>
          <w:color w:val="auto"/>
          <w:highlight w:val="none"/>
        </w:rPr>
      </w:pPr>
    </w:p>
    <w:p w14:paraId="1CE08BEC">
      <w:pPr>
        <w:spacing w:line="400" w:lineRule="exact"/>
        <w:rPr>
          <w:rFonts w:hint="eastAsia" w:ascii="宋体" w:hAnsi="宋体" w:eastAsia="宋体" w:cs="宋体"/>
          <w:color w:val="auto"/>
          <w:highlight w:val="none"/>
        </w:rPr>
      </w:pPr>
    </w:p>
    <w:p w14:paraId="03B2FDB0">
      <w:pPr>
        <w:wordWrap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7D6967E">
      <w:pPr>
        <w:spacing w:before="101" w:afterLines="100" w:line="400" w:lineRule="exact"/>
        <w:jc w:val="center"/>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六、合法知识产权承诺函</w:t>
      </w:r>
    </w:p>
    <w:p w14:paraId="0AD117CD">
      <w:pPr>
        <w:spacing w:beforeLines="50" w:afterLines="50" w:line="40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杭州临江环境能源有限公司 </w:t>
      </w:r>
    </w:p>
    <w:p w14:paraId="70A65593">
      <w:pPr>
        <w:spacing w:line="3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rPr>
        <w:t>愿参与</w:t>
      </w:r>
      <w:r>
        <w:rPr>
          <w:rFonts w:hint="eastAsia" w:ascii="宋体" w:hAnsi="宋体" w:eastAsia="宋体" w:cs="宋体"/>
          <w:color w:val="auto"/>
          <w:sz w:val="24"/>
          <w:szCs w:val="24"/>
          <w:highlight w:val="none"/>
          <w:u w:val="single"/>
          <w:lang w:val="en-US" w:eastAsia="zh-CN"/>
        </w:rPr>
        <w:t xml:space="preserve"> 2025-2026年能源运行中心智能远程水表系统技术服务采购项目</w:t>
      </w:r>
      <w:r>
        <w:rPr>
          <w:rFonts w:hint="eastAsia" w:ascii="宋体" w:hAnsi="宋体" w:eastAsia="宋体" w:cs="宋体"/>
          <w:color w:val="auto"/>
          <w:sz w:val="24"/>
          <w:szCs w:val="24"/>
          <w:highlight w:val="none"/>
          <w:u w:val="none"/>
          <w:lang w:val="en-US" w:eastAsia="zh-CN"/>
        </w:rPr>
        <w:t>（招标编号：</w:t>
      </w:r>
      <w:r>
        <w:rPr>
          <w:rFonts w:hint="eastAsia" w:ascii="宋体" w:hAnsi="宋体" w:eastAsia="宋体" w:cs="宋体"/>
          <w:color w:val="auto"/>
          <w:sz w:val="24"/>
          <w:szCs w:val="24"/>
          <w:highlight w:val="none"/>
          <w:u w:val="single"/>
          <w:lang w:val="en-US" w:eastAsia="zh-CN"/>
        </w:rPr>
        <w:t xml:space="preserve">NY-4FZB2506010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我司承诺</w:t>
      </w:r>
      <w:r>
        <w:rPr>
          <w:rFonts w:hint="eastAsia" w:ascii="宋体" w:hAnsi="宋体" w:eastAsia="宋体" w:cs="宋体"/>
          <w:color w:val="auto"/>
          <w:sz w:val="24"/>
          <w:szCs w:val="24"/>
          <w:highlight w:val="none"/>
          <w:lang w:eastAsia="zh-CN"/>
        </w:rPr>
        <w:t>：</w:t>
      </w:r>
    </w:p>
    <w:p w14:paraId="55D96308">
      <w:pPr>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提供的涉及本项</w:t>
      </w:r>
      <w:r>
        <w:rPr>
          <w:rFonts w:hint="eastAsia" w:ascii="宋体" w:hAnsi="宋体" w:eastAsia="宋体" w:cs="宋体"/>
          <w:color w:val="auto"/>
          <w:sz w:val="24"/>
          <w:szCs w:val="24"/>
          <w:highlight w:val="none"/>
          <w:lang w:eastAsia="zh-CN"/>
        </w:rPr>
        <w:t>目的</w:t>
      </w:r>
      <w:r>
        <w:rPr>
          <w:rFonts w:hint="eastAsia" w:ascii="宋体" w:hAnsi="宋体" w:eastAsia="宋体" w:cs="宋体"/>
          <w:color w:val="auto"/>
          <w:sz w:val="24"/>
          <w:szCs w:val="24"/>
          <w:highlight w:val="none"/>
        </w:rPr>
        <w:t>所有货物（包括其整体及其所包含的所有组成部分）</w:t>
      </w:r>
      <w:r>
        <w:rPr>
          <w:rFonts w:hint="eastAsia" w:ascii="宋体" w:hAnsi="宋体" w:eastAsia="宋体" w:cs="宋体"/>
          <w:color w:val="auto"/>
          <w:sz w:val="24"/>
          <w:szCs w:val="24"/>
          <w:highlight w:val="none"/>
          <w:lang w:val="en-US" w:eastAsia="zh-CN"/>
        </w:rPr>
        <w:t>或者服务</w:t>
      </w:r>
      <w:r>
        <w:rPr>
          <w:rFonts w:hint="eastAsia" w:ascii="宋体" w:hAnsi="宋体" w:eastAsia="宋体" w:cs="宋体"/>
          <w:color w:val="auto"/>
          <w:sz w:val="24"/>
          <w:szCs w:val="24"/>
          <w:highlight w:val="none"/>
        </w:rPr>
        <w:t>均已合法地获得并有效适用于相应所在国家和地区的所有有关知识产权。若招标人因购买和使用我司所</w:t>
      </w:r>
      <w:r>
        <w:rPr>
          <w:rFonts w:hint="eastAsia" w:ascii="宋体" w:hAnsi="宋体" w:eastAsia="宋体" w:cs="宋体"/>
          <w:color w:val="auto"/>
          <w:sz w:val="24"/>
          <w:szCs w:val="24"/>
          <w:highlight w:val="none"/>
          <w:lang w:eastAsia="zh-CN"/>
        </w:rPr>
        <w:t>售</w:t>
      </w:r>
      <w:r>
        <w:rPr>
          <w:rFonts w:hint="eastAsia" w:ascii="宋体" w:hAnsi="宋体" w:eastAsia="宋体" w:cs="宋体"/>
          <w:color w:val="auto"/>
          <w:sz w:val="24"/>
          <w:szCs w:val="24"/>
          <w:highlight w:val="none"/>
        </w:rPr>
        <w:t>货物</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rPr>
        <w:t>而遭受任何第三方的追索、诉讼或仲裁，或受到</w:t>
      </w:r>
      <w:r>
        <w:rPr>
          <w:rFonts w:hint="eastAsia" w:ascii="宋体" w:hAnsi="宋体" w:eastAsia="宋体" w:cs="宋体"/>
          <w:color w:val="auto"/>
          <w:sz w:val="24"/>
          <w:szCs w:val="24"/>
          <w:highlight w:val="none"/>
          <w:lang w:val="en-US" w:eastAsia="zh-CN"/>
        </w:rPr>
        <w:t>任何</w:t>
      </w:r>
      <w:r>
        <w:rPr>
          <w:rFonts w:hint="eastAsia" w:ascii="宋体" w:hAnsi="宋体" w:eastAsia="宋体" w:cs="宋体"/>
          <w:color w:val="auto"/>
          <w:sz w:val="24"/>
          <w:szCs w:val="24"/>
          <w:highlight w:val="none"/>
        </w:rPr>
        <w:t>国家政府部门、行政机关、司法机关的处罚、判决、执行，我司将</w:t>
      </w:r>
      <w:r>
        <w:rPr>
          <w:rFonts w:hint="eastAsia" w:ascii="宋体" w:hAnsi="宋体" w:eastAsia="宋体" w:cs="宋体"/>
          <w:color w:val="auto"/>
          <w:sz w:val="24"/>
          <w:szCs w:val="24"/>
          <w:highlight w:val="none"/>
          <w:lang w:val="en-US" w:eastAsia="zh-CN"/>
        </w:rPr>
        <w:t>赔</w:t>
      </w:r>
      <w:r>
        <w:rPr>
          <w:rFonts w:hint="eastAsia" w:ascii="宋体" w:hAnsi="宋体" w:eastAsia="宋体" w:cs="宋体"/>
          <w:color w:val="auto"/>
          <w:sz w:val="24"/>
          <w:szCs w:val="24"/>
          <w:highlight w:val="none"/>
        </w:rPr>
        <w:t>偿招标人因此而遭受的一切损失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包括但不限于经济支出、诉讼费、律师费、保全费及保全担保费等）</w:t>
      </w:r>
      <w:r>
        <w:rPr>
          <w:rFonts w:hint="eastAsia" w:ascii="宋体" w:hAnsi="宋体" w:eastAsia="宋体" w:cs="宋体"/>
          <w:color w:val="auto"/>
          <w:sz w:val="24"/>
          <w:szCs w:val="24"/>
          <w:highlight w:val="none"/>
        </w:rPr>
        <w:t>。</w:t>
      </w:r>
    </w:p>
    <w:p w14:paraId="2F6B9207">
      <w:p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如我司未做到上述承诺的，你方有权取消我司投标或中标资格，并向我司追究你方因此遭受的全部损失。</w:t>
      </w:r>
    </w:p>
    <w:p w14:paraId="503ECF00">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C766C0">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投标人名称（电子签章）：       </w:t>
      </w:r>
    </w:p>
    <w:p w14:paraId="726A76C4">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地址：______________________________________________    </w:t>
      </w:r>
    </w:p>
    <w:p w14:paraId="37829839">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电话：__________________        </w:t>
      </w:r>
    </w:p>
    <w:p w14:paraId="5A40FBD1">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邮编：______________________  </w:t>
      </w:r>
    </w:p>
    <w:p w14:paraId="09FDC7D9">
      <w:pPr>
        <w:spacing w:line="360" w:lineRule="exact"/>
        <w:ind w:firstLine="720" w:firstLineChars="300"/>
        <w:jc w:val="left"/>
        <w:rPr>
          <w:rFonts w:hint="eastAsia" w:ascii="宋体" w:hAnsi="宋体" w:eastAsia="宋体" w:cs="宋体"/>
          <w:color w:val="auto"/>
          <w:sz w:val="24"/>
          <w:szCs w:val="24"/>
          <w:highlight w:val="none"/>
          <w:lang w:val="en-US" w:eastAsia="zh-CN"/>
        </w:rPr>
        <w:sectPr>
          <w:headerReference r:id="rId8" w:type="first"/>
          <w:pgSz w:w="11906" w:h="16838"/>
          <w:pgMar w:top="1702" w:right="1644" w:bottom="1440" w:left="1644"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sz w:val="24"/>
          <w:szCs w:val="24"/>
          <w:highlight w:val="none"/>
          <w:lang w:val="en-US" w:eastAsia="zh-CN"/>
        </w:rPr>
        <w:t>电子邮箱：</w:t>
      </w:r>
    </w:p>
    <w:p w14:paraId="2ED8A4DE">
      <w:pPr>
        <w:numPr>
          <w:ilvl w:val="0"/>
          <w:numId w:val="0"/>
        </w:numPr>
        <w:adjustRightInd w:val="0"/>
        <w:snapToGrid w:val="0"/>
        <w:spacing w:line="360" w:lineRule="auto"/>
        <w:jc w:val="center"/>
        <w:outlineLvl w:val="2"/>
        <w:rPr>
          <w:rFonts w:hint="eastAsia" w:ascii="宋体" w:hAnsi="宋体" w:eastAsia="宋体" w:cs="宋体"/>
          <w:b/>
          <w:bCs/>
          <w:color w:val="auto"/>
          <w:kern w:val="0"/>
          <w:sz w:val="24"/>
          <w:szCs w:val="24"/>
          <w:highlight w:val="none"/>
          <w:lang w:val="en-US" w:eastAsia="zh-CN"/>
        </w:rPr>
      </w:pPr>
      <w:bookmarkStart w:id="149" w:name="_Toc4782"/>
      <w:r>
        <w:rPr>
          <w:rFonts w:hint="eastAsia" w:ascii="宋体" w:hAnsi="宋体" w:eastAsia="宋体" w:cs="宋体"/>
          <w:b/>
          <w:bCs/>
          <w:color w:val="auto"/>
          <w:kern w:val="0"/>
          <w:sz w:val="24"/>
          <w:szCs w:val="24"/>
          <w:highlight w:val="none"/>
          <w:lang w:val="en-US" w:eastAsia="zh-CN" w:bidi="ar-SA"/>
        </w:rPr>
        <w:t>七、招标文件</w:t>
      </w:r>
      <w:r>
        <w:rPr>
          <w:rFonts w:hint="eastAsia" w:ascii="宋体" w:hAnsi="宋体" w:eastAsia="宋体" w:cs="宋体"/>
          <w:b/>
          <w:bCs/>
          <w:color w:val="auto"/>
          <w:kern w:val="0"/>
          <w:sz w:val="24"/>
          <w:szCs w:val="24"/>
          <w:highlight w:val="none"/>
          <w:lang w:val="en-US" w:eastAsia="zh-CN"/>
        </w:rPr>
        <w:t>技术要求响应承诺</w:t>
      </w:r>
      <w:bookmarkEnd w:id="149"/>
    </w:p>
    <w:p w14:paraId="56B3B5C1">
      <w:pPr>
        <w:spacing w:beforeLines="50" w:afterLines="50" w:line="40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杭州临江环境能源有限公司 </w:t>
      </w:r>
    </w:p>
    <w:p w14:paraId="709F997F">
      <w:pPr>
        <w:spacing w:line="360" w:lineRule="exact"/>
        <w:ind w:firstLine="464"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rPr>
        <w:t>愿参与</w:t>
      </w:r>
      <w:r>
        <w:rPr>
          <w:rFonts w:hint="eastAsia" w:ascii="宋体" w:hAnsi="宋体" w:eastAsia="宋体" w:cs="宋体"/>
          <w:color w:val="auto"/>
          <w:sz w:val="24"/>
          <w:szCs w:val="24"/>
          <w:highlight w:val="none"/>
          <w:u w:val="single"/>
          <w:lang w:val="en-US" w:eastAsia="zh-CN"/>
        </w:rPr>
        <w:t xml:space="preserve"> 2025-2026年能源运行中心智能远程水表系统技术服务采购项目</w:t>
      </w:r>
      <w:r>
        <w:rPr>
          <w:rFonts w:hint="eastAsia" w:ascii="宋体" w:hAnsi="宋体" w:eastAsia="宋体" w:cs="宋体"/>
          <w:color w:val="auto"/>
          <w:sz w:val="24"/>
          <w:szCs w:val="24"/>
          <w:highlight w:val="none"/>
          <w:u w:val="none"/>
          <w:lang w:val="en-US" w:eastAsia="zh-CN"/>
        </w:rPr>
        <w:t>（招标编号：</w:t>
      </w:r>
      <w:r>
        <w:rPr>
          <w:rFonts w:hint="eastAsia" w:ascii="宋体" w:hAnsi="宋体" w:eastAsia="宋体" w:cs="宋体"/>
          <w:color w:val="auto"/>
          <w:sz w:val="24"/>
          <w:szCs w:val="24"/>
          <w:highlight w:val="none"/>
          <w:u w:val="single"/>
          <w:lang w:val="en-US" w:eastAsia="zh-CN"/>
        </w:rPr>
        <w:t xml:space="preserve">NY-4FZB2506010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我司承诺</w:t>
      </w:r>
      <w:r>
        <w:rPr>
          <w:rFonts w:hint="eastAsia" w:ascii="宋体" w:hAnsi="宋体" w:eastAsia="宋体" w:cs="宋体"/>
          <w:color w:val="auto"/>
          <w:sz w:val="24"/>
          <w:szCs w:val="24"/>
          <w:highlight w:val="none"/>
          <w:lang w:eastAsia="zh-CN"/>
        </w:rPr>
        <w:t>：</w:t>
      </w:r>
    </w:p>
    <w:p w14:paraId="5F5E4E0F">
      <w:pPr>
        <w:numPr>
          <w:ilvl w:val="0"/>
          <w:numId w:val="0"/>
        </w:numPr>
        <w:spacing w:line="360" w:lineRule="exact"/>
        <w:ind w:firstLine="464"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我公司提供的</w:t>
      </w:r>
      <w:r>
        <w:rPr>
          <w:rFonts w:hint="eastAsia" w:ascii="宋体" w:hAnsi="宋体" w:eastAsia="宋体" w:cs="宋体"/>
          <w:color w:val="auto"/>
          <w:sz w:val="24"/>
          <w:szCs w:val="24"/>
          <w:highlight w:val="none"/>
        </w:rPr>
        <w:t>电磁流量计</w:t>
      </w:r>
      <w:r>
        <w:rPr>
          <w:rFonts w:hint="eastAsia" w:ascii="宋体" w:hAnsi="宋体" w:eastAsia="宋体" w:cs="宋体"/>
          <w:color w:val="auto"/>
          <w:sz w:val="24"/>
          <w:szCs w:val="24"/>
          <w:highlight w:val="none"/>
          <w:lang w:val="en-US" w:eastAsia="zh-CN"/>
        </w:rPr>
        <w:t>满足招标文件要求；</w:t>
      </w:r>
    </w:p>
    <w:p w14:paraId="723B7AC2">
      <w:pPr>
        <w:numPr>
          <w:ilvl w:val="0"/>
          <w:numId w:val="0"/>
        </w:numPr>
        <w:spacing w:line="360" w:lineRule="exact"/>
        <w:ind w:firstLine="46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我公司提供的</w:t>
      </w:r>
      <w:r>
        <w:rPr>
          <w:rFonts w:hint="eastAsia" w:ascii="宋体" w:hAnsi="宋体" w:eastAsia="宋体" w:cs="宋体"/>
          <w:color w:val="auto"/>
          <w:sz w:val="24"/>
          <w:szCs w:val="24"/>
          <w:highlight w:val="none"/>
        </w:rPr>
        <w:t>供水在线监测系统</w:t>
      </w:r>
      <w:r>
        <w:rPr>
          <w:rFonts w:hint="eastAsia" w:ascii="宋体" w:hAnsi="宋体" w:eastAsia="宋体" w:cs="宋体"/>
          <w:color w:val="auto"/>
          <w:sz w:val="24"/>
          <w:szCs w:val="24"/>
          <w:highlight w:val="none"/>
          <w:lang w:val="en-US" w:eastAsia="zh-CN"/>
        </w:rPr>
        <w:t>满足招标文件要求；</w:t>
      </w:r>
    </w:p>
    <w:p w14:paraId="14A063D1">
      <w:pPr>
        <w:spacing w:line="360" w:lineRule="exact"/>
        <w:ind w:firstLine="46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3.质保期限满足招标文件要求。</w:t>
      </w:r>
    </w:p>
    <w:p w14:paraId="4F15C143">
      <w:pPr>
        <w:spacing w:line="360" w:lineRule="exact"/>
        <w:ind w:firstLine="464"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如我司未做到上述承诺的，你方有权取消我司投标或中标资格，并向我司追究你方因此遭受的全部损失。</w:t>
      </w:r>
    </w:p>
    <w:p w14:paraId="397D84C1">
      <w:pPr>
        <w:spacing w:line="360" w:lineRule="exact"/>
        <w:ind w:firstLine="696"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612D05">
      <w:pPr>
        <w:spacing w:before="65" w:line="440" w:lineRule="exact"/>
        <w:ind w:firstLine="1"/>
        <w:rPr>
          <w:rFonts w:hint="eastAsia" w:ascii="宋体" w:hAnsi="宋体" w:eastAsia="宋体" w:cs="宋体"/>
          <w:color w:val="auto"/>
          <w:spacing w:val="8"/>
          <w:sz w:val="24"/>
          <w:szCs w:val="24"/>
          <w:highlight w:val="none"/>
        </w:rPr>
      </w:pPr>
      <w:bookmarkStart w:id="150" w:name="_Toc24127"/>
    </w:p>
    <w:p w14:paraId="25681DFB">
      <w:pPr>
        <w:spacing w:before="65" w:line="440" w:lineRule="exact"/>
        <w:ind w:firstLine="1"/>
        <w:rPr>
          <w:rFonts w:hint="eastAsia" w:ascii="宋体" w:hAnsi="宋体" w:eastAsia="宋体" w:cs="宋体"/>
          <w:color w:val="auto"/>
          <w:spacing w:val="8"/>
          <w:sz w:val="24"/>
          <w:szCs w:val="24"/>
          <w:highlight w:val="none"/>
        </w:rPr>
      </w:pPr>
    </w:p>
    <w:p w14:paraId="412425B4">
      <w:pPr>
        <w:spacing w:before="65" w:line="44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5BBA4C75">
      <w:pPr>
        <w:spacing w:before="162"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pacing w:val="9"/>
          <w:sz w:val="24"/>
          <w:szCs w:val="24"/>
          <w:highlight w:val="none"/>
        </w:rPr>
        <w:t>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2AA07360">
      <w:pPr>
        <w:spacing w:before="161" w:line="44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7C590C72">
      <w:pPr>
        <w:adjustRightInd w:val="0"/>
        <w:snapToGrid w:val="0"/>
        <w:spacing w:line="360" w:lineRule="auto"/>
        <w:jc w:val="center"/>
        <w:outlineLvl w:val="9"/>
        <w:rPr>
          <w:rFonts w:hint="eastAsia" w:ascii="宋体" w:hAnsi="宋体" w:eastAsia="宋体" w:cs="宋体"/>
          <w:b/>
          <w:bCs/>
          <w:color w:val="auto"/>
          <w:sz w:val="24"/>
          <w:szCs w:val="24"/>
          <w:highlight w:val="none"/>
        </w:rPr>
      </w:pPr>
    </w:p>
    <w:p w14:paraId="130E6942">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BEF762F">
      <w:pPr>
        <w:numPr>
          <w:ilvl w:val="0"/>
          <w:numId w:val="0"/>
        </w:numPr>
        <w:adjustRightInd w:val="0"/>
        <w:snapToGrid w:val="0"/>
        <w:spacing w:line="360" w:lineRule="auto"/>
        <w:jc w:val="center"/>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lang w:val="en-US" w:eastAsia="zh-CN" w:bidi="ar-SA"/>
        </w:rPr>
        <w:t>投标人认为有必要的其他内容等</w:t>
      </w:r>
      <w:bookmarkEnd w:id="150"/>
    </w:p>
    <w:p w14:paraId="34F847B0">
      <w:pPr>
        <w:adjustRightInd w:val="0"/>
        <w:snapToGrid w:val="0"/>
        <w:spacing w:line="360" w:lineRule="auto"/>
        <w:outlineLvl w:val="9"/>
        <w:rPr>
          <w:rFonts w:hint="eastAsia" w:ascii="宋体" w:hAnsi="宋体" w:eastAsia="宋体" w:cs="宋体"/>
          <w:color w:val="auto"/>
          <w:sz w:val="24"/>
          <w:szCs w:val="24"/>
          <w:highlight w:val="none"/>
        </w:rPr>
      </w:pPr>
    </w:p>
    <w:p w14:paraId="18CED53C">
      <w:pPr>
        <w:adjustRightInd w:val="0"/>
        <w:snapToGrid w:val="0"/>
        <w:spacing w:line="360" w:lineRule="auto"/>
        <w:outlineLvl w:val="9"/>
        <w:rPr>
          <w:rFonts w:hint="eastAsia" w:ascii="宋体" w:hAnsi="宋体" w:eastAsia="宋体" w:cs="宋体"/>
          <w:color w:val="auto"/>
          <w:sz w:val="24"/>
          <w:szCs w:val="24"/>
          <w:highlight w:val="none"/>
        </w:rPr>
      </w:pPr>
    </w:p>
    <w:p w14:paraId="1012DC2D">
      <w:pPr>
        <w:adjustRightInd w:val="0"/>
        <w:snapToGrid w:val="0"/>
        <w:spacing w:line="360" w:lineRule="auto"/>
        <w:outlineLvl w:val="9"/>
        <w:rPr>
          <w:rFonts w:hint="eastAsia" w:ascii="宋体" w:hAnsi="宋体" w:eastAsia="宋体" w:cs="宋体"/>
          <w:color w:val="auto"/>
          <w:sz w:val="24"/>
          <w:szCs w:val="24"/>
          <w:highlight w:val="none"/>
        </w:rPr>
      </w:pPr>
    </w:p>
    <w:p w14:paraId="36199326">
      <w:pPr>
        <w:adjustRightInd w:val="0"/>
        <w:snapToGrid w:val="0"/>
        <w:spacing w:line="360" w:lineRule="auto"/>
        <w:outlineLvl w:val="9"/>
        <w:rPr>
          <w:rFonts w:hint="eastAsia" w:ascii="宋体" w:hAnsi="宋体" w:eastAsia="宋体" w:cs="宋体"/>
          <w:color w:val="auto"/>
          <w:sz w:val="24"/>
          <w:szCs w:val="24"/>
          <w:highlight w:val="none"/>
        </w:rPr>
      </w:pPr>
    </w:p>
    <w:p w14:paraId="511DBF05">
      <w:pPr>
        <w:spacing w:before="65" w:line="44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2AF11181">
      <w:pPr>
        <w:spacing w:before="162"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pacing w:val="9"/>
          <w:sz w:val="24"/>
          <w:szCs w:val="24"/>
          <w:highlight w:val="none"/>
        </w:rPr>
        <w:t>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11C679BC">
      <w:pPr>
        <w:spacing w:before="161" w:line="44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19157350">
      <w:pPr>
        <w:adjustRightInd w:val="0"/>
        <w:snapToGrid w:val="0"/>
        <w:spacing w:line="360" w:lineRule="auto"/>
        <w:jc w:val="center"/>
        <w:outlineLvl w:val="9"/>
        <w:rPr>
          <w:rFonts w:hint="eastAsia" w:ascii="宋体" w:hAnsi="宋体" w:eastAsia="宋体" w:cs="宋体"/>
          <w:b/>
          <w:bCs/>
          <w:color w:val="auto"/>
          <w:sz w:val="24"/>
          <w:szCs w:val="24"/>
          <w:highlight w:val="none"/>
        </w:rPr>
      </w:pPr>
      <w:bookmarkStart w:id="151" w:name="_Toc83886046"/>
    </w:p>
    <w:p w14:paraId="72EEA3BF">
      <w:pPr>
        <w:rPr>
          <w:rFonts w:hint="eastAsia" w:ascii="宋体" w:hAnsi="宋体" w:eastAsia="宋体" w:cs="宋体"/>
          <w:b/>
          <w:bCs/>
          <w:color w:val="auto"/>
          <w:sz w:val="24"/>
          <w:szCs w:val="24"/>
          <w:highlight w:val="none"/>
        </w:rPr>
      </w:pPr>
      <w:bookmarkStart w:id="152" w:name="_Toc32210"/>
      <w:r>
        <w:rPr>
          <w:rFonts w:hint="eastAsia" w:ascii="宋体" w:hAnsi="宋体" w:eastAsia="宋体" w:cs="宋体"/>
          <w:b/>
          <w:bCs/>
          <w:color w:val="auto"/>
          <w:sz w:val="24"/>
          <w:szCs w:val="24"/>
          <w:highlight w:val="none"/>
        </w:rPr>
        <w:br w:type="page"/>
      </w:r>
    </w:p>
    <w:p w14:paraId="4188682B">
      <w:pPr>
        <w:adjustRightInd w:val="0"/>
        <w:snapToGrid w:val="0"/>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第四部分、技术文件</w:t>
      </w:r>
      <w:bookmarkEnd w:id="151"/>
      <w:bookmarkEnd w:id="152"/>
    </w:p>
    <w:p w14:paraId="3AF0481A">
      <w:pPr>
        <w:snapToGrid w:val="0"/>
        <w:spacing w:line="360" w:lineRule="auto"/>
        <w:jc w:val="center"/>
        <w:outlineLvl w:val="2"/>
        <w:rPr>
          <w:rFonts w:hint="eastAsia" w:ascii="宋体" w:hAnsi="宋体" w:eastAsia="宋体" w:cs="宋体"/>
          <w:b/>
          <w:bCs/>
          <w:color w:val="auto"/>
          <w:sz w:val="24"/>
          <w:szCs w:val="24"/>
          <w:highlight w:val="none"/>
          <w:lang w:eastAsia="zh-CN"/>
        </w:rPr>
      </w:pPr>
      <w:bookmarkStart w:id="153" w:name="_Toc4342"/>
      <w:bookmarkStart w:id="154" w:name="_Toc20079"/>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val="en-US" w:eastAsia="zh-CN"/>
        </w:rPr>
        <w:t>与服务</w:t>
      </w:r>
      <w:r>
        <w:rPr>
          <w:rFonts w:hint="eastAsia" w:ascii="宋体" w:hAnsi="宋体" w:eastAsia="宋体" w:cs="宋体"/>
          <w:b/>
          <w:bCs/>
          <w:color w:val="auto"/>
          <w:sz w:val="24"/>
          <w:szCs w:val="24"/>
          <w:highlight w:val="none"/>
        </w:rPr>
        <w:t>解决方案</w:t>
      </w:r>
      <w:bookmarkEnd w:id="153"/>
    </w:p>
    <w:p w14:paraId="293EDC2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需求及招标文件要求编制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如改造方案、货物清单、售后响应承诺、应急保障方案等</w:t>
      </w:r>
      <w:r>
        <w:rPr>
          <w:rFonts w:hint="eastAsia" w:ascii="宋体" w:hAnsi="宋体" w:eastAsia="宋体" w:cs="宋体"/>
          <w:color w:val="auto"/>
          <w:sz w:val="24"/>
          <w:szCs w:val="24"/>
          <w:highlight w:val="none"/>
        </w:rPr>
        <w:t>）</w:t>
      </w:r>
    </w:p>
    <w:p w14:paraId="3B497FED">
      <w:pPr>
        <w:snapToGrid w:val="0"/>
        <w:spacing w:line="360" w:lineRule="auto"/>
        <w:jc w:val="center"/>
        <w:rPr>
          <w:rFonts w:hint="eastAsia" w:ascii="宋体" w:hAnsi="宋体" w:eastAsia="宋体" w:cs="宋体"/>
          <w:b/>
          <w:color w:val="auto"/>
          <w:sz w:val="24"/>
          <w:szCs w:val="24"/>
          <w:highlight w:val="none"/>
        </w:rPr>
      </w:pPr>
    </w:p>
    <w:p w14:paraId="48FF79C0">
      <w:pPr>
        <w:spacing w:line="24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14:paraId="0829AF4A">
      <w:pPr>
        <w:spacing w:line="360" w:lineRule="auto"/>
        <w:jc w:val="center"/>
        <w:outlineLvl w:val="2"/>
        <w:rPr>
          <w:rFonts w:hint="eastAsia" w:ascii="宋体" w:hAnsi="宋体" w:eastAsia="宋体" w:cs="宋体"/>
          <w:b/>
          <w:bCs/>
          <w:color w:val="auto"/>
          <w:kern w:val="2"/>
          <w:sz w:val="24"/>
          <w:szCs w:val="24"/>
          <w:highlight w:val="none"/>
          <w:lang w:val="zh-CN"/>
        </w:rPr>
      </w:pP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sz w:val="24"/>
          <w:szCs w:val="24"/>
          <w:highlight w:val="none"/>
          <w:lang w:eastAsia="zh-CN"/>
        </w:rPr>
        <w:t>增值服务</w:t>
      </w:r>
      <w:r>
        <w:rPr>
          <w:rFonts w:hint="eastAsia" w:ascii="宋体" w:hAnsi="宋体" w:eastAsia="宋体" w:cs="宋体"/>
          <w:b/>
          <w:bCs/>
          <w:color w:val="auto"/>
          <w:kern w:val="2"/>
          <w:sz w:val="24"/>
          <w:szCs w:val="24"/>
          <w:highlight w:val="none"/>
          <w:lang w:val="zh-CN"/>
        </w:rPr>
        <w:t>及特殊承诺</w:t>
      </w:r>
    </w:p>
    <w:p w14:paraId="59EC25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需求自行编制）</w:t>
      </w:r>
    </w:p>
    <w:p w14:paraId="195E58E3">
      <w:pPr>
        <w:spacing w:line="360" w:lineRule="auto"/>
        <w:jc w:val="center"/>
        <w:rPr>
          <w:rFonts w:hint="eastAsia" w:ascii="宋体" w:hAnsi="宋体" w:eastAsia="宋体" w:cs="宋体"/>
          <w:color w:val="auto"/>
          <w:sz w:val="24"/>
          <w:szCs w:val="24"/>
          <w:highlight w:val="none"/>
        </w:rPr>
      </w:pPr>
    </w:p>
    <w:p w14:paraId="056E4CE3">
      <w:pPr>
        <w:pStyle w:val="11"/>
        <w:snapToGrid w:val="0"/>
        <w:spacing w:line="360" w:lineRule="auto"/>
        <w:rPr>
          <w:rFonts w:hint="eastAsia" w:ascii="宋体" w:hAnsi="宋体" w:eastAsia="宋体" w:cs="宋体"/>
          <w:snapToGrid w:val="0"/>
          <w:color w:val="auto"/>
          <w:kern w:val="0"/>
          <w:sz w:val="24"/>
          <w:szCs w:val="24"/>
          <w:highlight w:val="none"/>
        </w:rPr>
      </w:pPr>
    </w:p>
    <w:p w14:paraId="42085FD4">
      <w:pPr>
        <w:pStyle w:val="11"/>
        <w:snapToGrid w:val="0"/>
        <w:spacing w:line="360" w:lineRule="auto"/>
        <w:rPr>
          <w:rFonts w:hint="eastAsia" w:ascii="宋体" w:hAnsi="宋体" w:eastAsia="宋体" w:cs="宋体"/>
          <w:snapToGrid w:val="0"/>
          <w:color w:val="auto"/>
          <w:kern w:val="0"/>
          <w:sz w:val="24"/>
          <w:szCs w:val="24"/>
          <w:highlight w:val="none"/>
        </w:rPr>
      </w:pPr>
    </w:p>
    <w:p w14:paraId="5D53499A">
      <w:pPr>
        <w:pStyle w:val="11"/>
        <w:snapToGrid w:val="0"/>
        <w:spacing w:line="360" w:lineRule="auto"/>
        <w:rPr>
          <w:rFonts w:hint="eastAsia" w:ascii="宋体" w:hAnsi="宋体" w:eastAsia="宋体" w:cs="宋体"/>
          <w:snapToGrid w:val="0"/>
          <w:color w:val="auto"/>
          <w:kern w:val="0"/>
          <w:sz w:val="24"/>
          <w:szCs w:val="24"/>
          <w:highlight w:val="none"/>
        </w:rPr>
      </w:pPr>
    </w:p>
    <w:p w14:paraId="5B39EDC0">
      <w:pPr>
        <w:pStyle w:val="11"/>
        <w:snapToGrid w:val="0"/>
        <w:spacing w:line="360" w:lineRule="auto"/>
        <w:rPr>
          <w:rFonts w:hint="eastAsia" w:ascii="宋体" w:hAnsi="宋体" w:eastAsia="宋体" w:cs="宋体"/>
          <w:snapToGrid w:val="0"/>
          <w:color w:val="auto"/>
          <w:kern w:val="0"/>
          <w:sz w:val="24"/>
          <w:szCs w:val="24"/>
          <w:highlight w:val="none"/>
        </w:rPr>
      </w:pPr>
    </w:p>
    <w:p w14:paraId="4C97A06B">
      <w:pPr>
        <w:pStyle w:val="11"/>
        <w:snapToGrid w:val="0"/>
        <w:spacing w:line="360" w:lineRule="auto"/>
        <w:rPr>
          <w:rFonts w:hint="eastAsia" w:ascii="宋体" w:hAnsi="宋体" w:eastAsia="宋体" w:cs="宋体"/>
          <w:snapToGrid w:val="0"/>
          <w:color w:val="auto"/>
          <w:kern w:val="0"/>
          <w:sz w:val="24"/>
          <w:szCs w:val="24"/>
          <w:highlight w:val="none"/>
        </w:rPr>
      </w:pPr>
    </w:p>
    <w:p w14:paraId="77FAB18F">
      <w:pPr>
        <w:pStyle w:val="11"/>
        <w:snapToGrid w:val="0"/>
        <w:spacing w:line="360" w:lineRule="auto"/>
        <w:rPr>
          <w:rFonts w:hint="eastAsia" w:ascii="宋体" w:hAnsi="宋体" w:eastAsia="宋体" w:cs="宋体"/>
          <w:snapToGrid w:val="0"/>
          <w:color w:val="auto"/>
          <w:kern w:val="0"/>
          <w:sz w:val="24"/>
          <w:szCs w:val="24"/>
          <w:highlight w:val="none"/>
        </w:rPr>
      </w:pPr>
    </w:p>
    <w:p w14:paraId="6AF6B612">
      <w:pPr>
        <w:pStyle w:val="11"/>
        <w:snapToGrid w:val="0"/>
        <w:spacing w:line="360" w:lineRule="auto"/>
        <w:rPr>
          <w:rFonts w:hint="eastAsia" w:ascii="宋体" w:hAnsi="宋体" w:eastAsia="宋体" w:cs="宋体"/>
          <w:snapToGrid w:val="0"/>
          <w:color w:val="auto"/>
          <w:kern w:val="0"/>
          <w:sz w:val="24"/>
          <w:szCs w:val="24"/>
          <w:highlight w:val="none"/>
        </w:rPr>
      </w:pPr>
    </w:p>
    <w:p w14:paraId="646D21E7">
      <w:pPr>
        <w:pStyle w:val="11"/>
        <w:snapToGrid w:val="0"/>
        <w:spacing w:line="360" w:lineRule="auto"/>
        <w:rPr>
          <w:rFonts w:hint="eastAsia" w:ascii="宋体" w:hAnsi="宋体" w:eastAsia="宋体" w:cs="宋体"/>
          <w:snapToGrid w:val="0"/>
          <w:color w:val="auto"/>
          <w:kern w:val="0"/>
          <w:sz w:val="24"/>
          <w:szCs w:val="24"/>
          <w:highlight w:val="none"/>
        </w:rPr>
      </w:pPr>
    </w:p>
    <w:p w14:paraId="7F2CEA4D">
      <w:pPr>
        <w:pStyle w:val="11"/>
        <w:snapToGrid w:val="0"/>
        <w:spacing w:line="360" w:lineRule="auto"/>
        <w:rPr>
          <w:rFonts w:hint="eastAsia" w:ascii="宋体" w:hAnsi="宋体" w:eastAsia="宋体" w:cs="宋体"/>
          <w:snapToGrid w:val="0"/>
          <w:color w:val="auto"/>
          <w:kern w:val="0"/>
          <w:sz w:val="24"/>
          <w:szCs w:val="24"/>
          <w:highlight w:val="none"/>
        </w:rPr>
      </w:pPr>
    </w:p>
    <w:p w14:paraId="1D6F4D6E">
      <w:pPr>
        <w:pStyle w:val="11"/>
        <w:snapToGrid w:val="0"/>
        <w:spacing w:line="360" w:lineRule="auto"/>
        <w:rPr>
          <w:rFonts w:hint="eastAsia" w:ascii="宋体" w:hAnsi="宋体" w:eastAsia="宋体" w:cs="宋体"/>
          <w:snapToGrid w:val="0"/>
          <w:color w:val="auto"/>
          <w:kern w:val="0"/>
          <w:sz w:val="24"/>
          <w:szCs w:val="24"/>
          <w:highlight w:val="none"/>
        </w:rPr>
      </w:pPr>
    </w:p>
    <w:p w14:paraId="535DD5DD">
      <w:pPr>
        <w:pStyle w:val="11"/>
        <w:snapToGrid w:val="0"/>
        <w:spacing w:line="360" w:lineRule="auto"/>
        <w:rPr>
          <w:rFonts w:hint="eastAsia" w:ascii="宋体" w:hAnsi="宋体" w:eastAsia="宋体" w:cs="宋体"/>
          <w:snapToGrid w:val="0"/>
          <w:color w:val="auto"/>
          <w:kern w:val="0"/>
          <w:sz w:val="24"/>
          <w:szCs w:val="24"/>
          <w:highlight w:val="none"/>
        </w:rPr>
      </w:pPr>
    </w:p>
    <w:p w14:paraId="6F23ACF2">
      <w:pPr>
        <w:pStyle w:val="11"/>
        <w:snapToGrid w:val="0"/>
        <w:spacing w:line="360" w:lineRule="auto"/>
        <w:rPr>
          <w:rFonts w:hint="eastAsia" w:ascii="宋体" w:hAnsi="宋体" w:eastAsia="宋体" w:cs="宋体"/>
          <w:snapToGrid w:val="0"/>
          <w:color w:val="auto"/>
          <w:kern w:val="0"/>
          <w:sz w:val="24"/>
          <w:szCs w:val="24"/>
          <w:highlight w:val="none"/>
        </w:rPr>
      </w:pPr>
    </w:p>
    <w:p w14:paraId="738161E9">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14:paraId="0FE9412D">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或其委托代理人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rPr>
        <w:t>）：</w:t>
      </w:r>
    </w:p>
    <w:p w14:paraId="29FF632E">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0C81B87E">
      <w:pPr>
        <w:jc w:val="center"/>
        <w:outlineLvl w:val="2"/>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color w:val="auto"/>
          <w:kern w:val="0"/>
          <w:sz w:val="24"/>
          <w:szCs w:val="24"/>
          <w:highlight w:val="none"/>
        </w:rPr>
        <w:t>技术偏离表</w:t>
      </w:r>
      <w:bookmarkEnd w:id="154"/>
    </w:p>
    <w:p w14:paraId="5AC90097">
      <w:pPr>
        <w:adjustRightInd w:val="0"/>
        <w:snapToGrid w:val="0"/>
        <w:spacing w:line="360" w:lineRule="auto"/>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5EAD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30ED5C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22" w:type="dxa"/>
            <w:gridSpan w:val="2"/>
            <w:noWrap w:val="0"/>
            <w:vAlign w:val="center"/>
          </w:tcPr>
          <w:p w14:paraId="44D236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3240" w:type="dxa"/>
            <w:gridSpan w:val="2"/>
            <w:noWrap w:val="0"/>
            <w:vAlign w:val="center"/>
          </w:tcPr>
          <w:p w14:paraId="6524C5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1110" w:type="dxa"/>
            <w:vMerge w:val="restart"/>
            <w:noWrap w:val="0"/>
            <w:vAlign w:val="center"/>
          </w:tcPr>
          <w:p w14:paraId="6F6159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w:t>
            </w:r>
          </w:p>
        </w:tc>
        <w:tc>
          <w:tcPr>
            <w:tcW w:w="1081" w:type="dxa"/>
            <w:vMerge w:val="restart"/>
            <w:noWrap w:val="0"/>
            <w:vAlign w:val="center"/>
          </w:tcPr>
          <w:p w14:paraId="799603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2C5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54BBDD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1B644D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050" w:type="dxa"/>
            <w:noWrap w:val="0"/>
            <w:vAlign w:val="center"/>
          </w:tcPr>
          <w:p w14:paraId="63039D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简要内容</w:t>
            </w:r>
          </w:p>
        </w:tc>
        <w:tc>
          <w:tcPr>
            <w:tcW w:w="1050" w:type="dxa"/>
            <w:noWrap w:val="0"/>
            <w:vAlign w:val="center"/>
          </w:tcPr>
          <w:p w14:paraId="45BF83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190" w:type="dxa"/>
            <w:noWrap w:val="0"/>
            <w:vAlign w:val="center"/>
          </w:tcPr>
          <w:p w14:paraId="6DF84B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实际响应的具体内容</w:t>
            </w:r>
          </w:p>
        </w:tc>
        <w:tc>
          <w:tcPr>
            <w:tcW w:w="1110" w:type="dxa"/>
            <w:vMerge w:val="continue"/>
            <w:noWrap w:val="0"/>
            <w:vAlign w:val="center"/>
          </w:tcPr>
          <w:p w14:paraId="67A89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vMerge w:val="continue"/>
            <w:noWrap w:val="0"/>
            <w:vAlign w:val="center"/>
          </w:tcPr>
          <w:p w14:paraId="20C7B0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C8A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D2F37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7C4CFB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754694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7A1BDB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19B6DF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72D800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561327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113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23B67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7370F9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1206AE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0A96D2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62DDC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7B520B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5F19C8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773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8C10B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1287D2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00AF81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6C8920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4191F2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75E03C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159535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76E1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DEEF6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033AF7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57B6F0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44D17A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6CA889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110FFB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52AF97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D90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DB54A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1B69F2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1B2C17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58CB1F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02EC62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1C1A19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030633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91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C7A0E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1A9D9A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796729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2B9BB6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3C0924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430221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21A26E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5C10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C31E6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771C1C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704559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24CCC1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73F007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30BA66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533194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11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648F1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79768F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79C241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72BCD4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1EFD213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55435B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0E6A86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5BEE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9CC8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402C17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7EE7ED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410920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52668F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7CFB7B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787025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2B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964E5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1CA8DD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68B335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4CD9CC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3BF351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2B3F92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153C1B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A8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96868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058236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0E9DB1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751ED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0D2396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157D63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4196B2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72EE6D22">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注：1、请投标人在“是否响应”栏内根据响应情况填写“满足</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负偏离</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正偏离”，负偏离或正偏离请在“偏离说明”栏内扼要说明偏离情况。</w:t>
      </w:r>
    </w:p>
    <w:p w14:paraId="52E44B7E">
      <w:pPr>
        <w:pStyle w:val="48"/>
        <w:adjustRightInd w:val="0"/>
        <w:snapToGrid w:val="0"/>
        <w:spacing w:line="360" w:lineRule="auto"/>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若投标人未提供或未填写本表，均视作完全响应招标文件要求。</w:t>
      </w:r>
    </w:p>
    <w:p w14:paraId="560C7357">
      <w:pPr>
        <w:pStyle w:val="48"/>
        <w:adjustRightInd w:val="0"/>
        <w:snapToGrid w:val="0"/>
        <w:spacing w:line="360" w:lineRule="auto"/>
        <w:ind w:firstLine="464" w:firstLineChars="200"/>
        <w:rPr>
          <w:rFonts w:hint="eastAsia" w:ascii="宋体" w:hAnsi="宋体" w:eastAsia="宋体" w:cs="宋体"/>
          <w:color w:val="auto"/>
          <w:sz w:val="24"/>
          <w:szCs w:val="24"/>
          <w:highlight w:val="none"/>
        </w:rPr>
      </w:pPr>
    </w:p>
    <w:p w14:paraId="42368630">
      <w:pPr>
        <w:pStyle w:val="48"/>
        <w:adjustRightInd w:val="0"/>
        <w:snapToGrid w:val="0"/>
        <w:spacing w:line="360" w:lineRule="auto"/>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投标人（盖公章）：</w:t>
      </w:r>
    </w:p>
    <w:p w14:paraId="56D321EB">
      <w:pPr>
        <w:pStyle w:val="48"/>
        <w:adjustRightInd w:val="0"/>
        <w:snapToGrid w:val="0"/>
        <w:spacing w:line="360" w:lineRule="auto"/>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法定代表人</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负责人</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rPr>
        <w:t>或其委托代理人（签字或盖章）：</w:t>
      </w:r>
    </w:p>
    <w:p w14:paraId="0AAF98CF">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r>
        <w:rPr>
          <w:rFonts w:hint="eastAsia" w:ascii="宋体" w:hAnsi="宋体" w:eastAsia="宋体" w:cs="宋体"/>
          <w:b w:val="0"/>
          <w:bCs w:val="0"/>
          <w:color w:val="auto"/>
          <w:sz w:val="24"/>
          <w:szCs w:val="24"/>
          <w:highlight w:val="none"/>
        </w:rPr>
        <w:br w:type="page"/>
      </w:r>
      <w:bookmarkStart w:id="155" w:name="_Toc2511"/>
    </w:p>
    <w:p w14:paraId="26EE0D7D">
      <w:pPr>
        <w:pStyle w:val="5"/>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四、</w:t>
      </w:r>
      <w:r>
        <w:rPr>
          <w:rFonts w:hint="eastAsia" w:ascii="宋体" w:hAnsi="宋体" w:eastAsia="宋体" w:cs="宋体"/>
          <w:bCs w:val="0"/>
          <w:color w:val="auto"/>
          <w:sz w:val="24"/>
          <w:szCs w:val="24"/>
          <w:highlight w:val="none"/>
          <w:lang w:val="zh-CN"/>
        </w:rPr>
        <w:t>投标人认为有必要的其他内容</w:t>
      </w:r>
      <w:bookmarkEnd w:id="155"/>
    </w:p>
    <w:p w14:paraId="6F7CC94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（包括与评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有关的内容）</w:t>
      </w:r>
    </w:p>
    <w:p w14:paraId="455389F8">
      <w:pPr>
        <w:jc w:val="center"/>
        <w:rPr>
          <w:rFonts w:hint="eastAsia" w:ascii="宋体" w:hAnsi="宋体" w:eastAsia="宋体" w:cs="宋体"/>
          <w:color w:val="auto"/>
          <w:sz w:val="24"/>
          <w:szCs w:val="24"/>
          <w:highlight w:val="none"/>
        </w:rPr>
      </w:pPr>
    </w:p>
    <w:p w14:paraId="3A3A7B26">
      <w:pPr>
        <w:jc w:val="center"/>
        <w:rPr>
          <w:rFonts w:hint="eastAsia" w:ascii="宋体" w:hAnsi="宋体" w:eastAsia="宋体" w:cs="宋体"/>
          <w:color w:val="auto"/>
          <w:sz w:val="24"/>
          <w:szCs w:val="24"/>
          <w:highlight w:val="none"/>
        </w:rPr>
      </w:pPr>
    </w:p>
    <w:p w14:paraId="43BB57C3">
      <w:pPr>
        <w:jc w:val="center"/>
        <w:rPr>
          <w:rFonts w:hint="eastAsia" w:ascii="宋体" w:hAnsi="宋体" w:eastAsia="宋体" w:cs="宋体"/>
          <w:color w:val="auto"/>
          <w:sz w:val="24"/>
          <w:szCs w:val="24"/>
          <w:highlight w:val="none"/>
        </w:rPr>
      </w:pPr>
    </w:p>
    <w:p w14:paraId="09346D2F">
      <w:pPr>
        <w:jc w:val="center"/>
        <w:rPr>
          <w:rFonts w:hint="eastAsia" w:ascii="宋体" w:hAnsi="宋体" w:eastAsia="宋体" w:cs="宋体"/>
          <w:color w:val="auto"/>
          <w:sz w:val="24"/>
          <w:szCs w:val="24"/>
          <w:highlight w:val="none"/>
        </w:rPr>
      </w:pPr>
    </w:p>
    <w:p w14:paraId="713A3328">
      <w:pPr>
        <w:jc w:val="center"/>
        <w:rPr>
          <w:rFonts w:hint="eastAsia" w:ascii="宋体" w:hAnsi="宋体" w:eastAsia="宋体" w:cs="宋体"/>
          <w:color w:val="auto"/>
          <w:sz w:val="24"/>
          <w:szCs w:val="24"/>
          <w:highlight w:val="none"/>
        </w:rPr>
      </w:pPr>
    </w:p>
    <w:p w14:paraId="1E9269A8">
      <w:pPr>
        <w:jc w:val="center"/>
        <w:rPr>
          <w:rFonts w:hint="eastAsia" w:ascii="宋体" w:hAnsi="宋体" w:eastAsia="宋体" w:cs="宋体"/>
          <w:color w:val="auto"/>
          <w:sz w:val="24"/>
          <w:szCs w:val="24"/>
          <w:highlight w:val="none"/>
        </w:rPr>
      </w:pPr>
    </w:p>
    <w:p w14:paraId="0AC8EFFD">
      <w:pPr>
        <w:jc w:val="center"/>
        <w:rPr>
          <w:rFonts w:hint="eastAsia" w:ascii="宋体" w:hAnsi="宋体" w:eastAsia="宋体" w:cs="宋体"/>
          <w:color w:val="auto"/>
          <w:sz w:val="24"/>
          <w:szCs w:val="24"/>
          <w:highlight w:val="none"/>
        </w:rPr>
      </w:pPr>
    </w:p>
    <w:p w14:paraId="192998E3">
      <w:pPr>
        <w:jc w:val="center"/>
        <w:rPr>
          <w:rFonts w:hint="eastAsia" w:ascii="宋体" w:hAnsi="宋体" w:eastAsia="宋体" w:cs="宋体"/>
          <w:color w:val="auto"/>
          <w:sz w:val="24"/>
          <w:szCs w:val="24"/>
          <w:highlight w:val="none"/>
        </w:rPr>
      </w:pPr>
    </w:p>
    <w:p w14:paraId="6418B58D">
      <w:pPr>
        <w:jc w:val="center"/>
        <w:rPr>
          <w:rFonts w:hint="eastAsia" w:ascii="宋体" w:hAnsi="宋体" w:eastAsia="宋体" w:cs="宋体"/>
          <w:color w:val="auto"/>
          <w:sz w:val="24"/>
          <w:szCs w:val="24"/>
          <w:highlight w:val="none"/>
        </w:rPr>
      </w:pPr>
    </w:p>
    <w:p w14:paraId="384F21A9">
      <w:pPr>
        <w:jc w:val="center"/>
        <w:rPr>
          <w:rFonts w:hint="eastAsia" w:ascii="宋体" w:hAnsi="宋体" w:eastAsia="宋体" w:cs="宋体"/>
          <w:color w:val="auto"/>
          <w:sz w:val="24"/>
          <w:szCs w:val="24"/>
          <w:highlight w:val="none"/>
        </w:rPr>
      </w:pPr>
    </w:p>
    <w:p w14:paraId="30C89D87">
      <w:pPr>
        <w:jc w:val="center"/>
        <w:rPr>
          <w:rFonts w:hint="eastAsia" w:ascii="宋体" w:hAnsi="宋体" w:eastAsia="宋体" w:cs="宋体"/>
          <w:color w:val="auto"/>
          <w:sz w:val="24"/>
          <w:szCs w:val="24"/>
          <w:highlight w:val="none"/>
        </w:rPr>
      </w:pPr>
    </w:p>
    <w:p w14:paraId="7B728142">
      <w:pPr>
        <w:jc w:val="center"/>
        <w:rPr>
          <w:rFonts w:hint="eastAsia" w:ascii="宋体" w:hAnsi="宋体" w:eastAsia="宋体" w:cs="宋体"/>
          <w:color w:val="auto"/>
          <w:sz w:val="24"/>
          <w:szCs w:val="24"/>
          <w:highlight w:val="none"/>
        </w:rPr>
      </w:pPr>
    </w:p>
    <w:p w14:paraId="638A666F">
      <w:pPr>
        <w:jc w:val="center"/>
        <w:rPr>
          <w:rFonts w:hint="eastAsia" w:ascii="宋体" w:hAnsi="宋体" w:eastAsia="宋体" w:cs="宋体"/>
          <w:color w:val="auto"/>
          <w:sz w:val="24"/>
          <w:szCs w:val="24"/>
          <w:highlight w:val="none"/>
        </w:rPr>
      </w:pPr>
    </w:p>
    <w:p w14:paraId="6137CFA9">
      <w:pPr>
        <w:jc w:val="center"/>
        <w:rPr>
          <w:rFonts w:hint="eastAsia" w:ascii="宋体" w:hAnsi="宋体" w:eastAsia="宋体" w:cs="宋体"/>
          <w:color w:val="auto"/>
          <w:sz w:val="24"/>
          <w:szCs w:val="24"/>
          <w:highlight w:val="none"/>
        </w:rPr>
      </w:pPr>
    </w:p>
    <w:p w14:paraId="397547FA">
      <w:pPr>
        <w:jc w:val="center"/>
        <w:rPr>
          <w:rFonts w:hint="eastAsia" w:ascii="宋体" w:hAnsi="宋体" w:eastAsia="宋体" w:cs="宋体"/>
          <w:color w:val="auto"/>
          <w:sz w:val="24"/>
          <w:szCs w:val="24"/>
          <w:highlight w:val="none"/>
        </w:rPr>
      </w:pPr>
    </w:p>
    <w:p w14:paraId="1A78D0BD">
      <w:pPr>
        <w:jc w:val="center"/>
        <w:rPr>
          <w:rFonts w:hint="eastAsia" w:ascii="宋体" w:hAnsi="宋体" w:eastAsia="宋体" w:cs="宋体"/>
          <w:color w:val="auto"/>
          <w:sz w:val="24"/>
          <w:szCs w:val="24"/>
          <w:highlight w:val="none"/>
        </w:rPr>
      </w:pPr>
    </w:p>
    <w:p w14:paraId="40440241">
      <w:pPr>
        <w:jc w:val="center"/>
        <w:rPr>
          <w:rFonts w:hint="eastAsia" w:ascii="宋体" w:hAnsi="宋体" w:eastAsia="宋体" w:cs="宋体"/>
          <w:color w:val="auto"/>
          <w:sz w:val="24"/>
          <w:szCs w:val="24"/>
          <w:highlight w:val="none"/>
        </w:rPr>
      </w:pPr>
    </w:p>
    <w:p w14:paraId="0065FC03">
      <w:pPr>
        <w:jc w:val="center"/>
        <w:rPr>
          <w:rFonts w:hint="eastAsia" w:ascii="宋体" w:hAnsi="宋体" w:eastAsia="宋体" w:cs="宋体"/>
          <w:color w:val="auto"/>
          <w:sz w:val="24"/>
          <w:szCs w:val="24"/>
          <w:highlight w:val="none"/>
        </w:rPr>
      </w:pPr>
    </w:p>
    <w:p w14:paraId="5050E547">
      <w:pPr>
        <w:jc w:val="center"/>
        <w:rPr>
          <w:rFonts w:hint="eastAsia" w:ascii="宋体" w:hAnsi="宋体" w:eastAsia="宋体" w:cs="宋体"/>
          <w:color w:val="auto"/>
          <w:sz w:val="24"/>
          <w:szCs w:val="24"/>
          <w:highlight w:val="none"/>
        </w:rPr>
      </w:pPr>
    </w:p>
    <w:p w14:paraId="7F67B632">
      <w:pPr>
        <w:jc w:val="center"/>
        <w:rPr>
          <w:rFonts w:hint="eastAsia" w:ascii="宋体" w:hAnsi="宋体" w:eastAsia="宋体" w:cs="宋体"/>
          <w:color w:val="auto"/>
          <w:sz w:val="24"/>
          <w:szCs w:val="24"/>
          <w:highlight w:val="none"/>
        </w:rPr>
      </w:pPr>
    </w:p>
    <w:bookmarkEnd w:id="143"/>
    <w:p w14:paraId="04A12FEB">
      <w:pPr>
        <w:pStyle w:val="3"/>
        <w:widowControl/>
        <w:adjustRightInd w:val="0"/>
        <w:snapToGrid w:val="0"/>
        <w:spacing w:before="0" w:beforeAutospacing="0" w:after="0" w:afterAutospacing="0" w:line="360" w:lineRule="auto"/>
        <w:jc w:val="center"/>
        <w:rPr>
          <w:rFonts w:hint="eastAsia" w:ascii="宋体" w:hAnsi="宋体" w:eastAsia="宋体" w:cs="宋体"/>
          <w:b w:val="0"/>
          <w:bCs/>
          <w:color w:val="auto"/>
          <w:kern w:val="44"/>
          <w:sz w:val="32"/>
          <w:szCs w:val="32"/>
          <w:highlight w:val="none"/>
        </w:rPr>
      </w:pPr>
      <w:bookmarkStart w:id="156" w:name="_Toc22500"/>
      <w:bookmarkStart w:id="157" w:name="_Toc1923"/>
      <w:r>
        <w:rPr>
          <w:rFonts w:hint="eastAsia" w:ascii="宋体" w:hAnsi="宋体" w:eastAsia="宋体" w:cs="宋体"/>
          <w:b w:val="0"/>
          <w:bCs/>
          <w:color w:val="auto"/>
          <w:kern w:val="44"/>
          <w:sz w:val="32"/>
          <w:szCs w:val="32"/>
          <w:highlight w:val="none"/>
        </w:rPr>
        <w:t>第六章  合同条款及格式（仅供参考，以实际签订为准）</w:t>
      </w:r>
      <w:bookmarkEnd w:id="156"/>
    </w:p>
    <w:bookmarkEnd w:id="157"/>
    <w:p w14:paraId="3176103A">
      <w:pPr>
        <w:pStyle w:val="8"/>
        <w:jc w:val="center"/>
        <w:rPr>
          <w:rFonts w:hint="eastAsia" w:ascii="宋体" w:hAnsi="宋体" w:eastAsia="宋体" w:cs="宋体"/>
          <w:b/>
          <w:bCs w:val="0"/>
          <w:color w:val="auto"/>
          <w:sz w:val="24"/>
          <w:szCs w:val="24"/>
          <w:highlight w:val="none"/>
          <w:lang w:val="en-US" w:eastAsia="zh-CN"/>
        </w:rPr>
      </w:pPr>
    </w:p>
    <w:bookmarkEnd w:id="0"/>
    <w:p w14:paraId="64AE0790">
      <w:pPr>
        <w:spacing w:line="24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LJGS-</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u w:val="single"/>
        </w:rPr>
        <w:t xml:space="preserve">-          </w:t>
      </w:r>
    </w:p>
    <w:p w14:paraId="41CF0036">
      <w:pPr>
        <w:spacing w:line="240" w:lineRule="auto"/>
        <w:rPr>
          <w:rFonts w:hint="eastAsia" w:ascii="宋体" w:hAnsi="宋体" w:eastAsia="宋体" w:cs="宋体"/>
          <w:b/>
          <w:color w:val="auto"/>
          <w:sz w:val="24"/>
          <w:szCs w:val="24"/>
          <w:highlight w:val="none"/>
        </w:rPr>
      </w:pPr>
    </w:p>
    <w:p w14:paraId="0360AFF7">
      <w:pPr>
        <w:spacing w:line="240" w:lineRule="auto"/>
        <w:outlineLvl w:val="9"/>
        <w:rPr>
          <w:rFonts w:hint="eastAsia" w:ascii="宋体" w:hAnsi="宋体" w:eastAsia="宋体" w:cs="宋体"/>
          <w:color w:val="auto"/>
          <w:sz w:val="24"/>
          <w:szCs w:val="24"/>
          <w:highlight w:val="none"/>
        </w:rPr>
      </w:pPr>
    </w:p>
    <w:p w14:paraId="642B360B">
      <w:pPr>
        <w:spacing w:line="240" w:lineRule="auto"/>
        <w:outlineLvl w:val="9"/>
        <w:rPr>
          <w:rFonts w:hint="eastAsia" w:ascii="宋体" w:hAnsi="宋体" w:eastAsia="宋体" w:cs="宋体"/>
          <w:color w:val="auto"/>
          <w:sz w:val="24"/>
          <w:szCs w:val="24"/>
          <w:highlight w:val="none"/>
        </w:rPr>
      </w:pPr>
    </w:p>
    <w:p w14:paraId="51900F2F">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货物类采购合同</w:t>
      </w:r>
    </w:p>
    <w:p w14:paraId="198DB42E">
      <w:pPr>
        <w:pStyle w:val="51"/>
        <w:spacing w:line="240" w:lineRule="auto"/>
        <w:rPr>
          <w:rFonts w:hint="eastAsia" w:ascii="宋体" w:hAnsi="宋体" w:eastAsia="宋体" w:cs="宋体"/>
          <w:color w:val="auto"/>
          <w:sz w:val="24"/>
          <w:szCs w:val="24"/>
          <w:highlight w:val="none"/>
        </w:rPr>
      </w:pPr>
    </w:p>
    <w:p w14:paraId="760985FC">
      <w:pPr>
        <w:spacing w:line="240" w:lineRule="auto"/>
        <w:ind w:firstLine="928"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2025-2026年能源运行中心智能远程水表系统技术服务采购项目</w:t>
      </w:r>
    </w:p>
    <w:p w14:paraId="3F97862D">
      <w:pPr>
        <w:spacing w:before="120" w:line="240" w:lineRule="auto"/>
        <w:ind w:left="960"/>
        <w:rPr>
          <w:rFonts w:hint="eastAsia" w:ascii="宋体" w:hAnsi="宋体" w:eastAsia="宋体" w:cs="宋体"/>
          <w:color w:val="auto"/>
          <w:sz w:val="24"/>
          <w:szCs w:val="24"/>
          <w:highlight w:val="none"/>
        </w:rPr>
      </w:pPr>
    </w:p>
    <w:p w14:paraId="6A324869">
      <w:pPr>
        <w:spacing w:before="120" w:line="24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杭州临江环境能源有限公司  </w:t>
      </w:r>
    </w:p>
    <w:p w14:paraId="0F4F6306">
      <w:pPr>
        <w:spacing w:before="12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1A21C03">
      <w:pPr>
        <w:spacing w:before="120" w:line="24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***公司</w:t>
      </w:r>
      <w:r>
        <w:rPr>
          <w:rFonts w:hint="eastAsia" w:ascii="宋体" w:hAnsi="宋体" w:eastAsia="宋体" w:cs="宋体"/>
          <w:color w:val="auto"/>
          <w:sz w:val="24"/>
          <w:szCs w:val="24"/>
          <w:highlight w:val="none"/>
          <w:u w:val="single"/>
        </w:rPr>
        <w:t xml:space="preserve">                </w:t>
      </w:r>
    </w:p>
    <w:p w14:paraId="5A6A892D">
      <w:pPr>
        <w:spacing w:before="120" w:line="240" w:lineRule="auto"/>
        <w:rPr>
          <w:rFonts w:hint="eastAsia" w:ascii="宋体" w:hAnsi="宋体" w:eastAsia="宋体" w:cs="宋体"/>
          <w:color w:val="auto"/>
          <w:sz w:val="24"/>
          <w:szCs w:val="24"/>
          <w:highlight w:val="none"/>
        </w:rPr>
      </w:pPr>
    </w:p>
    <w:p w14:paraId="69AE4C68">
      <w:pPr>
        <w:spacing w:before="120" w:line="240" w:lineRule="auto"/>
        <w:ind w:firstLine="928"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 订 地：</w:t>
      </w:r>
      <w:r>
        <w:rPr>
          <w:rFonts w:hint="eastAsia" w:ascii="宋体" w:hAnsi="宋体" w:eastAsia="宋体" w:cs="宋体"/>
          <w:color w:val="auto"/>
          <w:sz w:val="24"/>
          <w:szCs w:val="24"/>
          <w:highlight w:val="none"/>
          <w:u w:val="single"/>
        </w:rPr>
        <w:t xml:space="preserve">   浙江省杭州市钱塘区       </w:t>
      </w:r>
    </w:p>
    <w:p w14:paraId="00C6FE18">
      <w:pPr>
        <w:spacing w:before="120" w:line="240" w:lineRule="auto"/>
        <w:rPr>
          <w:rFonts w:hint="eastAsia" w:ascii="宋体" w:hAnsi="宋体" w:eastAsia="宋体" w:cs="宋体"/>
          <w:color w:val="auto"/>
          <w:sz w:val="24"/>
          <w:szCs w:val="24"/>
          <w:highlight w:val="none"/>
        </w:rPr>
      </w:pPr>
    </w:p>
    <w:p w14:paraId="67F6B483">
      <w:pPr>
        <w:tabs>
          <w:tab w:val="right" w:pos="7346"/>
        </w:tabs>
        <w:spacing w:before="120" w:line="240" w:lineRule="auto"/>
        <w:ind w:firstLine="928"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ab/>
      </w:r>
    </w:p>
    <w:p w14:paraId="7316BCF0">
      <w:pPr>
        <w:pStyle w:val="8"/>
        <w:spacing w:line="240" w:lineRule="auto"/>
        <w:rPr>
          <w:rFonts w:hint="eastAsia" w:ascii="宋体" w:hAnsi="宋体" w:eastAsia="宋体" w:cs="宋体"/>
          <w:color w:val="auto"/>
          <w:sz w:val="24"/>
          <w:szCs w:val="24"/>
          <w:highlight w:val="none"/>
        </w:rPr>
      </w:pPr>
    </w:p>
    <w:p w14:paraId="2B3CA980">
      <w:pPr>
        <w:pStyle w:val="23"/>
        <w:spacing w:line="240" w:lineRule="auto"/>
        <w:rPr>
          <w:rFonts w:hint="eastAsia" w:ascii="宋体" w:hAnsi="宋体" w:eastAsia="宋体" w:cs="宋体"/>
          <w:color w:val="auto"/>
          <w:sz w:val="24"/>
          <w:szCs w:val="24"/>
          <w:highlight w:val="none"/>
        </w:rPr>
      </w:pPr>
    </w:p>
    <w:p w14:paraId="3D288F42">
      <w:pPr>
        <w:pStyle w:val="51"/>
        <w:spacing w:line="240" w:lineRule="auto"/>
        <w:ind w:left="0" w:leftChars="0" w:firstLine="0" w:firstLineChars="0"/>
        <w:rPr>
          <w:rFonts w:hint="eastAsia" w:ascii="宋体" w:hAnsi="宋体" w:eastAsia="宋体" w:cs="宋体"/>
          <w:b/>
          <w:color w:val="auto"/>
          <w:sz w:val="24"/>
          <w:szCs w:val="24"/>
          <w:highlight w:val="none"/>
        </w:rPr>
      </w:pPr>
    </w:p>
    <w:p w14:paraId="7CD4026D">
      <w:pPr>
        <w:pStyle w:val="23"/>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目录</w:t>
      </w:r>
    </w:p>
    <w:p w14:paraId="56955BBE">
      <w:pPr>
        <w:pStyle w:val="9"/>
        <w:spacing w:line="240" w:lineRule="auto"/>
        <w:ind w:firstLine="232"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合同书  ……………………………………………………………（页码）</w:t>
      </w:r>
    </w:p>
    <w:p w14:paraId="6FD81C29">
      <w:pPr>
        <w:pStyle w:val="9"/>
        <w:spacing w:line="240" w:lineRule="auto"/>
        <w:ind w:firstLine="232"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合同一般条款………………………………………………………（页码）</w:t>
      </w:r>
    </w:p>
    <w:p w14:paraId="0E650075">
      <w:pPr>
        <w:pStyle w:val="9"/>
        <w:spacing w:line="240" w:lineRule="auto"/>
        <w:ind w:firstLine="232"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rPr>
        <w:t>协议……………………………………………………………（页码）</w:t>
      </w:r>
    </w:p>
    <w:p w14:paraId="1738B855">
      <w:pPr>
        <w:pStyle w:val="9"/>
        <w:spacing w:line="240" w:lineRule="auto"/>
        <w:ind w:firstLine="232"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廉洁协议……………………………………………………………（页码）</w:t>
      </w:r>
    </w:p>
    <w:p w14:paraId="2D8777FF">
      <w:pPr>
        <w:pStyle w:val="9"/>
        <w:spacing w:line="240" w:lineRule="auto"/>
        <w:ind w:firstLine="232" w:firstLineChars="100"/>
        <w:rPr>
          <w:rFonts w:hint="eastAsia" w:ascii="宋体" w:hAnsi="宋体" w:eastAsia="宋体" w:cs="宋体"/>
          <w:color w:val="auto"/>
          <w:sz w:val="24"/>
          <w:szCs w:val="24"/>
          <w:highlight w:val="none"/>
        </w:rPr>
      </w:pPr>
    </w:p>
    <w:p w14:paraId="18A9CC3A">
      <w:pPr>
        <w:pStyle w:val="51"/>
        <w:spacing w:line="240" w:lineRule="auto"/>
        <w:rPr>
          <w:rFonts w:hint="eastAsia" w:ascii="宋体" w:hAnsi="宋体" w:eastAsia="宋体" w:cs="宋体"/>
          <w:color w:val="auto"/>
          <w:sz w:val="24"/>
          <w:szCs w:val="24"/>
          <w:highlight w:val="none"/>
        </w:rPr>
      </w:pPr>
    </w:p>
    <w:p w14:paraId="5FD33660">
      <w:pPr>
        <w:pStyle w:val="9"/>
        <w:spacing w:line="240" w:lineRule="auto"/>
        <w:rPr>
          <w:rFonts w:hint="eastAsia" w:ascii="宋体" w:hAnsi="宋体" w:eastAsia="宋体" w:cs="宋体"/>
          <w:color w:val="auto"/>
          <w:sz w:val="24"/>
          <w:szCs w:val="24"/>
          <w:highlight w:val="none"/>
        </w:rPr>
      </w:pPr>
    </w:p>
    <w:p w14:paraId="7020762C">
      <w:pPr>
        <w:pStyle w:val="9"/>
        <w:spacing w:line="240" w:lineRule="auto"/>
        <w:rPr>
          <w:rFonts w:hint="eastAsia" w:ascii="宋体" w:hAnsi="宋体" w:eastAsia="宋体" w:cs="宋体"/>
          <w:color w:val="auto"/>
          <w:sz w:val="24"/>
          <w:szCs w:val="24"/>
          <w:highlight w:val="none"/>
        </w:rPr>
      </w:pPr>
    </w:p>
    <w:p w14:paraId="466048DE">
      <w:pPr>
        <w:pStyle w:val="9"/>
        <w:spacing w:line="240" w:lineRule="auto"/>
        <w:rPr>
          <w:rFonts w:hint="eastAsia" w:ascii="宋体" w:hAnsi="宋体" w:eastAsia="宋体" w:cs="宋体"/>
          <w:color w:val="auto"/>
          <w:sz w:val="24"/>
          <w:szCs w:val="24"/>
          <w:highlight w:val="none"/>
        </w:rPr>
      </w:pPr>
    </w:p>
    <w:p w14:paraId="6BF7B1DE">
      <w:pPr>
        <w:pStyle w:val="9"/>
        <w:spacing w:line="240" w:lineRule="auto"/>
        <w:rPr>
          <w:rFonts w:hint="eastAsia" w:ascii="宋体" w:hAnsi="宋体" w:eastAsia="宋体" w:cs="宋体"/>
          <w:color w:val="auto"/>
          <w:sz w:val="24"/>
          <w:szCs w:val="24"/>
          <w:highlight w:val="none"/>
        </w:rPr>
      </w:pPr>
    </w:p>
    <w:p w14:paraId="68404211">
      <w:pPr>
        <w:pStyle w:val="9"/>
        <w:spacing w:line="240" w:lineRule="auto"/>
        <w:rPr>
          <w:rFonts w:hint="eastAsia" w:ascii="宋体" w:hAnsi="宋体" w:eastAsia="宋体" w:cs="宋体"/>
          <w:color w:val="auto"/>
          <w:sz w:val="24"/>
          <w:szCs w:val="24"/>
          <w:highlight w:val="none"/>
        </w:rPr>
      </w:pPr>
    </w:p>
    <w:p w14:paraId="5D5B25EF">
      <w:pPr>
        <w:pStyle w:val="9"/>
        <w:spacing w:line="240" w:lineRule="auto"/>
        <w:rPr>
          <w:rFonts w:hint="eastAsia" w:ascii="宋体" w:hAnsi="宋体" w:eastAsia="宋体" w:cs="宋体"/>
          <w:color w:val="auto"/>
          <w:sz w:val="24"/>
          <w:szCs w:val="24"/>
          <w:highlight w:val="none"/>
        </w:rPr>
      </w:pPr>
    </w:p>
    <w:p w14:paraId="31AA09A7">
      <w:pPr>
        <w:pStyle w:val="9"/>
        <w:spacing w:line="240" w:lineRule="auto"/>
        <w:rPr>
          <w:rFonts w:hint="eastAsia" w:ascii="宋体" w:hAnsi="宋体" w:eastAsia="宋体" w:cs="宋体"/>
          <w:color w:val="auto"/>
          <w:sz w:val="24"/>
          <w:szCs w:val="24"/>
          <w:highlight w:val="none"/>
        </w:rPr>
      </w:pPr>
    </w:p>
    <w:p w14:paraId="5509CFE2">
      <w:pPr>
        <w:pStyle w:val="9"/>
        <w:spacing w:line="240" w:lineRule="auto"/>
        <w:rPr>
          <w:rFonts w:hint="eastAsia" w:ascii="宋体" w:hAnsi="宋体" w:eastAsia="宋体" w:cs="宋体"/>
          <w:color w:val="auto"/>
          <w:sz w:val="24"/>
          <w:szCs w:val="24"/>
          <w:highlight w:val="none"/>
        </w:rPr>
      </w:pPr>
    </w:p>
    <w:p w14:paraId="660AA390">
      <w:pPr>
        <w:pStyle w:val="9"/>
        <w:spacing w:line="240" w:lineRule="auto"/>
        <w:rPr>
          <w:rFonts w:hint="eastAsia" w:ascii="宋体" w:hAnsi="宋体" w:eastAsia="宋体" w:cs="宋体"/>
          <w:color w:val="auto"/>
          <w:sz w:val="24"/>
          <w:szCs w:val="24"/>
          <w:highlight w:val="none"/>
        </w:rPr>
      </w:pPr>
    </w:p>
    <w:p w14:paraId="24DD81DE">
      <w:pPr>
        <w:pStyle w:val="9"/>
        <w:spacing w:line="240" w:lineRule="auto"/>
        <w:rPr>
          <w:rFonts w:hint="eastAsia" w:ascii="宋体" w:hAnsi="宋体" w:eastAsia="宋体" w:cs="宋体"/>
          <w:color w:val="auto"/>
          <w:sz w:val="24"/>
          <w:szCs w:val="24"/>
          <w:highlight w:val="none"/>
        </w:rPr>
      </w:pPr>
    </w:p>
    <w:p w14:paraId="345E0CF0">
      <w:pPr>
        <w:pStyle w:val="9"/>
        <w:spacing w:line="240" w:lineRule="auto"/>
        <w:rPr>
          <w:rFonts w:hint="eastAsia" w:ascii="宋体" w:hAnsi="宋体" w:eastAsia="宋体" w:cs="宋体"/>
          <w:color w:val="auto"/>
          <w:sz w:val="24"/>
          <w:szCs w:val="24"/>
          <w:highlight w:val="none"/>
        </w:rPr>
      </w:pPr>
    </w:p>
    <w:p w14:paraId="0395885A">
      <w:pPr>
        <w:pStyle w:val="9"/>
        <w:spacing w:line="240" w:lineRule="auto"/>
        <w:rPr>
          <w:rFonts w:hint="eastAsia" w:ascii="宋体" w:hAnsi="宋体" w:eastAsia="宋体" w:cs="宋体"/>
          <w:color w:val="auto"/>
          <w:sz w:val="24"/>
          <w:szCs w:val="24"/>
          <w:highlight w:val="none"/>
        </w:rPr>
      </w:pPr>
    </w:p>
    <w:p w14:paraId="42E14A18">
      <w:pPr>
        <w:pStyle w:val="9"/>
        <w:spacing w:line="240" w:lineRule="auto"/>
        <w:rPr>
          <w:rFonts w:hint="eastAsia" w:ascii="宋体" w:hAnsi="宋体" w:eastAsia="宋体" w:cs="宋体"/>
          <w:color w:val="auto"/>
          <w:sz w:val="24"/>
          <w:szCs w:val="24"/>
          <w:highlight w:val="none"/>
        </w:rPr>
      </w:pPr>
    </w:p>
    <w:p w14:paraId="57B2D939">
      <w:pPr>
        <w:pStyle w:val="51"/>
        <w:keepNext w:val="0"/>
        <w:keepLines w:val="0"/>
        <w:pageBreakBefore w:val="0"/>
        <w:wordWrap/>
        <w:overflowPunct/>
        <w:topLinePunct w:val="0"/>
        <w:bidi w:val="0"/>
        <w:spacing w:line="400" w:lineRule="exact"/>
        <w:ind w:left="0" w:leftChars="0" w:firstLine="0" w:firstLineChars="0"/>
        <w:jc w:val="both"/>
        <w:rPr>
          <w:rFonts w:hint="eastAsia" w:ascii="宋体" w:hAnsi="宋体" w:eastAsia="宋体" w:cs="宋体"/>
          <w:b/>
          <w:color w:val="auto"/>
          <w:sz w:val="24"/>
          <w:szCs w:val="24"/>
          <w:highlight w:val="none"/>
        </w:rPr>
      </w:pPr>
    </w:p>
    <w:p w14:paraId="563DBC59">
      <w:pPr>
        <w:pStyle w:val="51"/>
        <w:keepNext w:val="0"/>
        <w:keepLines w:val="0"/>
        <w:pageBreakBefore w:val="0"/>
        <w:wordWrap/>
        <w:overflowPunct/>
        <w:topLinePunct w:val="0"/>
        <w:bidi w:val="0"/>
        <w:spacing w:line="400" w:lineRule="exact"/>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第一章 合同书</w:t>
      </w:r>
    </w:p>
    <w:p w14:paraId="2E56E44A">
      <w:pPr>
        <w:keepNext w:val="0"/>
        <w:keepLines w:val="0"/>
        <w:pageBreakBefore w:val="0"/>
        <w:wordWrap/>
        <w:overflowPunct/>
        <w:topLinePunct w:val="0"/>
        <w:bidi w:val="0"/>
        <w:spacing w:line="400" w:lineRule="exact"/>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 xml:space="preserve">   杭州临江环境能源有限公司</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公开招标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2025-2026年能源运行中心智能远程水表系统技术服务采购项目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进行了采购。经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评标委员会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***公司 </w:t>
      </w:r>
      <w:r>
        <w:rPr>
          <w:rFonts w:hint="eastAsia" w:ascii="宋体" w:hAnsi="宋体" w:eastAsia="宋体" w:cs="宋体"/>
          <w:color w:val="auto"/>
          <w:sz w:val="24"/>
          <w:szCs w:val="24"/>
          <w:highlight w:val="none"/>
        </w:rPr>
        <w:t>为该项目中标或者成交供应商。现于中标或者成交通知书发出之日起</w:t>
      </w:r>
      <w:r>
        <w:rPr>
          <w:rFonts w:hint="eastAsia" w:ascii="宋体" w:hAnsi="宋体" w:eastAsia="宋体" w:cs="宋体"/>
          <w:color w:val="auto"/>
          <w:sz w:val="24"/>
          <w:szCs w:val="24"/>
          <w:highlight w:val="none"/>
          <w:lang w:val="en-US" w:eastAsia="zh-CN"/>
        </w:rPr>
        <w:t>30天</w:t>
      </w:r>
      <w:r>
        <w:rPr>
          <w:rFonts w:hint="eastAsia" w:ascii="宋体" w:hAnsi="宋体" w:eastAsia="宋体" w:cs="宋体"/>
          <w:color w:val="auto"/>
          <w:sz w:val="24"/>
          <w:szCs w:val="24"/>
          <w:highlight w:val="none"/>
        </w:rPr>
        <w:t>内，按照采购文件等确定的事项签订本合同。</w:t>
      </w:r>
    </w:p>
    <w:p w14:paraId="16F25F54">
      <w:pPr>
        <w:keepNext w:val="0"/>
        <w:keepLines w:val="0"/>
        <w:pageBreakBefore w:val="0"/>
        <w:wordWrap/>
        <w:overflowPunct/>
        <w:topLinePunct w:val="0"/>
        <w:bidi w:val="0"/>
        <w:spacing w:line="400" w:lineRule="exact"/>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根据《中华人民共和国民法典》等相关法律法规之规定，按照平等、自愿、公平、诚实信用的原则，经</w:t>
      </w:r>
      <w:r>
        <w:rPr>
          <w:rFonts w:hint="eastAsia" w:ascii="宋体" w:hAnsi="宋体" w:eastAsia="宋体" w:cs="宋体"/>
          <w:color w:val="auto"/>
          <w:sz w:val="24"/>
          <w:szCs w:val="24"/>
          <w:highlight w:val="none"/>
          <w:u w:val="none"/>
        </w:rPr>
        <w:t xml:space="preserve">杭州临江环境能源有限公司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***公司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595FEA4A">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color w:val="auto"/>
          <w:sz w:val="24"/>
          <w:szCs w:val="24"/>
          <w:highlight w:val="none"/>
        </w:rPr>
      </w:pPr>
      <w:bookmarkStart w:id="158" w:name="_Toc2232"/>
      <w:bookmarkStart w:id="159" w:name="_Toc3029"/>
      <w:bookmarkStart w:id="160" w:name="_Toc24059"/>
      <w:bookmarkStart w:id="161" w:name="_Toc16444"/>
      <w:r>
        <w:rPr>
          <w:rFonts w:hint="eastAsia" w:ascii="宋体" w:hAnsi="宋体" w:eastAsia="宋体" w:cs="宋体"/>
          <w:b/>
          <w:color w:val="auto"/>
          <w:sz w:val="24"/>
          <w:szCs w:val="24"/>
          <w:highlight w:val="none"/>
        </w:rPr>
        <w:t>一、合同组成部分</w:t>
      </w:r>
      <w:bookmarkEnd w:id="158"/>
      <w:bookmarkEnd w:id="159"/>
      <w:bookmarkEnd w:id="160"/>
      <w:bookmarkEnd w:id="161"/>
    </w:p>
    <w:p w14:paraId="5EB65370">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color w:val="auto"/>
          <w:sz w:val="24"/>
          <w:szCs w:val="24"/>
          <w:highlight w:val="none"/>
          <w:lang w:eastAsia="zh-CN"/>
        </w:rPr>
        <w:t>份文件</w:t>
      </w:r>
      <w:r>
        <w:rPr>
          <w:rFonts w:hint="eastAsia" w:ascii="宋体" w:hAnsi="宋体" w:eastAsia="宋体" w:cs="宋体"/>
          <w:color w:val="auto"/>
          <w:sz w:val="24"/>
          <w:szCs w:val="24"/>
          <w:highlight w:val="none"/>
        </w:rPr>
        <w:t>的优先适用顺序如下：</w:t>
      </w:r>
    </w:p>
    <w:p w14:paraId="5B636E8A">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本合同及其补充合同、变更协议；</w:t>
      </w:r>
    </w:p>
    <w:p w14:paraId="5DA410B2">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2.中标或者成交通知书；</w:t>
      </w:r>
    </w:p>
    <w:p w14:paraId="35B103BE">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3.投标或者响应文件（含澄清或者说明文件）；</w:t>
      </w:r>
    </w:p>
    <w:p w14:paraId="6B019F8D">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4.采购文件（含澄清或者修改文件）；</w:t>
      </w:r>
    </w:p>
    <w:p w14:paraId="5AC586FC">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其他相关采购文件。</w:t>
      </w:r>
    </w:p>
    <w:p w14:paraId="5C37C112">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bookmarkStart w:id="162" w:name="_Toc27126"/>
      <w:bookmarkStart w:id="163" w:name="_Toc21295"/>
      <w:bookmarkStart w:id="164" w:name="_Toc24300"/>
      <w:bookmarkStart w:id="165" w:name="_Toc21821"/>
      <w:r>
        <w:rPr>
          <w:rFonts w:hint="eastAsia" w:ascii="宋体" w:hAnsi="宋体" w:eastAsia="宋体" w:cs="宋体"/>
          <w:b/>
          <w:color w:val="auto"/>
          <w:sz w:val="24"/>
          <w:szCs w:val="24"/>
          <w:highlight w:val="none"/>
        </w:rPr>
        <w:t xml:space="preserve">二、 </w:t>
      </w:r>
      <w:bookmarkEnd w:id="162"/>
      <w:bookmarkEnd w:id="163"/>
      <w:bookmarkEnd w:id="164"/>
      <w:r>
        <w:rPr>
          <w:rFonts w:hint="eastAsia" w:ascii="宋体" w:hAnsi="宋体" w:eastAsia="宋体" w:cs="宋体"/>
          <w:b/>
          <w:color w:val="auto"/>
          <w:sz w:val="24"/>
          <w:szCs w:val="24"/>
          <w:highlight w:val="none"/>
        </w:rPr>
        <w:t>合同标的及价款</w:t>
      </w:r>
      <w:bookmarkEnd w:id="165"/>
    </w:p>
    <w:p w14:paraId="4D3E7C08">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1.本合同总价（含税）为：￥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元人民币），税率为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i/>
          <w:iCs/>
          <w:color w:val="auto"/>
          <w:sz w:val="24"/>
          <w:szCs w:val="24"/>
          <w:highlight w:val="none"/>
          <w:u w:val="single"/>
        </w:rPr>
        <w:t xml:space="preserve">13/9/6/3/1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单价和总价均包括但不限于货款、包装费、运输费及运输保险费、装卸费、安装调试费、售后服务费及税费等全部费用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在合同履行有效期内，合同价格不作调整</w:t>
      </w:r>
      <w:r>
        <w:rPr>
          <w:rFonts w:hint="eastAsia" w:ascii="宋体" w:hAnsi="宋体" w:eastAsia="宋体" w:cs="宋体"/>
          <w:color w:val="auto"/>
          <w:sz w:val="24"/>
          <w:szCs w:val="24"/>
          <w:highlight w:val="none"/>
        </w:rPr>
        <w:t>。</w:t>
      </w:r>
    </w:p>
    <w:p w14:paraId="1020631C">
      <w:pPr>
        <w:pStyle w:val="52"/>
        <w:keepNext w:val="0"/>
        <w:keepLines w:val="0"/>
        <w:pageBreakBefore w:val="0"/>
        <w:wordWrap/>
        <w:overflowPunct/>
        <w:topLinePunct w:val="0"/>
        <w:bidi w:val="0"/>
        <w:spacing w:before="0" w:beforeAutospacing="0" w:after="0" w:afterAutospacing="0" w:line="400" w:lineRule="exact"/>
        <w:ind w:firstLine="48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2.本合同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sym w:font="Wingdings" w:char="00FE"/>
      </w:r>
      <w:r>
        <w:rPr>
          <w:rFonts w:hint="eastAsia" w:ascii="宋体" w:hAnsi="宋体" w:eastAsia="宋体" w:cs="宋体"/>
          <w:color w:val="auto"/>
          <w:sz w:val="24"/>
          <w:szCs w:val="24"/>
          <w:highlight w:val="none"/>
          <w:u w:val="single"/>
        </w:rPr>
        <w:t xml:space="preserve">是  </w:t>
      </w:r>
      <w:r>
        <w:rPr>
          <w:rFonts w:hint="eastAsia" w:ascii="宋体" w:hAnsi="宋体" w:eastAsia="宋体" w:cs="宋体"/>
          <w:color w:val="auto"/>
          <w:sz w:val="24"/>
          <w:szCs w:val="24"/>
          <w:highlight w:val="none"/>
          <w:u w:val="single"/>
        </w:rPr>
        <w:sym w:font="Wingdings" w:char="00A8"/>
      </w:r>
      <w:r>
        <w:rPr>
          <w:rFonts w:hint="eastAsia" w:ascii="宋体" w:hAnsi="宋体" w:eastAsia="宋体" w:cs="宋体"/>
          <w:color w:val="auto"/>
          <w:sz w:val="24"/>
          <w:szCs w:val="24"/>
          <w:highlight w:val="none"/>
          <w:u w:val="single"/>
        </w:rPr>
        <w:t xml:space="preserve">否 </w:t>
      </w:r>
      <w:r>
        <w:rPr>
          <w:rFonts w:hint="eastAsia" w:ascii="宋体" w:hAnsi="宋体" w:eastAsia="宋体" w:cs="宋体"/>
          <w:bCs/>
          <w:color w:val="auto"/>
          <w:sz w:val="24"/>
          <w:szCs w:val="24"/>
          <w:highlight w:val="none"/>
        </w:rPr>
        <w:t>需要乙方安装，涉及拆旧装新</w:t>
      </w:r>
      <w:r>
        <w:rPr>
          <w:rFonts w:hint="eastAsia" w:ascii="宋体" w:hAnsi="宋体" w:eastAsia="宋体" w:cs="宋体"/>
          <w:bCs/>
          <w:color w:val="auto"/>
          <w:sz w:val="24"/>
          <w:szCs w:val="24"/>
          <w:highlight w:val="none"/>
          <w:u w:val="none"/>
        </w:rPr>
        <w:t>的所有费用已包含在货物单价中，甲方不再另外支付费用。</w:t>
      </w:r>
    </w:p>
    <w:p w14:paraId="5C3CFE8D">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3.货物名称、品牌、规格型号</w:t>
      </w:r>
      <w:r>
        <w:rPr>
          <w:rFonts w:hint="eastAsia" w:ascii="宋体" w:hAnsi="宋体" w:eastAsia="宋体" w:cs="宋体"/>
          <w:color w:val="auto"/>
          <w:sz w:val="24"/>
          <w:szCs w:val="24"/>
          <w:highlight w:val="none"/>
          <w:lang w:val="en-US" w:eastAsia="zh-CN"/>
        </w:rPr>
        <w:t>如下：</w:t>
      </w:r>
    </w:p>
    <w:tbl>
      <w:tblPr>
        <w:tblStyle w:val="26"/>
        <w:tblW w:w="8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27"/>
        <w:gridCol w:w="1656"/>
        <w:gridCol w:w="873"/>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2EB55E73">
            <w:pPr>
              <w:keepNext w:val="0"/>
              <w:keepLines w:val="0"/>
              <w:pageBreakBefore w:val="0"/>
              <w:wordWrap/>
              <w:overflowPunct/>
              <w:topLinePunct w:val="0"/>
              <w:bidi w:val="0"/>
              <w:spacing w:line="400" w:lineRule="exact"/>
              <w:jc w:val="center"/>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序号</w:t>
            </w:r>
          </w:p>
        </w:tc>
        <w:tc>
          <w:tcPr>
            <w:tcW w:w="1327" w:type="dxa"/>
            <w:vAlign w:val="center"/>
          </w:tcPr>
          <w:p w14:paraId="497A0C60">
            <w:pPr>
              <w:keepNext w:val="0"/>
              <w:keepLines w:val="0"/>
              <w:pageBreakBefore w:val="0"/>
              <w:wordWrap/>
              <w:overflowPunct/>
              <w:topLinePunct w:val="0"/>
              <w:bidi w:val="0"/>
              <w:spacing w:line="400" w:lineRule="exact"/>
              <w:jc w:val="center"/>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货物名称</w:t>
            </w:r>
          </w:p>
        </w:tc>
        <w:tc>
          <w:tcPr>
            <w:tcW w:w="1656" w:type="dxa"/>
            <w:vAlign w:val="center"/>
          </w:tcPr>
          <w:p w14:paraId="212DE3CC">
            <w:pPr>
              <w:keepNext w:val="0"/>
              <w:keepLines w:val="0"/>
              <w:pageBreakBefore w:val="0"/>
              <w:wordWrap/>
              <w:overflowPunct/>
              <w:topLinePunct w:val="0"/>
              <w:bidi w:val="0"/>
              <w:spacing w:line="400" w:lineRule="exact"/>
              <w:jc w:val="center"/>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规格型号</w:t>
            </w:r>
          </w:p>
        </w:tc>
        <w:tc>
          <w:tcPr>
            <w:tcW w:w="873" w:type="dxa"/>
            <w:vAlign w:val="center"/>
          </w:tcPr>
          <w:p w14:paraId="0605CA4C">
            <w:pPr>
              <w:keepNext w:val="0"/>
              <w:keepLines w:val="0"/>
              <w:pageBreakBefore w:val="0"/>
              <w:wordWrap/>
              <w:overflowPunct/>
              <w:topLinePunct w:val="0"/>
              <w:bidi w:val="0"/>
              <w:spacing w:line="400" w:lineRule="exact"/>
              <w:jc w:val="center"/>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品牌</w:t>
            </w:r>
          </w:p>
        </w:tc>
        <w:tc>
          <w:tcPr>
            <w:tcW w:w="585" w:type="dxa"/>
            <w:vAlign w:val="center"/>
          </w:tcPr>
          <w:p w14:paraId="588F16F3">
            <w:pPr>
              <w:keepNext w:val="0"/>
              <w:keepLines w:val="0"/>
              <w:pageBreakBefore w:val="0"/>
              <w:wordWrap/>
              <w:overflowPunct/>
              <w:topLinePunct w:val="0"/>
              <w:bidi w:val="0"/>
              <w:spacing w:line="400" w:lineRule="exact"/>
              <w:jc w:val="center"/>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单位</w:t>
            </w:r>
          </w:p>
        </w:tc>
        <w:tc>
          <w:tcPr>
            <w:tcW w:w="840" w:type="dxa"/>
            <w:vAlign w:val="center"/>
          </w:tcPr>
          <w:p w14:paraId="1CD19D3F">
            <w:pPr>
              <w:keepNext w:val="0"/>
              <w:keepLines w:val="0"/>
              <w:pageBreakBefore w:val="0"/>
              <w:wordWrap/>
              <w:overflowPunct/>
              <w:topLinePunct w:val="0"/>
              <w:bidi w:val="0"/>
              <w:spacing w:line="400" w:lineRule="exact"/>
              <w:jc w:val="center"/>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暂定</w:t>
            </w:r>
            <w:r>
              <w:rPr>
                <w:rFonts w:hint="eastAsia" w:ascii="宋体" w:hAnsi="宋体" w:eastAsia="宋体" w:cs="宋体"/>
                <w:snapToGrid w:val="0"/>
                <w:color w:val="auto"/>
                <w:sz w:val="24"/>
                <w:szCs w:val="24"/>
                <w:highlight w:val="none"/>
              </w:rPr>
              <w:t>数量</w:t>
            </w:r>
          </w:p>
        </w:tc>
        <w:tc>
          <w:tcPr>
            <w:tcW w:w="1092" w:type="dxa"/>
            <w:vAlign w:val="center"/>
          </w:tcPr>
          <w:p w14:paraId="17F006DB">
            <w:pPr>
              <w:keepNext w:val="0"/>
              <w:keepLines w:val="0"/>
              <w:pageBreakBefore w:val="0"/>
              <w:wordWrap/>
              <w:overflowPunct/>
              <w:topLinePunct w:val="0"/>
              <w:bidi w:val="0"/>
              <w:spacing w:line="400" w:lineRule="exact"/>
              <w:jc w:val="center"/>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单价</w:t>
            </w:r>
          </w:p>
          <w:p w14:paraId="6E43777D">
            <w:pPr>
              <w:keepNext w:val="0"/>
              <w:keepLines w:val="0"/>
              <w:pageBreakBefore w:val="0"/>
              <w:wordWrap/>
              <w:overflowPunct/>
              <w:topLinePunct w:val="0"/>
              <w:bidi w:val="0"/>
              <w:spacing w:line="400" w:lineRule="exact"/>
              <w:jc w:val="center"/>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（元）</w:t>
            </w:r>
          </w:p>
        </w:tc>
        <w:tc>
          <w:tcPr>
            <w:tcW w:w="840" w:type="dxa"/>
            <w:vAlign w:val="center"/>
          </w:tcPr>
          <w:p w14:paraId="5B2B625A">
            <w:pPr>
              <w:keepNext w:val="0"/>
              <w:keepLines w:val="0"/>
              <w:pageBreakBefore w:val="0"/>
              <w:wordWrap/>
              <w:overflowPunct/>
              <w:topLinePunct w:val="0"/>
              <w:bidi w:val="0"/>
              <w:spacing w:line="400" w:lineRule="exact"/>
              <w:jc w:val="center"/>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金额（</w:t>
            </w:r>
            <w:r>
              <w:rPr>
                <w:rFonts w:hint="eastAsia" w:ascii="宋体" w:hAnsi="宋体" w:eastAsia="宋体" w:cs="宋体"/>
                <w:color w:val="auto"/>
                <w:kern w:val="0"/>
                <w:sz w:val="24"/>
                <w:szCs w:val="24"/>
                <w:highlight w:val="none"/>
                <w:lang w:bidi="ar"/>
              </w:rPr>
              <w:t>元</w:t>
            </w:r>
            <w:r>
              <w:rPr>
                <w:rFonts w:hint="eastAsia" w:ascii="宋体" w:hAnsi="宋体" w:eastAsia="宋体" w:cs="宋体"/>
                <w:snapToGrid w:val="0"/>
                <w:color w:val="auto"/>
                <w:sz w:val="24"/>
                <w:szCs w:val="24"/>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01FE1396">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2BA87EF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5F7C2B7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07D79B5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2E3C03E8">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7363C0A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092D5B1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07619DCD">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6EB01EC1">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40881232">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1A556E4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59028289">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7609E6A8">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66D0AAD2">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01D52380">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38FB5D2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2480BDA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3368E762">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76713BCD">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0FC77A2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11D9A649">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268E9789">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6D4C9A19">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4F2CAC27">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5CD1EE6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7DF5D01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3A9E0BE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0BE34A7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39385FE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7DCEE4A0">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00B8C51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40349918">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217F93E0">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6C42046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21E1BE1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3DA0EBD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5A4EA433">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0D592F9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24A449C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399A5E27">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44B8B977">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67EEFBA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74C44963">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501F103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4707012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01D1137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0A9AE53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66FE3A71">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4E952C7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7F991997">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0CECDA50">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4285E8F6">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24806ACD">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5392F03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0B35EF2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1399000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3FD03B2E">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33EBB35D">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73CF2E4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6081A117">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4D80A3D1">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239B0822">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2E377F09">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2C9FF8D6">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1DAA70B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009F64F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20B0FDA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27B8DBB9">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3ABAFB6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52DCBB7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5050D0DE">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7D16656E">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7DD5CAB3">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5A08A1C0">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787951B6">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59838EE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56B69A0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40731C96">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08F8F9B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40C5C53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2F49D7B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2B445BCF">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4DED76C7">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521BCF68">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7448E84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7F6DE2A6">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32C435F8">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3889ECB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47F734E0">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6866A70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4E0E371E">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3F7BB287">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16A62793">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229E15D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64651852">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175A5A17">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24B7037E">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35489CA9">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1287C5A1">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12416F7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79B58C9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69002057">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5298F95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69B0818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523FB9DF">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55287E3F">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098187A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2977B04D">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33CFCF43">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13B05EFD">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03886657">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75E19DC1">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492C3718">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47B24DD8">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7A267A82">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478595B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11FFE9C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68B7D7C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6B962C1E">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4E233613">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742E799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327" w:type="dxa"/>
            <w:vAlign w:val="center"/>
          </w:tcPr>
          <w:p w14:paraId="673BCD6F">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656" w:type="dxa"/>
            <w:vAlign w:val="center"/>
          </w:tcPr>
          <w:p w14:paraId="25EE3C8F">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73" w:type="dxa"/>
            <w:vAlign w:val="center"/>
          </w:tcPr>
          <w:p w14:paraId="05939ECE">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585" w:type="dxa"/>
            <w:vAlign w:val="center"/>
          </w:tcPr>
          <w:p w14:paraId="7AA81B7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840" w:type="dxa"/>
            <w:vAlign w:val="center"/>
          </w:tcPr>
          <w:p w14:paraId="2BE827F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snapToGrid w:val="0"/>
                <w:color w:val="auto"/>
                <w:sz w:val="24"/>
                <w:szCs w:val="24"/>
                <w:highlight w:val="none"/>
              </w:rPr>
            </w:pPr>
          </w:p>
        </w:tc>
        <w:tc>
          <w:tcPr>
            <w:tcW w:w="1092" w:type="dxa"/>
            <w:vAlign w:val="center"/>
          </w:tcPr>
          <w:p w14:paraId="2CA0B2B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5E1B1233">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8" w:type="dxa"/>
            <w:vAlign w:val="center"/>
          </w:tcPr>
          <w:p w14:paraId="668539B9">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1327" w:type="dxa"/>
            <w:vAlign w:val="center"/>
          </w:tcPr>
          <w:p w14:paraId="41256BDE">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1656" w:type="dxa"/>
            <w:vAlign w:val="center"/>
          </w:tcPr>
          <w:p w14:paraId="00F204ED">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73" w:type="dxa"/>
            <w:vAlign w:val="center"/>
          </w:tcPr>
          <w:p w14:paraId="20877EAD">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585" w:type="dxa"/>
            <w:vAlign w:val="center"/>
          </w:tcPr>
          <w:p w14:paraId="55C92C64">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5187CFAB">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1092" w:type="dxa"/>
            <w:vAlign w:val="center"/>
          </w:tcPr>
          <w:p w14:paraId="14112FA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52250EC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8" w:type="dxa"/>
            <w:vAlign w:val="center"/>
          </w:tcPr>
          <w:p w14:paraId="0BFF46D6">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1327" w:type="dxa"/>
            <w:vAlign w:val="center"/>
          </w:tcPr>
          <w:p w14:paraId="03905A26">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1656" w:type="dxa"/>
            <w:vAlign w:val="center"/>
          </w:tcPr>
          <w:p w14:paraId="57AF742A">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73" w:type="dxa"/>
            <w:vAlign w:val="center"/>
          </w:tcPr>
          <w:p w14:paraId="6FB4B895">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585" w:type="dxa"/>
            <w:vAlign w:val="center"/>
          </w:tcPr>
          <w:p w14:paraId="761543BC">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23287E4E">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1092" w:type="dxa"/>
            <w:vAlign w:val="center"/>
          </w:tcPr>
          <w:p w14:paraId="6DF75E5E">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c>
          <w:tcPr>
            <w:tcW w:w="840" w:type="dxa"/>
            <w:vAlign w:val="center"/>
          </w:tcPr>
          <w:p w14:paraId="2DF93830">
            <w:pPr>
              <w:keepNext w:val="0"/>
              <w:keepLines w:val="0"/>
              <w:pageBreakBefore w:val="0"/>
              <w:widowControl/>
              <w:wordWrap/>
              <w:overflowPunct/>
              <w:topLinePunct w:val="0"/>
              <w:bidi w:val="0"/>
              <w:spacing w:line="400" w:lineRule="exact"/>
              <w:jc w:val="center"/>
              <w:textAlignment w:val="center"/>
              <w:outlineLvl w:val="9"/>
              <w:rPr>
                <w:rFonts w:hint="eastAsia" w:ascii="宋体" w:hAnsi="宋体" w:eastAsia="宋体" w:cs="宋体"/>
                <w:color w:val="auto"/>
                <w:kern w:val="0"/>
                <w:sz w:val="24"/>
                <w:szCs w:val="24"/>
                <w:highlight w:val="none"/>
                <w:lang w:bidi="ar"/>
              </w:rPr>
            </w:pPr>
          </w:p>
        </w:tc>
      </w:tr>
    </w:tbl>
    <w:p w14:paraId="1708EB81">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p>
    <w:p w14:paraId="4DF80B04">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4.货物数量</w:t>
      </w:r>
      <w:r>
        <w:rPr>
          <w:rFonts w:hint="eastAsia" w:ascii="宋体" w:hAnsi="宋体" w:eastAsia="宋体" w:cs="宋体"/>
          <w:color w:val="auto"/>
          <w:sz w:val="24"/>
          <w:szCs w:val="24"/>
          <w:highlight w:val="none"/>
          <w:lang w:val="en-US" w:eastAsia="zh-CN"/>
        </w:rPr>
        <w:t>：按合同上述约定数量供货。U型卡、螺丝、接头垫片、膨胀螺丝、弯头等安装辅材含在本次招标范围内，甲方不额外支付费用。与钢管、铸铁管道连接的电磁流量计，乙方提供配套的不锈钢法兰、垫片、螺栓、螺母等连接件，甲方不额外支付费用。</w:t>
      </w:r>
    </w:p>
    <w:p w14:paraId="1A302DF8">
      <w:pPr>
        <w:pStyle w:val="52"/>
        <w:keepNext w:val="0"/>
        <w:keepLines w:val="0"/>
        <w:pageBreakBefore w:val="0"/>
        <w:wordWrap/>
        <w:overflowPunct/>
        <w:topLinePunct w:val="0"/>
        <w:bidi w:val="0"/>
        <w:spacing w:before="0" w:beforeAutospacing="0" w:after="0" w:afterAutospacing="0" w:line="400" w:lineRule="exact"/>
        <w:ind w:firstLine="480"/>
        <w:outlineLvl w:val="9"/>
        <w:rPr>
          <w:rFonts w:hint="eastAsia" w:ascii="宋体" w:hAnsi="宋体" w:eastAsia="宋体" w:cs="宋体"/>
          <w:b/>
          <w:color w:val="auto"/>
          <w:sz w:val="24"/>
          <w:szCs w:val="24"/>
          <w:highlight w:val="none"/>
        </w:rPr>
      </w:pPr>
      <w:bookmarkStart w:id="166" w:name="_Toc10340"/>
      <w:bookmarkStart w:id="167" w:name="_Toc22618"/>
      <w:bookmarkStart w:id="168" w:name="_Toc1814"/>
      <w:r>
        <w:rPr>
          <w:rFonts w:hint="eastAsia" w:ascii="宋体" w:hAnsi="宋体" w:eastAsia="宋体" w:cs="宋体"/>
          <w:b/>
          <w:color w:val="auto"/>
          <w:sz w:val="24"/>
          <w:szCs w:val="24"/>
          <w:highlight w:val="none"/>
        </w:rPr>
        <w:t>三、合同</w:t>
      </w:r>
      <w:r>
        <w:rPr>
          <w:rFonts w:hint="eastAsia" w:ascii="宋体" w:hAnsi="宋体" w:eastAsia="宋体" w:cs="宋体"/>
          <w:b/>
          <w:color w:val="auto"/>
          <w:sz w:val="24"/>
          <w:szCs w:val="24"/>
          <w:highlight w:val="none"/>
          <w:lang w:val="en-US" w:eastAsia="zh-CN"/>
        </w:rPr>
        <w:t>供货</w:t>
      </w:r>
      <w:r>
        <w:rPr>
          <w:rFonts w:hint="eastAsia" w:ascii="宋体" w:hAnsi="宋体" w:eastAsia="宋体" w:cs="宋体"/>
          <w:b/>
          <w:color w:val="auto"/>
          <w:sz w:val="24"/>
          <w:szCs w:val="24"/>
          <w:highlight w:val="none"/>
        </w:rPr>
        <w:t>期限、货物交付期限、地点和联系方式、交付方式</w:t>
      </w:r>
    </w:p>
    <w:p w14:paraId="68D4938C">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p>
    <w:p w14:paraId="5E19A7CB">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☑自合同签订后一次性供货、完成安装调试后自动终止；</w:t>
      </w:r>
    </w:p>
    <w:p w14:paraId="5EF02E0C">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2.交付期限：</w:t>
      </w:r>
      <w:r>
        <w:rPr>
          <w:rFonts w:hint="eastAsia" w:ascii="宋体" w:hAnsi="宋体" w:eastAsia="宋体" w:cs="宋体"/>
          <w:color w:val="auto"/>
          <w:sz w:val="24"/>
          <w:szCs w:val="24"/>
          <w:highlight w:val="none"/>
          <w:lang w:val="en-US" w:eastAsia="zh-CN"/>
        </w:rPr>
        <w:t>接到甲方</w:t>
      </w:r>
      <w:r>
        <w:rPr>
          <w:rFonts w:hint="eastAsia" w:ascii="宋体" w:hAnsi="宋体" w:eastAsia="宋体" w:cs="宋体"/>
          <w:color w:val="auto"/>
          <w:sz w:val="24"/>
          <w:highlight w:val="none"/>
          <w:lang w:val="en-US" w:eastAsia="zh-CN"/>
        </w:rPr>
        <w:t>确认方案后</w:t>
      </w:r>
      <w:r>
        <w:rPr>
          <w:rFonts w:hint="eastAsia" w:ascii="宋体" w:hAnsi="宋体" w:eastAsia="宋体" w:cs="宋体"/>
          <w:color w:val="auto"/>
          <w:sz w:val="24"/>
          <w:szCs w:val="24"/>
          <w:highlight w:val="none"/>
          <w:lang w:val="en-US" w:eastAsia="zh-CN"/>
        </w:rPr>
        <w:t>90天完成安装调试</w:t>
      </w:r>
      <w:r>
        <w:rPr>
          <w:rFonts w:hint="eastAsia" w:ascii="宋体" w:hAnsi="宋体" w:eastAsia="宋体" w:cs="宋体"/>
          <w:color w:val="auto"/>
          <w:sz w:val="24"/>
          <w:szCs w:val="24"/>
          <w:highlight w:val="none"/>
          <w:u w:val="none"/>
        </w:rPr>
        <w:t>；</w:t>
      </w:r>
    </w:p>
    <w:p w14:paraId="6A478E77">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3.交付地点：</w:t>
      </w:r>
      <w:r>
        <w:rPr>
          <w:rFonts w:hint="eastAsia" w:ascii="宋体" w:hAnsi="宋体" w:eastAsia="宋体" w:cs="宋体"/>
          <w:color w:val="auto"/>
          <w:sz w:val="24"/>
          <w:szCs w:val="24"/>
          <w:highlight w:val="none"/>
          <w:u w:val="none"/>
        </w:rPr>
        <w:t>浙江省杭州市钱塘区临江街道红十五路10388-123号，杭州临江环境能源有限公司厂区内</w:t>
      </w:r>
      <w:r>
        <w:rPr>
          <w:rFonts w:hint="eastAsia" w:ascii="宋体" w:hAnsi="宋体" w:eastAsia="宋体" w:cs="宋体"/>
          <w:color w:val="auto"/>
          <w:sz w:val="24"/>
          <w:szCs w:val="24"/>
          <w:highlight w:val="none"/>
          <w:u w:val="none"/>
          <w:lang w:val="en-US" w:eastAsia="zh-CN"/>
        </w:rPr>
        <w:t>甲方指定仓库</w:t>
      </w:r>
      <w:r>
        <w:rPr>
          <w:rFonts w:hint="eastAsia" w:ascii="宋体" w:hAnsi="宋体" w:eastAsia="宋体" w:cs="宋体"/>
          <w:color w:val="auto"/>
          <w:sz w:val="24"/>
          <w:szCs w:val="24"/>
          <w:highlight w:val="none"/>
          <w:u w:val="none"/>
        </w:rPr>
        <w:t>；</w:t>
      </w:r>
    </w:p>
    <w:p w14:paraId="7B969ECC">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4.交付甲方联系人：</w:t>
      </w:r>
      <w:r>
        <w:rPr>
          <w:rFonts w:hint="eastAsia" w:ascii="宋体" w:hAnsi="宋体" w:eastAsia="宋体" w:cs="宋体"/>
          <w:color w:val="auto"/>
          <w:sz w:val="24"/>
          <w:szCs w:val="24"/>
          <w:highlight w:val="none"/>
          <w:u w:val="none"/>
        </w:rPr>
        <w:t>按采购订单要求执行 ；</w:t>
      </w:r>
    </w:p>
    <w:p w14:paraId="15EF7543">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bookmarkStart w:id="169" w:name="_Toc23505"/>
      <w:r>
        <w:rPr>
          <w:rFonts w:hint="eastAsia" w:ascii="宋体" w:hAnsi="宋体" w:eastAsia="宋体" w:cs="宋体"/>
          <w:color w:val="auto"/>
          <w:sz w:val="24"/>
          <w:szCs w:val="24"/>
          <w:highlight w:val="none"/>
        </w:rPr>
        <w:t>5.乙方联系人及联系方式：</w:t>
      </w:r>
      <w:r>
        <w:rPr>
          <w:rFonts w:hint="eastAsia" w:ascii="宋体" w:hAnsi="宋体" w:eastAsia="宋体" w:cs="宋体"/>
          <w:color w:val="auto"/>
          <w:sz w:val="24"/>
          <w:szCs w:val="24"/>
          <w:highlight w:val="none"/>
          <w:u w:val="single"/>
        </w:rPr>
        <w:t xml:space="preserve">             ；</w:t>
      </w:r>
      <w:bookmarkEnd w:id="169"/>
    </w:p>
    <w:p w14:paraId="20FC9425">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6.交付方式：</w:t>
      </w:r>
      <w:r>
        <w:rPr>
          <w:rFonts w:hint="eastAsia" w:ascii="宋体" w:hAnsi="宋体" w:eastAsia="宋体" w:cs="宋体"/>
          <w:color w:val="auto"/>
          <w:sz w:val="24"/>
          <w:szCs w:val="24"/>
          <w:highlight w:val="none"/>
          <w:u w:val="none"/>
        </w:rPr>
        <w:t xml:space="preserve"> 按采购订单要求执行 ，基本要求如下： </w:t>
      </w:r>
    </w:p>
    <w:p w14:paraId="1171C862">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（1）推荐乙方安排自有员工送货到甲方指定地点；</w:t>
      </w:r>
    </w:p>
    <w:p w14:paraId="021F754B">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（2）乙方委托物流公司交货的，乙方应提前告知甲方经办人员，同时须授权物流人员办理交货、验收、退换货等事宜。</w:t>
      </w:r>
    </w:p>
    <w:p w14:paraId="1A6773C3">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（3）特殊情况下，双方友好协商解决。</w:t>
      </w:r>
    </w:p>
    <w:p w14:paraId="23C388BA">
      <w:pPr>
        <w:pStyle w:val="52"/>
        <w:keepNext w:val="0"/>
        <w:keepLines w:val="0"/>
        <w:pageBreakBefore w:val="0"/>
        <w:wordWrap/>
        <w:overflowPunct/>
        <w:topLinePunct w:val="0"/>
        <w:bidi w:val="0"/>
        <w:spacing w:before="0" w:beforeAutospacing="0" w:after="0" w:afterAutospacing="0" w:line="400" w:lineRule="exact"/>
        <w:ind w:firstLine="48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四、技术和质量要求</w:t>
      </w:r>
    </w:p>
    <w:p w14:paraId="72C73FB3">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color w:val="auto"/>
          <w:sz w:val="24"/>
          <w:highlight w:val="none"/>
          <w:lang w:val="en-US" w:eastAsia="zh-CN"/>
        </w:rPr>
      </w:pPr>
      <w:bookmarkStart w:id="170" w:name="_Toc14563"/>
      <w:bookmarkStart w:id="171" w:name="_Toc1125"/>
      <w:bookmarkStart w:id="172" w:name="_Toc6596"/>
      <w:r>
        <w:rPr>
          <w:rFonts w:hint="eastAsia" w:ascii="宋体" w:hAnsi="宋体" w:eastAsia="宋体" w:cs="宋体"/>
          <w:b/>
          <w:bCs/>
          <w:color w:val="auto"/>
          <w:sz w:val="24"/>
          <w:highlight w:val="none"/>
          <w:lang w:val="en-US" w:eastAsia="zh-CN"/>
        </w:rPr>
        <w:t>四、技术要求</w:t>
      </w:r>
    </w:p>
    <w:p w14:paraId="7AD639C6">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1.满足但不限于以下规范和标准</w:t>
      </w:r>
    </w:p>
    <w:p w14:paraId="408E11F3">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甲方提供的设计图纸、情况说明等；</w:t>
      </w:r>
    </w:p>
    <w:p w14:paraId="5C178226">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GB/T17367-1998《取水许可技术考核与管理通则》；</w:t>
      </w:r>
    </w:p>
    <w:p w14:paraId="41656588">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GBJ566-88《计算机软件开发规范》；</w:t>
      </w:r>
    </w:p>
    <w:p w14:paraId="63333DFB">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SL324-2005《基础水文数据库表结构及标识符标准》；</w:t>
      </w:r>
    </w:p>
    <w:p w14:paraId="76D246B7">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SL380-2007《水资源监控管理数据库表结构及标识符标准》；</w:t>
      </w:r>
    </w:p>
    <w:p w14:paraId="31060B7A">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SL61-2003《水文自动测报系统技术规范》；</w:t>
      </w:r>
    </w:p>
    <w:p w14:paraId="577EE819">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SL426-2008《水资源监控设备基本技术条件》；</w:t>
      </w:r>
    </w:p>
    <w:p w14:paraId="384772FB">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SL427-2008《水资源监控管理系统数据传输规约》；</w:t>
      </w:r>
    </w:p>
    <w:p w14:paraId="05BDE56D">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rPr>
        <w:t>GB/T 30094-2013《工业以太网交</w:t>
      </w:r>
      <w:r>
        <w:rPr>
          <w:rFonts w:hint="eastAsia" w:ascii="宋体" w:hAnsi="宋体" w:eastAsia="宋体" w:cs="宋体"/>
          <w:color w:val="auto"/>
          <w:sz w:val="24"/>
          <w:highlight w:val="none"/>
          <w:lang w:bidi="ar"/>
        </w:rPr>
        <w:t>换机技术规范》</w:t>
      </w:r>
      <w:r>
        <w:rPr>
          <w:rFonts w:hint="eastAsia" w:ascii="宋体" w:hAnsi="宋体" w:eastAsia="宋体" w:cs="宋体"/>
          <w:color w:val="auto"/>
          <w:sz w:val="24"/>
          <w:highlight w:val="none"/>
          <w:lang w:eastAsia="zh-CN" w:bidi="ar"/>
        </w:rPr>
        <w:t>；</w:t>
      </w:r>
    </w:p>
    <w:p w14:paraId="572DDBD7">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GB/T 41267-2022《网络关键设备安全技术要求 交换机设备》</w:t>
      </w:r>
      <w:r>
        <w:rPr>
          <w:rFonts w:hint="eastAsia" w:ascii="宋体" w:hAnsi="宋体" w:eastAsia="宋体" w:cs="宋体"/>
          <w:color w:val="auto"/>
          <w:sz w:val="24"/>
          <w:highlight w:val="none"/>
          <w:lang w:eastAsia="zh-CN" w:bidi="ar"/>
        </w:rPr>
        <w:t>；</w:t>
      </w:r>
    </w:p>
    <w:p w14:paraId="2F5DBF82">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GB/T 21050-2019《信息安全技术 网络交换机安全技术要求》</w:t>
      </w:r>
      <w:r>
        <w:rPr>
          <w:rFonts w:hint="eastAsia" w:ascii="宋体" w:hAnsi="宋体" w:eastAsia="宋体" w:cs="宋体"/>
          <w:color w:val="auto"/>
          <w:sz w:val="24"/>
          <w:highlight w:val="none"/>
          <w:lang w:eastAsia="zh-CN" w:bidi="ar"/>
        </w:rPr>
        <w:t>；</w:t>
      </w:r>
    </w:p>
    <w:p w14:paraId="667963A4">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GB 4943.1-2011《信息技术设备安全 第 1 部分：通用要求》</w:t>
      </w:r>
      <w:r>
        <w:rPr>
          <w:rFonts w:hint="eastAsia" w:ascii="宋体" w:hAnsi="宋体" w:eastAsia="宋体" w:cs="宋体"/>
          <w:color w:val="auto"/>
          <w:sz w:val="24"/>
          <w:highlight w:val="none"/>
          <w:lang w:eastAsia="zh-CN" w:bidi="ar"/>
        </w:rPr>
        <w:t>；</w:t>
      </w:r>
    </w:p>
    <w:p w14:paraId="4F31DF6D">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GB/T 26225-2010《信息技术 移动存储 闪存盘通用规范》</w:t>
      </w:r>
      <w:r>
        <w:rPr>
          <w:rFonts w:hint="eastAsia" w:ascii="宋体" w:hAnsi="宋体" w:eastAsia="宋体" w:cs="宋体"/>
          <w:color w:val="auto"/>
          <w:sz w:val="24"/>
          <w:highlight w:val="none"/>
          <w:lang w:eastAsia="zh-CN" w:bidi="ar"/>
        </w:rPr>
        <w:t>；</w:t>
      </w:r>
    </w:p>
    <w:p w14:paraId="3837D65A">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GB/T 28220-2011《信息技术 固态硬盘通用规范》</w:t>
      </w:r>
      <w:r>
        <w:rPr>
          <w:rFonts w:hint="eastAsia" w:ascii="宋体" w:hAnsi="宋体" w:eastAsia="宋体" w:cs="宋体"/>
          <w:color w:val="auto"/>
          <w:sz w:val="24"/>
          <w:highlight w:val="none"/>
          <w:lang w:eastAsia="zh-CN" w:bidi="ar"/>
        </w:rPr>
        <w:t>；</w:t>
      </w:r>
    </w:p>
    <w:p w14:paraId="7724A3F0">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39680-2020《信息安全技术 服务器安全技术要求和测评准则》</w:t>
      </w:r>
      <w:r>
        <w:rPr>
          <w:rFonts w:hint="eastAsia" w:ascii="宋体" w:hAnsi="宋体" w:eastAsia="宋体" w:cs="宋体"/>
          <w:color w:val="auto"/>
          <w:sz w:val="24"/>
          <w:highlight w:val="none"/>
          <w:lang w:eastAsia="zh-CN"/>
        </w:rPr>
        <w:t>；</w:t>
      </w:r>
    </w:p>
    <w:p w14:paraId="13ED8A77">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 43630-2023《塔式和机架式服务器能效限定值及能效等级》</w:t>
      </w:r>
      <w:r>
        <w:rPr>
          <w:rFonts w:hint="eastAsia" w:ascii="宋体" w:hAnsi="宋体" w:eastAsia="宋体" w:cs="宋体"/>
          <w:color w:val="auto"/>
          <w:sz w:val="24"/>
          <w:highlight w:val="none"/>
          <w:lang w:eastAsia="zh-CN"/>
        </w:rPr>
        <w:t>；</w:t>
      </w:r>
    </w:p>
    <w:p w14:paraId="2BA02214">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9813.3-2017《计算机通用规范 第 3 部分：服务器》</w:t>
      </w:r>
      <w:r>
        <w:rPr>
          <w:rFonts w:hint="eastAsia" w:ascii="宋体" w:hAnsi="宋体" w:eastAsia="宋体" w:cs="宋体"/>
          <w:color w:val="auto"/>
          <w:sz w:val="24"/>
          <w:highlight w:val="none"/>
          <w:lang w:eastAsia="zh-CN"/>
        </w:rPr>
        <w:t>；</w:t>
      </w:r>
    </w:p>
    <w:p w14:paraId="0C6837C7">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39680-2020《信息安全技术 服务器安全技术要求和测评准则》</w:t>
      </w:r>
      <w:r>
        <w:rPr>
          <w:rFonts w:hint="eastAsia" w:ascii="宋体" w:hAnsi="宋体" w:eastAsia="宋体" w:cs="宋体"/>
          <w:color w:val="auto"/>
          <w:sz w:val="24"/>
          <w:highlight w:val="none"/>
          <w:lang w:eastAsia="zh-CN"/>
        </w:rPr>
        <w:t>；</w:t>
      </w:r>
    </w:p>
    <w:p w14:paraId="7858D54E">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 43630-2023《塔式和机架式服务器能效限定值及能效等级》</w:t>
      </w:r>
      <w:r>
        <w:rPr>
          <w:rFonts w:hint="eastAsia" w:ascii="宋体" w:hAnsi="宋体" w:eastAsia="宋体" w:cs="宋体"/>
          <w:color w:val="auto"/>
          <w:sz w:val="24"/>
          <w:highlight w:val="none"/>
          <w:lang w:eastAsia="zh-CN"/>
        </w:rPr>
        <w:t>；</w:t>
      </w:r>
    </w:p>
    <w:p w14:paraId="36DB2D25">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5013-2008《额定电压 450/750V 及以下橡皮绝缘电缆》</w:t>
      </w:r>
      <w:r>
        <w:rPr>
          <w:rFonts w:hint="eastAsia" w:ascii="宋体" w:hAnsi="宋体" w:eastAsia="宋体" w:cs="宋体"/>
          <w:color w:val="auto"/>
          <w:sz w:val="24"/>
          <w:highlight w:val="none"/>
          <w:lang w:eastAsia="zh-CN"/>
        </w:rPr>
        <w:t>；</w:t>
      </w:r>
    </w:p>
    <w:p w14:paraId="304735F5">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5023-2008《额定电压 450/750V 及以下聚氯乙烯绝缘电缆》</w:t>
      </w:r>
      <w:r>
        <w:rPr>
          <w:rFonts w:hint="eastAsia" w:ascii="宋体" w:hAnsi="宋体" w:eastAsia="宋体" w:cs="宋体"/>
          <w:color w:val="auto"/>
          <w:sz w:val="24"/>
          <w:highlight w:val="none"/>
          <w:lang w:eastAsia="zh-CN"/>
        </w:rPr>
        <w:t>；</w:t>
      </w:r>
    </w:p>
    <w:p w14:paraId="1D4D55D9">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9330-2020《塑料绝缘控制电缆》</w:t>
      </w:r>
      <w:r>
        <w:rPr>
          <w:rFonts w:hint="eastAsia" w:ascii="宋体" w:hAnsi="宋体" w:eastAsia="宋体" w:cs="宋体"/>
          <w:color w:val="auto"/>
          <w:sz w:val="24"/>
          <w:highlight w:val="none"/>
          <w:lang w:eastAsia="zh-CN"/>
        </w:rPr>
        <w:t>；</w:t>
      </w:r>
    </w:p>
    <w:p w14:paraId="514193A2">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GB/T 12706.1-2020《额定电压 1kV (Um=1.2kV) 到 3kV (Um=3.6kV) 电缆》</w:t>
      </w:r>
      <w:r>
        <w:rPr>
          <w:rFonts w:hint="eastAsia" w:ascii="宋体" w:hAnsi="宋体" w:eastAsia="宋体" w:cs="宋体"/>
          <w:color w:val="auto"/>
          <w:sz w:val="24"/>
          <w:highlight w:val="none"/>
          <w:lang w:eastAsia="zh-CN"/>
        </w:rPr>
        <w:t>；</w:t>
      </w:r>
    </w:p>
    <w:p w14:paraId="7C5EF041">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GB/T 12706.2-2008《额定电压 6kV (Um=7.2kV) 到 35kV (Um=40.5kV) 挤包绝缘电力电缆及附件》；</w:t>
      </w:r>
    </w:p>
    <w:p w14:paraId="60946EDC">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2.改造前准备工作要求</w:t>
      </w:r>
    </w:p>
    <w:p w14:paraId="6DB3D753">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（1）乙方根据甲方提供的技术文件和现场实际情况，编制详细切实可行改造方案，经批准后实施。</w:t>
      </w:r>
    </w:p>
    <w:p w14:paraId="5CC091E8">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（2）乙方实施人员经安全培训后方可上岗，各工种人员须持证上岗。</w:t>
      </w:r>
    </w:p>
    <w:p w14:paraId="3D4C2A6E">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（3）乙方在实施作业区域设置警戒标志，落实安全措施。</w:t>
      </w:r>
    </w:p>
    <w:p w14:paraId="3B18D71C">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（4）乙方进场实施前必须办理好各类安全作业票证，严禁违章作业。</w:t>
      </w:r>
    </w:p>
    <w:p w14:paraId="0BA3DADE">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color w:val="auto"/>
          <w:sz w:val="24"/>
          <w:highlight w:val="none"/>
          <w:lang w:val="en-US" w:eastAsia="zh-CN" w:bidi="ar"/>
        </w:rPr>
      </w:pPr>
      <w:r>
        <w:rPr>
          <w:rFonts w:hint="eastAsia" w:ascii="宋体" w:hAnsi="宋体" w:eastAsia="宋体" w:cs="宋体"/>
          <w:b/>
          <w:bCs/>
          <w:color w:val="auto"/>
          <w:sz w:val="24"/>
          <w:highlight w:val="none"/>
          <w:lang w:val="en-US" w:eastAsia="zh-CN" w:bidi="ar"/>
        </w:rPr>
        <w:t>3.设备供电方式</w:t>
      </w:r>
    </w:p>
    <w:p w14:paraId="333C8026">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现场供电方式主要以集中供电方式运行，在多个水表集中区域利用控制箱集中供电，水表控制柜采用市电、蓄电池备用方案；同时考虑现场部分区域取电不便、不便于管理，优先考虑采用光伏供电；对于室内较为内部位置，均采用敷设电源电缆至电子间取电；室内网络控制柜，布置在弱电间附近由弱电间集中供电。</w:t>
      </w:r>
    </w:p>
    <w:p w14:paraId="4E5ED649">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color w:val="auto"/>
          <w:sz w:val="24"/>
          <w:highlight w:val="none"/>
          <w:lang w:val="en-US" w:eastAsia="zh-CN" w:bidi="ar"/>
        </w:rPr>
      </w:pPr>
      <w:r>
        <w:rPr>
          <w:rFonts w:hint="eastAsia" w:ascii="宋体" w:hAnsi="宋体" w:eastAsia="宋体" w:cs="宋体"/>
          <w:b/>
          <w:bCs/>
          <w:color w:val="auto"/>
          <w:sz w:val="24"/>
          <w:highlight w:val="none"/>
          <w:lang w:val="en-US" w:eastAsia="zh-CN" w:bidi="ar"/>
        </w:rPr>
        <w:t>4.数据传输方式</w:t>
      </w:r>
    </w:p>
    <w:p w14:paraId="3E8D96EB">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采用4G无线通讯方式进行用水信息数据传输。</w:t>
      </w:r>
    </w:p>
    <w:p w14:paraId="27356A50">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color w:val="auto"/>
          <w:sz w:val="24"/>
          <w:highlight w:val="none"/>
          <w:lang w:val="en-US" w:eastAsia="zh-CN" w:bidi="ar"/>
        </w:rPr>
      </w:pPr>
      <w:r>
        <w:rPr>
          <w:rFonts w:hint="eastAsia" w:ascii="宋体" w:hAnsi="宋体" w:eastAsia="宋体" w:cs="宋体"/>
          <w:b/>
          <w:bCs/>
          <w:color w:val="auto"/>
          <w:sz w:val="24"/>
          <w:highlight w:val="none"/>
          <w:lang w:val="en-US" w:eastAsia="zh-CN" w:bidi="ar"/>
        </w:rPr>
        <w:t>5.电磁流量计要求</w:t>
      </w:r>
    </w:p>
    <w:p w14:paraId="375C3448">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（1）要求年故障率不得大于2% ；</w:t>
      </w:r>
    </w:p>
    <w:p w14:paraId="668D6092">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zh-CN" w:eastAsia="zh-CN" w:bidi="ar"/>
        </w:rPr>
      </w:pPr>
      <w:r>
        <w:rPr>
          <w:rFonts w:hint="eastAsia" w:ascii="宋体" w:hAnsi="宋体" w:eastAsia="宋体" w:cs="宋体"/>
          <w:color w:val="auto"/>
          <w:sz w:val="24"/>
          <w:highlight w:val="none"/>
          <w:lang w:val="zh-CN" w:eastAsia="zh-CN" w:bidi="ar"/>
        </w:rPr>
        <w:t>（</w:t>
      </w: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CN" w:eastAsia="zh-CN" w:bidi="ar"/>
        </w:rPr>
        <w:t>）供电电源：</w:t>
      </w:r>
      <w:r>
        <w:rPr>
          <w:rFonts w:hint="eastAsia" w:ascii="宋体" w:hAnsi="宋体" w:eastAsia="宋体" w:cs="宋体"/>
          <w:color w:val="auto"/>
          <w:sz w:val="24"/>
          <w:highlight w:val="none"/>
          <w:lang w:val="en-US" w:eastAsia="zh-CN" w:bidi="ar"/>
        </w:rPr>
        <w:t>直流24V</w:t>
      </w:r>
      <w:r>
        <w:rPr>
          <w:rFonts w:hint="eastAsia" w:ascii="宋体" w:hAnsi="宋体" w:eastAsia="宋体" w:cs="宋体"/>
          <w:color w:val="auto"/>
          <w:sz w:val="24"/>
          <w:highlight w:val="none"/>
          <w:lang w:val="zh-CN" w:eastAsia="zh-CN" w:bidi="ar"/>
        </w:rPr>
        <w:t>；</w:t>
      </w:r>
      <w:r>
        <w:rPr>
          <w:rFonts w:hint="eastAsia" w:ascii="宋体" w:hAnsi="宋体" w:eastAsia="宋体" w:cs="宋体"/>
          <w:color w:val="auto"/>
          <w:sz w:val="24"/>
          <w:highlight w:val="none"/>
          <w:lang w:val="en-US" w:eastAsia="zh-CN" w:bidi="ar"/>
        </w:rPr>
        <w:t>断电自动储存系统数据；</w:t>
      </w:r>
    </w:p>
    <w:p w14:paraId="468B0FB4">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zh-CN" w:eastAsia="zh-CN" w:bidi="ar"/>
        </w:rPr>
      </w:pPr>
      <w:r>
        <w:rPr>
          <w:rFonts w:hint="eastAsia" w:ascii="宋体" w:hAnsi="宋体" w:eastAsia="宋体" w:cs="宋体"/>
          <w:color w:val="auto"/>
          <w:sz w:val="24"/>
          <w:highlight w:val="none"/>
          <w:lang w:val="zh-CN" w:eastAsia="zh-CN" w:bidi="ar"/>
        </w:rPr>
        <w:t>（</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val="zh-CN" w:eastAsia="zh-CN" w:bidi="ar"/>
        </w:rPr>
        <w:t>）输出信号：</w:t>
      </w:r>
      <w:r>
        <w:rPr>
          <w:rFonts w:hint="eastAsia" w:ascii="宋体" w:hAnsi="宋体" w:eastAsia="宋体" w:cs="宋体"/>
          <w:color w:val="auto"/>
          <w:sz w:val="24"/>
          <w:highlight w:val="none"/>
          <w:lang w:val="en-US" w:eastAsia="zh-CN" w:bidi="ar"/>
        </w:rPr>
        <w:t>标准RS485接口</w:t>
      </w:r>
      <w:r>
        <w:rPr>
          <w:rFonts w:hint="eastAsia" w:ascii="宋体" w:hAnsi="宋体" w:eastAsia="宋体" w:cs="宋体"/>
          <w:color w:val="auto"/>
          <w:sz w:val="24"/>
          <w:highlight w:val="none"/>
          <w:lang w:val="zh-CN" w:eastAsia="zh-CN" w:bidi="ar"/>
        </w:rPr>
        <w:t>；</w:t>
      </w:r>
    </w:p>
    <w:p w14:paraId="581FE5D4">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zh-CN" w:eastAsia="zh-CN" w:bidi="ar"/>
        </w:rPr>
      </w:pPr>
      <w:r>
        <w:rPr>
          <w:rFonts w:hint="eastAsia" w:ascii="宋体" w:hAnsi="宋体" w:eastAsia="宋体" w:cs="宋体"/>
          <w:color w:val="auto"/>
          <w:sz w:val="24"/>
          <w:highlight w:val="none"/>
          <w:lang w:val="zh-CN" w:eastAsia="zh-CN" w:bidi="ar"/>
        </w:rPr>
        <w:t>（</w:t>
      </w:r>
      <w:r>
        <w:rPr>
          <w:rFonts w:hint="eastAsia" w:ascii="宋体" w:hAnsi="宋体" w:eastAsia="宋体" w:cs="宋体"/>
          <w:color w:val="auto"/>
          <w:sz w:val="24"/>
          <w:highlight w:val="none"/>
          <w:lang w:val="en-US" w:eastAsia="zh-CN" w:bidi="ar"/>
        </w:rPr>
        <w:t>4</w:t>
      </w:r>
      <w:r>
        <w:rPr>
          <w:rFonts w:hint="eastAsia" w:ascii="宋体" w:hAnsi="宋体" w:eastAsia="宋体" w:cs="宋体"/>
          <w:color w:val="auto"/>
          <w:sz w:val="24"/>
          <w:highlight w:val="none"/>
          <w:lang w:val="zh-CN" w:eastAsia="zh-CN" w:bidi="ar"/>
        </w:rPr>
        <w:t>）通讯协议：M</w:t>
      </w:r>
      <w:r>
        <w:rPr>
          <w:rFonts w:hint="eastAsia" w:ascii="宋体" w:hAnsi="宋体" w:eastAsia="宋体" w:cs="宋体"/>
          <w:color w:val="auto"/>
          <w:sz w:val="24"/>
          <w:highlight w:val="none"/>
          <w:lang w:val="en-US" w:eastAsia="zh-CN" w:bidi="ar"/>
        </w:rPr>
        <w:t>odbus</w:t>
      </w:r>
      <w:r>
        <w:rPr>
          <w:rFonts w:hint="eastAsia" w:ascii="宋体" w:hAnsi="宋体" w:eastAsia="宋体" w:cs="宋体"/>
          <w:color w:val="auto"/>
          <w:sz w:val="24"/>
          <w:highlight w:val="none"/>
          <w:lang w:val="zh-CN" w:eastAsia="zh-CN" w:bidi="ar"/>
        </w:rPr>
        <w:t>通讯协议；</w:t>
      </w:r>
    </w:p>
    <w:p w14:paraId="252D7B0C">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zh-CN" w:eastAsia="zh-CN" w:bidi="ar"/>
        </w:rPr>
        <w:t>（</w:t>
      </w: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val="zh-CN" w:eastAsia="zh-CN" w:bidi="ar"/>
        </w:rPr>
        <w:t>）精度：＜±0.2%或＜±0.5%</w:t>
      </w:r>
      <w:r>
        <w:rPr>
          <w:rFonts w:hint="eastAsia" w:ascii="宋体" w:hAnsi="宋体" w:eastAsia="宋体" w:cs="宋体"/>
          <w:color w:val="auto"/>
          <w:sz w:val="24"/>
          <w:highlight w:val="none"/>
          <w:lang w:val="en-US" w:eastAsia="zh-CN" w:bidi="ar"/>
        </w:rPr>
        <w:t>；</w:t>
      </w:r>
    </w:p>
    <w:p w14:paraId="415D75E7">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（6）重复性：±0.1%；</w:t>
      </w:r>
    </w:p>
    <w:p w14:paraId="665D3D09">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（7）允许介质最高温度：一体型＜90℃，分体型＜180℃；</w:t>
      </w:r>
    </w:p>
    <w:p w14:paraId="0216B38C">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 xml:space="preserve">（8）环境温度：-20- +60C  ； </w:t>
      </w:r>
    </w:p>
    <w:p w14:paraId="06609790">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（9）介质：水；</w:t>
      </w:r>
    </w:p>
    <w:p w14:paraId="0DAC9914">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（10）温度： 0- +60 ℃；</w:t>
      </w:r>
    </w:p>
    <w:p w14:paraId="336F402E">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（11）防护等级：IP65及以上；</w:t>
      </w:r>
    </w:p>
    <w:p w14:paraId="3CDD47AB">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（12）双频励磁技术，强抗干扰能力；</w:t>
      </w:r>
    </w:p>
    <w:p w14:paraId="4E1C25A4">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（13）量程比100:1</w:t>
      </w:r>
      <w:r>
        <w:rPr>
          <w:rFonts w:hint="eastAsia" w:ascii="宋体" w:hAnsi="宋体" w:eastAsia="宋体" w:cs="宋体"/>
          <w:color w:val="auto"/>
          <w:sz w:val="24"/>
          <w:highlight w:val="none"/>
          <w:lang w:val="en-US" w:eastAsia="zh-CN" w:bidi="ar"/>
        </w:rPr>
        <w:tab/>
      </w:r>
      <w:r>
        <w:rPr>
          <w:rFonts w:hint="eastAsia" w:ascii="宋体" w:hAnsi="宋体" w:eastAsia="宋体" w:cs="宋体"/>
          <w:color w:val="auto"/>
          <w:sz w:val="24"/>
          <w:highlight w:val="none"/>
          <w:lang w:val="en-US" w:eastAsia="zh-CN" w:bidi="ar"/>
        </w:rPr>
        <w:t>；</w:t>
      </w:r>
    </w:p>
    <w:p w14:paraId="299F1D1B">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（13）电子单元：微处理器、自动校零、自诊断；</w:t>
      </w:r>
    </w:p>
    <w:p w14:paraId="14BBE69F">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（14）电极材料：316不锈钢；</w:t>
      </w:r>
    </w:p>
    <w:p w14:paraId="4F77D415">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（15）直管段：应满足前5D（直径）后3D安装要求；</w:t>
      </w:r>
    </w:p>
    <w:p w14:paraId="061EF716">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（16）断电时的数据安全性：数据（如参数、累计值等）是由EEPROM储存。不需要备用电池；</w:t>
      </w:r>
    </w:p>
    <w:p w14:paraId="528E30F6">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（17）自诊断功能 ：出现报警时，系统报警、过程报警、设置报警和警告以及体的对策会一起显示。</w:t>
      </w:r>
    </w:p>
    <w:p w14:paraId="25EDF996">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zh-CN" w:eastAsia="zh-CN" w:bidi="ar"/>
        </w:rPr>
      </w:pPr>
      <w:r>
        <w:rPr>
          <w:rFonts w:hint="eastAsia" w:ascii="宋体" w:hAnsi="宋体" w:eastAsia="宋体" w:cs="宋体"/>
          <w:color w:val="auto"/>
          <w:sz w:val="24"/>
          <w:highlight w:val="none"/>
          <w:lang w:val="zh-CN" w:eastAsia="zh-CN" w:bidi="ar"/>
        </w:rPr>
        <w:t>（</w:t>
      </w:r>
      <w:r>
        <w:rPr>
          <w:rFonts w:hint="eastAsia" w:ascii="宋体" w:hAnsi="宋体" w:eastAsia="宋体" w:cs="宋体"/>
          <w:color w:val="auto"/>
          <w:sz w:val="24"/>
          <w:highlight w:val="none"/>
          <w:lang w:val="en-US" w:eastAsia="zh-CN" w:bidi="ar"/>
        </w:rPr>
        <w:t>18</w:t>
      </w:r>
      <w:r>
        <w:rPr>
          <w:rFonts w:hint="eastAsia" w:ascii="宋体" w:hAnsi="宋体" w:eastAsia="宋体" w:cs="宋体"/>
          <w:color w:val="auto"/>
          <w:sz w:val="24"/>
          <w:highlight w:val="none"/>
          <w:lang w:val="zh-CN" w:eastAsia="zh-CN" w:bidi="ar"/>
        </w:rPr>
        <w:t>）连接形式：法兰连接；</w:t>
      </w:r>
    </w:p>
    <w:p w14:paraId="3CD0209F">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ab/>
      </w:r>
      <w:r>
        <w:rPr>
          <w:rFonts w:hint="eastAsia" w:ascii="宋体" w:hAnsi="宋体" w:eastAsia="宋体" w:cs="宋体"/>
          <w:color w:val="auto"/>
          <w:sz w:val="24"/>
          <w:highlight w:val="none"/>
          <w:lang w:val="en-US" w:eastAsia="zh-CN" w:bidi="ar"/>
        </w:rPr>
        <w:t>（19）电磁流量计应易于操作，具备更换电和电极粘污度诊断功能。</w:t>
      </w:r>
    </w:p>
    <w:p w14:paraId="6DA0FFA9">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color w:val="auto"/>
          <w:sz w:val="24"/>
          <w:highlight w:val="none"/>
          <w:lang w:val="en-US" w:eastAsia="zh-CN" w:bidi="ar"/>
        </w:rPr>
      </w:pPr>
      <w:r>
        <w:rPr>
          <w:rFonts w:hint="eastAsia" w:ascii="宋体" w:hAnsi="宋体" w:eastAsia="宋体" w:cs="宋体"/>
          <w:b/>
          <w:bCs/>
          <w:color w:val="auto"/>
          <w:sz w:val="24"/>
          <w:highlight w:val="none"/>
          <w:lang w:val="en-US" w:eastAsia="zh-CN" w:bidi="ar"/>
        </w:rPr>
        <w:t>6.无线通讯模块要求</w:t>
      </w:r>
    </w:p>
    <w:p w14:paraId="1ED3A614">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通讯终端应具备RS232、 RS485标准通讯接口和MODBUS RTU、MODBUS ASC Ⅱ工业标准通讯协议，能与流量积算仪/采集器进行通讯，读取流量积算仪中的各种测量参数及工作参数。通讯速率1200～115200bps，通信模式可设置。</w:t>
      </w:r>
    </w:p>
    <w:p w14:paraId="41AE1D9B">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设备具有自动拨号、断线重拨功能,在4G/5G网络状况不稳定时，具有自动恢复通讯能力,保证系统稳定工作,无需人为干预；当所处区域信号较弱时，可通过改动模块的信号接收和发送强度来使模块正常通讯。</w:t>
      </w:r>
    </w:p>
    <w:p w14:paraId="77DF5C23">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（1）具备加密功能（RSA+SM4两种加密算法），提供解密开发包；</w:t>
      </w:r>
    </w:p>
    <w:p w14:paraId="2E617786">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（2）4G全网通支持7模15频，支持后续5G拓展；</w:t>
      </w:r>
    </w:p>
    <w:p w14:paraId="1A21FF79">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（3）支持远程固件升级；</w:t>
      </w:r>
    </w:p>
    <w:p w14:paraId="018434E5">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（4）支持远程修改通讯参数；</w:t>
      </w:r>
    </w:p>
    <w:p w14:paraId="38241873">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（5）具备232、485双串口；</w:t>
      </w:r>
    </w:p>
    <w:p w14:paraId="26369282">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（6）波特率1200-460800bits/s可调；</w:t>
      </w:r>
    </w:p>
    <w:p w14:paraId="3E169408">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（7）工作电压：9—36V；</w:t>
      </w:r>
    </w:p>
    <w:p w14:paraId="3737B12D">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（8）工作温度：-40℃-85℃；</w:t>
      </w:r>
    </w:p>
    <w:p w14:paraId="03FBF95C">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（9）工作电流：小于100mA。</w:t>
      </w:r>
    </w:p>
    <w:p w14:paraId="650830D5">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color w:val="auto"/>
          <w:sz w:val="24"/>
          <w:highlight w:val="none"/>
          <w:lang w:val="en-US" w:eastAsia="zh-CN" w:bidi="ar"/>
        </w:rPr>
      </w:pPr>
      <w:r>
        <w:rPr>
          <w:rFonts w:hint="eastAsia" w:ascii="宋体" w:hAnsi="宋体" w:eastAsia="宋体" w:cs="宋体"/>
          <w:b/>
          <w:bCs/>
          <w:color w:val="auto"/>
          <w:sz w:val="24"/>
          <w:highlight w:val="none"/>
          <w:lang w:val="en-US" w:eastAsia="zh-CN" w:bidi="ar"/>
        </w:rPr>
        <w:t>7.供水在线监测系统功能要求</w:t>
      </w:r>
    </w:p>
    <w:p w14:paraId="229FF5F1">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（1）自动抄表功能：提高水量计量的时效性和准确性，具备计费页面；</w:t>
      </w:r>
    </w:p>
    <w:p w14:paraId="33EB8CC1">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（2）表计档案功能：主要实现水表及用户信息的新增、修改、删除功能；</w:t>
      </w:r>
    </w:p>
    <w:p w14:paraId="3E6CA4F9">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（3）用户管理功能：主要实现登录系统用户新增、删除、权限分配功能；</w:t>
      </w:r>
    </w:p>
    <w:p w14:paraId="5407DC6B">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（4）模块管理功能：主要实现系统功能模块的配置管理功能；</w:t>
      </w:r>
    </w:p>
    <w:p w14:paraId="57B038C8">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（4）历史曲线功能：主要实现日期到日期的流量、总量曲线，并可以拖动对比、量程自定义等功能，并能快速选取年、月、日等流量、总量曲线；</w:t>
      </w:r>
    </w:p>
    <w:p w14:paraId="3F71C067">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（5）参数设置功能：根据抄表终端功能，设置抄表终端参数（复位命令、校正抄表终端时针、设置抄表终端自动抄表时间、抄表终端表计档案装载）、控制命令、抄表终端状态检测；</w:t>
      </w:r>
    </w:p>
    <w:p w14:paraId="1BDCDD7B">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（6）数据导出：主要实现将系统中的水表信息、用户信息、数据字典等参数数据导出为TXT文本格式，可以将表计日抄读、月抄读数据导成EXCEL格式，便于手工结算；</w:t>
      </w:r>
    </w:p>
    <w:p w14:paraId="047AF4F4">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（7）日抄读：根据抄表终端功能和对抄表终端的相关设置，主要实现抄读抄表终端采集到的水表在当天抄表时段内的数据；</w:t>
      </w:r>
    </w:p>
    <w:p w14:paraId="33A72DC8">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（8）月抄读：根据抄表终端功能和对抄表终端的相关设置，主要实现抄读抄表终端采集到的水表在一个月中某个冻结时间点的数据；</w:t>
      </w:r>
    </w:p>
    <w:p w14:paraId="5E3770E6">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（9）随机抄读：根据抄表终端功能，主要实现抄读抄表终端采集到的水表在规定时间段内任意一天的数据；</w:t>
      </w:r>
    </w:p>
    <w:p w14:paraId="630B409E">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（10）故障报警：根据仪表控制柜传输的内容，在上位机界面显示光字牌故障信息，并记录故障日期、故障类型的功能；</w:t>
      </w:r>
    </w:p>
    <w:p w14:paraId="7D72AB1F">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（11）支持第三方通过标准OPC或者Modbus TCP采集平台数据；</w:t>
      </w:r>
    </w:p>
    <w:p w14:paraId="43FA3863">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（12）安全稳定，系统采用B/S设计架构；</w:t>
      </w:r>
    </w:p>
    <w:p w14:paraId="61EEB748">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（13）远程管理，系统除具有远程集抄功能外、同时具备丰富的远程监控管理功能；</w:t>
      </w:r>
    </w:p>
    <w:p w14:paraId="1BEE7DE8">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（14）表计与中心服务器支持自动校时（如无法网络授时、需提供对时设备进行定时校时）；</w:t>
      </w:r>
    </w:p>
    <w:p w14:paraId="5EF05DAF">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（15）故障报警等功能，能及时发现远传仪表的故障或人为破坏，并自动上报到管理中心，确保计量系统运行可靠，计量数据安全准确；</w:t>
      </w:r>
    </w:p>
    <w:p w14:paraId="36E3BDA0">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（16）同时具备局域网网址和远端网址，支持局域网和互联网访问；</w:t>
      </w:r>
    </w:p>
    <w:p w14:paraId="45740118">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（17）具备与甲方的MIS系统数据连接能力（MIS系统为‌南京科远智慧科技集团股份有限公司提供）、网络拓扑展示以及数据点表、端口拓展能力。</w:t>
      </w:r>
    </w:p>
    <w:p w14:paraId="646ED3D7">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（18）丰富的报表功能：系统提供丰富的报表和查询功能，可从不同管理人员的关注角度进行统计和分析。</w:t>
      </w:r>
    </w:p>
    <w:p w14:paraId="35D9D22A">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b/>
          <w:bCs/>
          <w:color w:val="auto"/>
          <w:sz w:val="24"/>
          <w:highlight w:val="none"/>
          <w:lang w:val="en-US" w:eastAsia="zh-CN" w:bidi="ar"/>
        </w:rPr>
        <w:t>8.质保要求</w:t>
      </w:r>
      <w:r>
        <w:rPr>
          <w:rFonts w:hint="eastAsia" w:ascii="宋体" w:hAnsi="宋体" w:eastAsia="宋体" w:cs="宋体"/>
          <w:color w:val="auto"/>
          <w:sz w:val="24"/>
          <w:highlight w:val="none"/>
          <w:lang w:val="en-US" w:eastAsia="zh-CN" w:bidi="ar"/>
        </w:rPr>
        <w:t>:</w:t>
      </w:r>
    </w:p>
    <w:p w14:paraId="5D3EB128">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改造后智能水表质保期限自验收合格后不少于12个月（以投标文件为准）。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color w:val="auto"/>
          <w:sz w:val="24"/>
          <w:szCs w:val="24"/>
          <w:highlight w:val="none"/>
        </w:rPr>
      </w:pPr>
      <w:bookmarkStart w:id="173" w:name="_Toc10302"/>
      <w:r>
        <w:rPr>
          <w:rFonts w:hint="eastAsia" w:ascii="宋体" w:hAnsi="宋体" w:eastAsia="宋体" w:cs="宋体"/>
          <w:b/>
          <w:color w:val="auto"/>
          <w:sz w:val="24"/>
          <w:szCs w:val="24"/>
          <w:highlight w:val="none"/>
        </w:rPr>
        <w:t>五、服务要求</w:t>
      </w:r>
      <w:bookmarkEnd w:id="173"/>
    </w:p>
    <w:p w14:paraId="775E04E9">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1.在甲方</w:t>
      </w:r>
      <w:r>
        <w:rPr>
          <w:rFonts w:hint="eastAsia" w:ascii="宋体" w:hAnsi="宋体" w:eastAsia="宋体" w:cs="宋体"/>
          <w:color w:val="auto"/>
          <w:sz w:val="24"/>
          <w:highlight w:val="none"/>
          <w:lang w:val="en-US" w:eastAsia="zh-CN"/>
        </w:rPr>
        <w:t>确认方案后</w:t>
      </w:r>
      <w:r>
        <w:rPr>
          <w:rFonts w:hint="eastAsia" w:ascii="宋体" w:hAnsi="宋体" w:eastAsia="宋体" w:cs="宋体"/>
          <w:color w:val="auto"/>
          <w:sz w:val="24"/>
          <w:highlight w:val="none"/>
          <w:lang w:val="en-US" w:eastAsia="zh-CN" w:bidi="ar"/>
        </w:rPr>
        <w:t>，乙方在90天内完成改造。负责拆除原来的水表工作，拆下来的水表归甲方所有。</w:t>
      </w:r>
    </w:p>
    <w:p w14:paraId="1939B42E">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2.乙方对实施工作人员安全负有全部责任，乙方须为工作人员购买保险，如工伤保险、意外保险等，具体由乙方自行与员工确定，若因此而引起的法律或者经济纠纷，由乙方负全责，甲方不承担任何责任。</w:t>
      </w:r>
    </w:p>
    <w:p w14:paraId="2B6D4B6C">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3.乙方实施人员食宿自理。</w:t>
      </w:r>
    </w:p>
    <w:p w14:paraId="4352FC63">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4.培训要求：智能水表改造完成后，对现场操作和系统管理维护进行培训；熟悉系统平台使用的产品和技术，熟练掌握系统整体情况。</w:t>
      </w:r>
    </w:p>
    <w:p w14:paraId="6FD6060A">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lang w:val="en-US" w:eastAsia="zh-CN" w:bidi="ar"/>
        </w:rPr>
        <w:t>5.保密服务要求：乙方对甲方提供的所有业务技术资料、文档，有责任对第三方保密；乙方在服务过程中涉及第三方产品（中标人提供的），若出现技术、经济或法律上的纠纷，应由乙方全面承担并解决，确保不影响项目的进度。</w:t>
      </w:r>
      <w:r>
        <w:rPr>
          <w:rFonts w:hint="eastAsia" w:ascii="宋体" w:hAnsi="宋体" w:eastAsia="宋体" w:cs="宋体"/>
          <w:color w:val="auto"/>
          <w:kern w:val="0"/>
          <w:sz w:val="24"/>
          <w:szCs w:val="24"/>
          <w:highlight w:val="none"/>
          <w:lang w:val="en-US" w:eastAsia="zh-CN"/>
        </w:rPr>
        <w:t>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7816DB3D">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乙方必须满足甲方售后服务要求。若乙方提供的货物或者服务在使用过程中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2FD0EB2B">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7.甲方不再对任何售后服务进行付费。乙方派遣人员产生的一切费用由乙方承担。</w:t>
      </w:r>
    </w:p>
    <w:p w14:paraId="08F6DACF">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sz w:val="24"/>
          <w:highlight w:val="none"/>
          <w:lang w:val="en-US" w:eastAsia="zh-CN" w:bidi="ar"/>
        </w:rPr>
        <w:t>8.在乙方所供货物或者服务使用过程中，因产品质量问题给他机械设备造成故障或货物损坏，由乙方承担甲方的一切损失，包括直接和间接损失。</w:t>
      </w:r>
    </w:p>
    <w:p w14:paraId="010093FA">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9.乙方应遵守甲方的现场管理制度要求，遵守国家、行业、地方法律法规，不得违章作业，接受甲方的安全教育，出现任何人员安全事故由乙方自行承担。</w:t>
      </w:r>
    </w:p>
    <w:p w14:paraId="0D2A60C2">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sz w:val="24"/>
          <w:highlight w:val="none"/>
          <w:lang w:val="en-US" w:eastAsia="zh-CN" w:bidi="ar"/>
        </w:rPr>
        <w:t>10.乙方应充分考虑实施环境中的有毒有害气体，乙方自备设备专用工具和服务人员的所有劳防用品，如防护服、呼吸器等。</w:t>
      </w:r>
    </w:p>
    <w:p w14:paraId="714E8A96">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bookmarkEnd w:id="170"/>
      <w:bookmarkEnd w:id="171"/>
      <w:bookmarkEnd w:id="172"/>
      <w:r>
        <w:rPr>
          <w:rFonts w:hint="eastAsia" w:ascii="宋体" w:hAnsi="宋体" w:eastAsia="宋体" w:cs="宋体"/>
          <w:b/>
          <w:bCs/>
          <w:color w:val="auto"/>
          <w:kern w:val="0"/>
          <w:sz w:val="24"/>
          <w:szCs w:val="24"/>
          <w:highlight w:val="none"/>
          <w:lang w:val="en-US" w:eastAsia="zh-CN"/>
        </w:rPr>
        <w:t>验收方式及要求</w:t>
      </w:r>
    </w:p>
    <w:p w14:paraId="070B2332">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1.货物交付前，乙方应对货物的质量、数量等方面进行详细、全面的检验，按甲方</w:t>
      </w:r>
      <w:r>
        <w:rPr>
          <w:rFonts w:hint="eastAsia" w:ascii="宋体" w:hAnsi="宋体" w:eastAsia="宋体" w:cs="宋体"/>
          <w:color w:val="auto"/>
          <w:kern w:val="2"/>
          <w:sz w:val="24"/>
          <w:szCs w:val="24"/>
          <w:highlight w:val="none"/>
          <w:lang w:val="en-US" w:eastAsia="zh-CN" w:bidi="ar"/>
        </w:rPr>
        <w:t>要求填制送货清单，乙方送货前应先分类，独立包装或者捆扎，并做好标记卡，物资外包装上须标明物资名称规格型号等信息（详见合同附件1），并随货向甲方验收人员出具证明货物符合合同约定的文件，并加盖公章或者销售章。甲方有权对材料材质进行光谱检测，若材质不满足要求的，乙方无条件予以更换至满足要求为止</w:t>
      </w:r>
      <w:r>
        <w:rPr>
          <w:rFonts w:hint="eastAsia" w:ascii="宋体" w:hAnsi="宋体" w:cs="宋体"/>
          <w:color w:val="auto"/>
          <w:kern w:val="2"/>
          <w:sz w:val="24"/>
          <w:szCs w:val="24"/>
          <w:highlight w:val="none"/>
          <w:lang w:val="en-US" w:eastAsia="zh-CN" w:bidi="ar"/>
        </w:rPr>
        <w:t>。</w:t>
      </w:r>
    </w:p>
    <w:p w14:paraId="37FACA1A">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证明货物符合合同约定的文件是指国产货物包括但不限于合格证、检验报告（制造厂家或者第三方机构）、质量承诺（格式自拟）等证明材料，</w:t>
      </w:r>
      <w:r>
        <w:rPr>
          <w:rFonts w:hint="eastAsia" w:ascii="宋体" w:hAnsi="宋体" w:eastAsia="宋体" w:cs="宋体"/>
          <w:color w:val="auto"/>
          <w:kern w:val="0"/>
          <w:sz w:val="24"/>
          <w:szCs w:val="24"/>
          <w:highlight w:val="none"/>
          <w:lang w:val="en-US" w:eastAsia="zh-CN"/>
        </w:rPr>
        <w:t>进口货物提供质量证明材料，如报关单、原产地证明、质量证明等一种或者多种纸质材料。以下情况在甲方同意的前提下，可采用质量承诺的方式：</w:t>
      </w:r>
    </w:p>
    <w:p w14:paraId="2453043D">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（1）低值易耗或者非标件等货物不能提供合格证或者检测报告的；</w:t>
      </w:r>
    </w:p>
    <w:p w14:paraId="3C3596D4">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（2）非</w:t>
      </w:r>
      <w:r>
        <w:rPr>
          <w:rFonts w:hint="eastAsia" w:ascii="宋体" w:hAnsi="宋体" w:eastAsia="宋体" w:cs="宋体"/>
          <w:color w:val="auto"/>
          <w:kern w:val="2"/>
          <w:sz w:val="24"/>
          <w:szCs w:val="24"/>
          <w:highlight w:val="none"/>
          <w:lang w:val="en-US" w:eastAsia="zh-CN" w:bidi="ar"/>
        </w:rPr>
        <w:t>关键部位的货物，品牌制造商或者集成商采用外购形式的。</w:t>
      </w:r>
    </w:p>
    <w:p w14:paraId="104F78B0">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2.设备在进场时，必须按规定进行检查验收，开箱检验必须由双方有关人员共同进行，并保管好合格证、装箱单和安装使用说明书等资料.</w:t>
      </w:r>
    </w:p>
    <w:p w14:paraId="087A7A40">
      <w:pPr>
        <w:pageBreakBefore w:val="0"/>
        <w:widowControl/>
        <w:kinsoku w:val="0"/>
        <w:overflowPunct/>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3.安装完成后需连续试运行168小时，双方指定人员现场确认试运行结果，乙方提供整体验收报告，试运行期间设备运行正常，满足要求视为验收合格。</w:t>
      </w:r>
    </w:p>
    <w:p w14:paraId="6AFB7AB4">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0178673F">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6.若乙方对甲方验收结果有异议的，可共同取样送至有合法资质的第三方机构检测，因检验验收产生的一切费用由乙方承担，甲方有权从应付乙方货款中扣除（如因税率政策产生的税差问题由乙方承担）。</w:t>
      </w:r>
    </w:p>
    <w:p w14:paraId="42FDBAB2">
      <w:pPr>
        <w:pStyle w:val="8"/>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t>七、验收特别约定条款</w:t>
      </w:r>
    </w:p>
    <w:p w14:paraId="1ED8DF80">
      <w:pPr>
        <w:pStyle w:val="8"/>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提供整体验收报告。</w:t>
      </w:r>
    </w:p>
    <w:p w14:paraId="38A4C281">
      <w:pPr>
        <w:pStyle w:val="8"/>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rPr>
        <w:t>八、</w:t>
      </w:r>
      <w:r>
        <w:rPr>
          <w:rFonts w:hint="eastAsia" w:ascii="宋体" w:hAnsi="宋体" w:eastAsia="宋体" w:cs="宋体"/>
          <w:b/>
          <w:color w:val="auto"/>
          <w:sz w:val="24"/>
          <w:szCs w:val="24"/>
          <w:highlight w:val="none"/>
        </w:rPr>
        <w:t>履约保证金</w:t>
      </w:r>
    </w:p>
    <w:p w14:paraId="5EC12B48">
      <w:pPr>
        <w:pStyle w:val="52"/>
        <w:keepNext w:val="0"/>
        <w:keepLines w:val="0"/>
        <w:pageBreakBefore w:val="0"/>
        <w:kinsoku/>
        <w:wordWrap/>
        <w:overflowPunct/>
        <w:topLinePunct w:val="0"/>
        <w:bidi w:val="0"/>
        <w:spacing w:before="0" w:beforeAutospacing="0" w:after="0" w:afterAutospacing="0" w:line="400" w:lineRule="exact"/>
        <w:ind w:firstLine="48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乙方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sym w:font="Wingdings" w:char="00FE"/>
      </w:r>
      <w:r>
        <w:rPr>
          <w:rFonts w:hint="eastAsia" w:ascii="宋体" w:hAnsi="宋体" w:eastAsia="宋体" w:cs="宋体"/>
          <w:color w:val="auto"/>
          <w:kern w:val="0"/>
          <w:sz w:val="24"/>
          <w:szCs w:val="24"/>
          <w:highlight w:val="none"/>
          <w:u w:val="single"/>
          <w:lang w:val="en-US" w:eastAsia="zh-CN" w:bidi="ar"/>
        </w:rPr>
        <w:t xml:space="preserve">是  </w:t>
      </w:r>
      <w:r>
        <w:rPr>
          <w:rFonts w:hint="eastAsia" w:ascii="宋体" w:hAnsi="宋体" w:eastAsia="宋体" w:cs="宋体"/>
          <w:color w:val="auto"/>
          <w:kern w:val="0"/>
          <w:sz w:val="24"/>
          <w:szCs w:val="24"/>
          <w:highlight w:val="none"/>
          <w:u w:val="single"/>
          <w:lang w:val="en-US" w:eastAsia="zh-CN" w:bidi="ar"/>
        </w:rPr>
        <w:sym w:font="Wingdings" w:char="00A8"/>
      </w:r>
      <w:r>
        <w:rPr>
          <w:rFonts w:hint="eastAsia" w:ascii="宋体" w:hAnsi="宋体" w:eastAsia="宋体" w:cs="宋体"/>
          <w:color w:val="auto"/>
          <w:kern w:val="0"/>
          <w:sz w:val="24"/>
          <w:szCs w:val="24"/>
          <w:highlight w:val="none"/>
          <w:u w:val="single"/>
          <w:lang w:val="en-US" w:eastAsia="zh-CN" w:bidi="ar"/>
        </w:rPr>
        <w:t xml:space="preserve">否   </w:t>
      </w:r>
      <w:r>
        <w:rPr>
          <w:rFonts w:hint="eastAsia" w:ascii="宋体" w:hAnsi="宋体" w:eastAsia="宋体" w:cs="宋体"/>
          <w:color w:val="auto"/>
          <w:kern w:val="0"/>
          <w:sz w:val="24"/>
          <w:szCs w:val="24"/>
          <w:highlight w:val="none"/>
          <w:lang w:val="en-US" w:eastAsia="zh-CN" w:bidi="ar"/>
        </w:rPr>
        <w:t>需要支付履约保证金。若需要支付履约保证金的，则：</w:t>
      </w:r>
    </w:p>
    <w:p w14:paraId="048FE760">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kern w:val="0"/>
          <w:sz w:val="24"/>
          <w:szCs w:val="24"/>
          <w:highlight w:val="none"/>
          <w:lang w:val="en-US" w:eastAsia="zh-CN" w:bidi="ar"/>
        </w:rPr>
      </w:pPr>
      <w:bookmarkStart w:id="174" w:name="_Toc20393"/>
      <w:r>
        <w:rPr>
          <w:rFonts w:hint="eastAsia" w:ascii="宋体" w:hAnsi="宋体" w:eastAsia="宋体" w:cs="宋体"/>
          <w:color w:val="auto"/>
          <w:kern w:val="0"/>
          <w:sz w:val="24"/>
          <w:szCs w:val="24"/>
          <w:highlight w:val="none"/>
          <w:lang w:val="en-US" w:eastAsia="zh-CN" w:bidi="ar"/>
        </w:rPr>
        <w:t xml:space="preserve">1.履约保证金的比例为合同金额的 </w:t>
      </w:r>
      <w:r>
        <w:rPr>
          <w:rFonts w:hint="eastAsia" w:ascii="宋体" w:hAnsi="宋体" w:eastAsia="宋体" w:cs="宋体"/>
          <w:color w:val="auto"/>
          <w:kern w:val="0"/>
          <w:sz w:val="24"/>
          <w:szCs w:val="24"/>
          <w:highlight w:val="none"/>
          <w:u w:val="single"/>
          <w:lang w:val="en-US" w:eastAsia="zh-CN" w:bidi="ar"/>
        </w:rPr>
        <w:t xml:space="preserve"> 5   </w:t>
      </w:r>
      <w:r>
        <w:rPr>
          <w:rFonts w:hint="eastAsia" w:ascii="宋体" w:hAnsi="宋体" w:eastAsia="宋体" w:cs="宋体"/>
          <w:color w:val="auto"/>
          <w:kern w:val="0"/>
          <w:sz w:val="24"/>
          <w:szCs w:val="24"/>
          <w:highlight w:val="none"/>
          <w:lang w:val="en-US" w:eastAsia="zh-CN" w:bidi="ar"/>
        </w:rPr>
        <w:t>%，金额为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bookmarkEnd w:id="174"/>
    </w:p>
    <w:p w14:paraId="6EED176C">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2.履约保证金支付时间：乙方应于本合同签订前按采购文件和本合同约定的支付履约保证金；</w:t>
      </w:r>
    </w:p>
    <w:p w14:paraId="5AC9C3DC">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3.履约保证金支付方式： 电汇/转账 ；账户信息如下：</w:t>
      </w:r>
    </w:p>
    <w:p w14:paraId="2F688563">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名称：杭州临江环境能源有限公司   </w:t>
      </w:r>
    </w:p>
    <w:p w14:paraId="174D0C0F">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税号：91330100MA2B02NX2L</w:t>
      </w:r>
    </w:p>
    <w:p w14:paraId="2C49CFED">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地址电话：浙江省杭州市钱塘区临江街道红十五路10388-123号 0571-81997919</w:t>
      </w:r>
    </w:p>
    <w:p w14:paraId="34F2F4A9">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开户行及账号：杭州银行大江东支行 3301040160008775754</w:t>
      </w:r>
    </w:p>
    <w:p w14:paraId="267D12C7">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4.如果乙方完全不履行合同或未全面履行合同义务，履约保证金不予退还。</w:t>
      </w:r>
    </w:p>
    <w:p w14:paraId="783404E6">
      <w:pPr>
        <w:keepNext w:val="0"/>
        <w:keepLines w:val="0"/>
        <w:pageBreakBefore w:val="0"/>
        <w:numPr>
          <w:ilvl w:val="0"/>
          <w:numId w:val="0"/>
        </w:numPr>
        <w:kinsoku/>
        <w:wordWrap/>
        <w:overflowPunct/>
        <w:topLinePunct w:val="0"/>
        <w:bidi w:val="0"/>
        <w:spacing w:line="400" w:lineRule="exact"/>
        <w:ind w:firstLine="464" w:firstLineChars="200"/>
        <w:textAlignment w:val="auto"/>
        <w:outlineLvl w:val="9"/>
        <w:rPr>
          <w:rFonts w:hint="eastAsia" w:ascii="宋体" w:hAnsi="宋体" w:eastAsia="宋体" w:cs="宋体"/>
          <w:color w:val="auto"/>
          <w:kern w:val="0"/>
          <w:sz w:val="24"/>
          <w:szCs w:val="24"/>
          <w:highlight w:val="none"/>
          <w:lang w:val="en-US" w:eastAsia="zh-CN" w:bidi="ar"/>
        </w:rPr>
      </w:pPr>
      <w:bookmarkStart w:id="175" w:name="_Toc27582"/>
      <w:r>
        <w:rPr>
          <w:rFonts w:hint="eastAsia" w:ascii="宋体" w:hAnsi="宋体" w:eastAsia="宋体" w:cs="宋体"/>
          <w:color w:val="auto"/>
          <w:kern w:val="0"/>
          <w:sz w:val="24"/>
          <w:szCs w:val="24"/>
          <w:highlight w:val="none"/>
          <w:lang w:val="en-US" w:eastAsia="zh-CN" w:bidi="ar"/>
        </w:rPr>
        <w:t>5.甲方在</w:t>
      </w:r>
      <w:r>
        <w:rPr>
          <w:rFonts w:hint="eastAsia" w:ascii="宋体" w:hAnsi="宋体" w:eastAsia="宋体" w:cs="宋体"/>
          <w:color w:val="auto"/>
          <w:kern w:val="0"/>
          <w:sz w:val="24"/>
          <w:szCs w:val="24"/>
          <w:highlight w:val="none"/>
          <w:u w:val="single"/>
          <w:lang w:val="en-US" w:eastAsia="zh-CN" w:bidi="ar"/>
        </w:rPr>
        <w:t>本合同安装调试验收合格</w:t>
      </w:r>
      <w:r>
        <w:rPr>
          <w:rFonts w:hint="eastAsia" w:ascii="宋体" w:hAnsi="宋体" w:eastAsia="宋体" w:cs="宋体"/>
          <w:color w:val="auto"/>
          <w:kern w:val="0"/>
          <w:sz w:val="24"/>
          <w:szCs w:val="24"/>
          <w:highlight w:val="none"/>
          <w:lang w:val="en-US" w:eastAsia="zh-CN" w:bidi="ar"/>
        </w:rPr>
        <w:t>并收到乙方履约保证金退还申请书原件后 30个工作日内将履约保证金余额无息退还乙方。</w:t>
      </w:r>
      <w:bookmarkEnd w:id="175"/>
    </w:p>
    <w:p w14:paraId="29E5FB1D">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464" w:firstLineChars="200"/>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选择单方面直接解除合同并罚没全部保证金（或要求乙方承担相当于合同暂定总价的5%的违约金）或选择从任何一笔应付乙方货款中等额扣除相应金额用于确保履约保证金足额，且视为甲方已履行相应的付款义务。</w:t>
      </w:r>
    </w:p>
    <w:bookmarkEnd w:id="166"/>
    <w:bookmarkEnd w:id="167"/>
    <w:bookmarkEnd w:id="168"/>
    <w:p w14:paraId="73EC1161">
      <w:pPr>
        <w:keepNext w:val="0"/>
        <w:keepLines w:val="0"/>
        <w:pageBreakBefore w:val="0"/>
        <w:kinsoku/>
        <w:wordWrap/>
        <w:overflowPunct/>
        <w:topLinePunct w:val="0"/>
        <w:autoSpaceDE/>
        <w:autoSpaceDN/>
        <w:bidi w:val="0"/>
        <w:adjustRightInd/>
        <w:snapToGrid/>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176" w:name="_Toc30509"/>
      <w:r>
        <w:rPr>
          <w:rFonts w:hint="eastAsia" w:ascii="宋体" w:hAnsi="宋体" w:eastAsia="宋体" w:cs="宋体"/>
          <w:b/>
          <w:color w:val="auto"/>
          <w:sz w:val="24"/>
          <w:szCs w:val="24"/>
          <w:highlight w:val="none"/>
        </w:rPr>
        <w:t>九、预付款</w:t>
      </w:r>
      <w:bookmarkEnd w:id="176"/>
    </w:p>
    <w:p w14:paraId="4620DFCF">
      <w:pPr>
        <w:pStyle w:val="5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sym w:font="Wingdings" w:char="00A8"/>
      </w:r>
      <w:r>
        <w:rPr>
          <w:rFonts w:hint="eastAsia" w:ascii="宋体" w:hAnsi="宋体" w:eastAsia="宋体" w:cs="宋体"/>
          <w:color w:val="auto"/>
          <w:sz w:val="24"/>
          <w:szCs w:val="24"/>
          <w:highlight w:val="none"/>
          <w:u w:val="single"/>
        </w:rPr>
        <w:t xml:space="preserve">是  </w:t>
      </w:r>
      <w:r>
        <w:rPr>
          <w:rFonts w:hint="eastAsia" w:ascii="宋体" w:hAnsi="宋体" w:eastAsia="宋体" w:cs="宋体"/>
          <w:color w:val="auto"/>
          <w:sz w:val="24"/>
          <w:szCs w:val="24"/>
          <w:highlight w:val="none"/>
          <w:u w:val="single"/>
        </w:rPr>
        <w:sym w:font="Wingdings" w:char="00FE"/>
      </w:r>
      <w:r>
        <w:rPr>
          <w:rFonts w:hint="eastAsia" w:ascii="宋体" w:hAnsi="宋体" w:eastAsia="宋体" w:cs="宋体"/>
          <w:color w:val="auto"/>
          <w:sz w:val="24"/>
          <w:szCs w:val="24"/>
          <w:highlight w:val="none"/>
          <w:u w:val="single"/>
        </w:rPr>
        <w:t xml:space="preserve">否   </w:t>
      </w:r>
      <w:r>
        <w:rPr>
          <w:rFonts w:hint="eastAsia" w:ascii="宋体" w:hAnsi="宋体" w:eastAsia="宋体" w:cs="宋体"/>
          <w:color w:val="auto"/>
          <w:sz w:val="24"/>
          <w:szCs w:val="24"/>
          <w:highlight w:val="none"/>
        </w:rPr>
        <w:t>需要支付预付款。若需要支付预付款的，则：</w:t>
      </w:r>
    </w:p>
    <w:p w14:paraId="158F4BCC">
      <w:pPr>
        <w:keepNext w:val="0"/>
        <w:keepLines w:val="0"/>
        <w:pageBreakBefore w:val="0"/>
        <w:kinsoku/>
        <w:wordWrap/>
        <w:overflowPunct/>
        <w:topLinePunct w:val="0"/>
        <w:autoSpaceDE/>
        <w:autoSpaceDN/>
        <w:bidi w:val="0"/>
        <w:adjustRightInd/>
        <w:snapToGrid/>
        <w:spacing w:line="400" w:lineRule="exact"/>
        <w:ind w:firstLine="464"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1.预付款比例、支付方式、时间：</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1F23C237">
      <w:pPr>
        <w:pStyle w:val="5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2.预付款的扣回方式：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A306C9F">
      <w:pPr>
        <w:pStyle w:val="5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3.预付款的担保措施：</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E54B27C">
      <w:pPr>
        <w:pStyle w:val="5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十、资金支付</w:t>
      </w:r>
    </w:p>
    <w:p w14:paraId="4C5AB574">
      <w:pPr>
        <w:pStyle w:val="5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outlineLvl w:val="9"/>
        <w:rPr>
          <w:rFonts w:hint="eastAsia" w:ascii="宋体" w:hAnsi="宋体" w:eastAsia="宋体" w:cs="宋体"/>
          <w:color w:val="auto"/>
          <w:sz w:val="24"/>
          <w:szCs w:val="24"/>
          <w:highlight w:val="none"/>
        </w:rPr>
      </w:pPr>
      <w:bookmarkStart w:id="177" w:name="_Toc2846"/>
      <w:bookmarkStart w:id="178" w:name="_Toc32071"/>
      <w:bookmarkStart w:id="179" w:name="_Toc19304"/>
      <w:r>
        <w:rPr>
          <w:rFonts w:hint="eastAsia" w:ascii="宋体" w:hAnsi="宋体" w:eastAsia="宋体" w:cs="宋体"/>
          <w:color w:val="auto"/>
          <w:sz w:val="24"/>
          <w:szCs w:val="24"/>
          <w:highlight w:val="none"/>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color w:val="auto"/>
          <w:sz w:val="24"/>
          <w:szCs w:val="24"/>
          <w:highlight w:val="none"/>
          <w:u w:val="single"/>
        </w:rPr>
        <w:t>30</w:t>
      </w:r>
      <w:r>
        <w:rPr>
          <w:rFonts w:hint="eastAsia" w:ascii="宋体" w:hAnsi="宋体" w:eastAsia="宋体" w:cs="宋体"/>
          <w:color w:val="auto"/>
          <w:sz w:val="24"/>
          <w:szCs w:val="24"/>
          <w:highlight w:val="none"/>
        </w:rPr>
        <w:t>个工作日内将资金支付到合同约定的乙方账户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但本条第3款另有约定的除外）。</w:t>
      </w:r>
      <w:r>
        <w:rPr>
          <w:rFonts w:hint="eastAsia" w:ascii="宋体" w:hAnsi="宋体" w:eastAsia="宋体" w:cs="宋体"/>
          <w:b/>
          <w:bCs/>
          <w:color w:val="auto"/>
          <w:sz w:val="24"/>
          <w:szCs w:val="24"/>
          <w:highlight w:val="none"/>
          <w:lang w:val="en-US" w:eastAsia="zh-CN"/>
        </w:rPr>
        <w:t>若支付金额中需要扣除违约金的，乙方需开具全额发票。甲方支付扣除违约金后的金额，甲方向乙方提供违约金收据</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如乙方提供的发票存在问题，甲方有权延迟付款且不承担任何责任。</w:t>
      </w:r>
    </w:p>
    <w:p w14:paraId="5E0095F0">
      <w:pPr>
        <w:pStyle w:val="5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w:t>
      </w:r>
      <w:r>
        <w:rPr>
          <w:rFonts w:hint="eastAsia" w:ascii="宋体" w:hAnsi="宋体" w:eastAsia="宋体" w:cs="宋体"/>
          <w:color w:val="auto"/>
          <w:sz w:val="24"/>
          <w:szCs w:val="24"/>
          <w:highlight w:val="none"/>
          <w:lang w:val="en-US" w:eastAsia="zh-CN"/>
        </w:rPr>
        <w:t>质保期限至验收合格后</w:t>
      </w:r>
      <w:r>
        <w:rPr>
          <w:rFonts w:hint="eastAsia" w:ascii="宋体" w:hAnsi="宋体" w:eastAsia="宋体" w:cs="宋体"/>
          <w:color w:val="auto"/>
          <w:sz w:val="24"/>
          <w:szCs w:val="24"/>
          <w:highlight w:val="none"/>
          <w:u w:val="single"/>
          <w:lang w:val="en-US" w:eastAsia="zh-CN"/>
        </w:rPr>
        <w:t xml:space="preserve">  12个月（具体以投标文件为准）   </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sym w:font="Wingdings" w:char="00FE"/>
      </w:r>
      <w:r>
        <w:rPr>
          <w:rFonts w:hint="eastAsia" w:ascii="宋体" w:hAnsi="宋体" w:eastAsia="宋体" w:cs="宋体"/>
          <w:color w:val="auto"/>
          <w:sz w:val="24"/>
          <w:szCs w:val="24"/>
          <w:highlight w:val="none"/>
          <w:u w:val="single"/>
        </w:rPr>
        <w:t xml:space="preserve">是  </w:t>
      </w:r>
      <w:r>
        <w:rPr>
          <w:rFonts w:hint="eastAsia" w:ascii="宋体" w:hAnsi="宋体" w:eastAsia="宋体" w:cs="宋体"/>
          <w:color w:val="auto"/>
          <w:sz w:val="24"/>
          <w:szCs w:val="24"/>
          <w:highlight w:val="none"/>
          <w:u w:val="single"/>
        </w:rPr>
        <w:sym w:font="Wingdings" w:char="00A8"/>
      </w:r>
      <w:r>
        <w:rPr>
          <w:rFonts w:hint="eastAsia" w:ascii="宋体" w:hAnsi="宋体" w:eastAsia="宋体" w:cs="宋体"/>
          <w:color w:val="auto"/>
          <w:sz w:val="24"/>
          <w:szCs w:val="24"/>
          <w:highlight w:val="none"/>
          <w:u w:val="single"/>
        </w:rPr>
        <w:t xml:space="preserve">否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有质保金。若有质保金的，则：</w:t>
      </w:r>
    </w:p>
    <w:p w14:paraId="6EF56536">
      <w:pPr>
        <w:pStyle w:val="5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）质保金的比例为合同金额的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b/>
          <w:bCs/>
          <w:i/>
          <w:i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A1A06A">
      <w:pPr>
        <w:pStyle w:val="5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）质保金支付条件：</w:t>
      </w:r>
      <w:r>
        <w:rPr>
          <w:rFonts w:hint="eastAsia" w:ascii="宋体" w:hAnsi="宋体" w:eastAsia="宋体" w:cs="宋体"/>
          <w:color w:val="auto"/>
          <w:sz w:val="24"/>
          <w:szCs w:val="24"/>
          <w:highlight w:val="none"/>
          <w:u w:val="none"/>
        </w:rPr>
        <w:t>质保期内无任何质量问题，双方无任何遗留问题 ，质保期结束</w:t>
      </w:r>
      <w:r>
        <w:rPr>
          <w:rFonts w:hint="eastAsia" w:ascii="宋体" w:hAnsi="宋体" w:eastAsia="宋体" w:cs="宋体"/>
          <w:color w:val="auto"/>
          <w:sz w:val="24"/>
          <w:szCs w:val="24"/>
          <w:highlight w:val="none"/>
          <w:u w:val="none"/>
          <w:lang w:val="en-US" w:eastAsia="zh-CN"/>
        </w:rPr>
        <w:t>且甲方收到乙方开具的相应额度增值税专用发票（如有）</w:t>
      </w:r>
      <w:r>
        <w:rPr>
          <w:rFonts w:hint="eastAsia" w:ascii="宋体" w:hAnsi="宋体" w:eastAsia="宋体" w:cs="宋体"/>
          <w:color w:val="auto"/>
          <w:sz w:val="24"/>
          <w:szCs w:val="24"/>
          <w:highlight w:val="none"/>
          <w:u w:val="none"/>
        </w:rPr>
        <w:t>后30天内甲方无息支付。</w:t>
      </w:r>
    </w:p>
    <w:p w14:paraId="1D58B75A">
      <w:pPr>
        <w:pStyle w:val="52"/>
        <w:keepNext w:val="0"/>
        <w:keepLines w:val="0"/>
        <w:pageBreakBefore w:val="0"/>
        <w:kinsoku/>
        <w:wordWrap/>
        <w:overflowPunct/>
        <w:topLinePunct w:val="0"/>
        <w:bidi w:val="0"/>
        <w:spacing w:before="0" w:beforeAutospacing="0" w:after="0" w:afterAutospacing="0" w:line="4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3.本项目资金支付的方式、时间和条件采用以下第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条款规定：</w:t>
      </w:r>
    </w:p>
    <w:bookmarkEnd w:id="177"/>
    <w:bookmarkEnd w:id="178"/>
    <w:bookmarkEnd w:id="179"/>
    <w:p w14:paraId="70D4A1DB">
      <w:pPr>
        <w:pStyle w:val="52"/>
        <w:keepNext w:val="0"/>
        <w:keepLines w:val="0"/>
        <w:pageBreakBefore w:val="0"/>
        <w:kinsoku/>
        <w:wordWrap/>
        <w:overflowPunct/>
        <w:topLinePunct w:val="0"/>
        <w:bidi w:val="0"/>
        <w:spacing w:before="0" w:beforeAutospacing="0" w:after="0" w:afterAutospacing="0" w:line="400" w:lineRule="exact"/>
        <w:ind w:firstLine="480"/>
        <w:textAlignment w:val="auto"/>
        <w:outlineLvl w:val="9"/>
        <w:rPr>
          <w:rFonts w:hint="eastAsia" w:ascii="宋体" w:hAnsi="宋体" w:eastAsia="宋体" w:cs="宋体"/>
          <w:color w:val="auto"/>
          <w:sz w:val="24"/>
          <w:szCs w:val="24"/>
          <w:highlight w:val="none"/>
          <w:u w:val="single"/>
        </w:rPr>
      </w:pPr>
      <w:bookmarkStart w:id="180" w:name="_Toc21423"/>
      <w:bookmarkStart w:id="181" w:name="_Toc19554"/>
      <w:bookmarkStart w:id="182" w:name="_Toc27250"/>
      <w:r>
        <w:rPr>
          <w:rFonts w:hint="eastAsia" w:ascii="宋体" w:hAnsi="宋体" w:eastAsia="宋体" w:cs="宋体"/>
          <w:color w:val="auto"/>
          <w:sz w:val="24"/>
          <w:szCs w:val="24"/>
          <w:highlight w:val="none"/>
          <w:u w:val="single"/>
        </w:rPr>
        <w:t>（3）一次性付款，经甲方验收合格，甲方收到乙方提供</w:t>
      </w:r>
      <w:r>
        <w:rPr>
          <w:rFonts w:hint="eastAsia" w:ascii="宋体" w:hAnsi="宋体" w:eastAsia="宋体" w:cs="宋体"/>
          <w:color w:val="auto"/>
          <w:sz w:val="24"/>
          <w:szCs w:val="24"/>
          <w:highlight w:val="none"/>
          <w:u w:val="single"/>
          <w:lang w:val="en-US" w:eastAsia="zh-CN"/>
        </w:rPr>
        <w:t>全额</w:t>
      </w:r>
      <w:r>
        <w:rPr>
          <w:rFonts w:hint="eastAsia" w:ascii="宋体" w:hAnsi="宋体" w:eastAsia="宋体" w:cs="宋体"/>
          <w:color w:val="auto"/>
          <w:sz w:val="24"/>
          <w:szCs w:val="24"/>
          <w:highlight w:val="none"/>
          <w:u w:val="single"/>
        </w:rPr>
        <w:t>增值税专用发票后，甲方在本合同约定时间内完成支付全部货款</w:t>
      </w:r>
      <w:r>
        <w:rPr>
          <w:rFonts w:hint="eastAsia" w:ascii="宋体" w:hAnsi="宋体" w:eastAsia="宋体" w:cs="宋体"/>
          <w:color w:val="auto"/>
          <w:sz w:val="24"/>
          <w:szCs w:val="24"/>
          <w:highlight w:val="none"/>
          <w:u w:val="single"/>
          <w:lang w:val="en-US" w:eastAsia="zh-CN"/>
        </w:rPr>
        <w:t>的90%，余款10%为质保金</w:t>
      </w:r>
      <w:r>
        <w:rPr>
          <w:rFonts w:hint="eastAsia" w:ascii="宋体" w:hAnsi="宋体" w:eastAsia="宋体" w:cs="宋体"/>
          <w:color w:val="auto"/>
          <w:sz w:val="24"/>
          <w:szCs w:val="24"/>
          <w:highlight w:val="none"/>
          <w:u w:val="single"/>
        </w:rPr>
        <w:t xml:space="preserve">。  </w:t>
      </w:r>
    </w:p>
    <w:p w14:paraId="4423C16F">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183" w:name="_Toc12743"/>
      <w:r>
        <w:rPr>
          <w:rFonts w:hint="eastAsia" w:ascii="宋体" w:hAnsi="宋体" w:eastAsia="宋体" w:cs="宋体"/>
          <w:b/>
          <w:color w:val="auto"/>
          <w:sz w:val="24"/>
          <w:szCs w:val="24"/>
          <w:highlight w:val="none"/>
        </w:rPr>
        <w:t>十一、违约责任</w:t>
      </w:r>
      <w:bookmarkEnd w:id="180"/>
      <w:bookmarkEnd w:id="181"/>
      <w:bookmarkEnd w:id="182"/>
      <w:bookmarkEnd w:id="183"/>
    </w:p>
    <w:p w14:paraId="4BF929E6">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1.对于验收不合格的货物，双方按照以下方式处理：</w:t>
      </w:r>
    </w:p>
    <w:p w14:paraId="729639E5">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甲方尚未使用的，乙方应当</w:t>
      </w:r>
      <w:r>
        <w:rPr>
          <w:rFonts w:hint="eastAsia" w:ascii="宋体" w:hAnsi="宋体" w:eastAsia="宋体" w:cs="宋体"/>
          <w:color w:val="auto"/>
          <w:sz w:val="24"/>
          <w:szCs w:val="24"/>
          <w:highlight w:val="none"/>
          <w:u w:val="single"/>
          <w:lang w:val="en-US" w:eastAsia="zh-CN"/>
        </w:rPr>
        <w:t>在5个工作</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color w:val="auto"/>
          <w:sz w:val="24"/>
          <w:szCs w:val="24"/>
          <w:highlight w:val="none"/>
        </w:rPr>
        <w:t>自费</w:t>
      </w:r>
      <w:r>
        <w:rPr>
          <w:rFonts w:hint="eastAsia" w:ascii="宋体" w:hAnsi="宋体" w:eastAsia="宋体" w:cs="宋体"/>
          <w:color w:val="auto"/>
          <w:sz w:val="24"/>
          <w:szCs w:val="24"/>
          <w:highlight w:val="none"/>
          <w:lang w:val="en-US" w:eastAsia="zh-CN"/>
        </w:rPr>
        <w:t>取</w:t>
      </w:r>
      <w:r>
        <w:rPr>
          <w:rFonts w:hint="eastAsia" w:ascii="宋体" w:hAnsi="宋体" w:eastAsia="宋体" w:cs="宋体"/>
          <w:color w:val="auto"/>
          <w:sz w:val="24"/>
          <w:szCs w:val="24"/>
          <w:highlight w:val="none"/>
        </w:rPr>
        <w:t>回，</w:t>
      </w:r>
      <w:r>
        <w:rPr>
          <w:rFonts w:hint="eastAsia" w:ascii="宋体" w:hAnsi="宋体" w:eastAsia="宋体" w:cs="宋体"/>
          <w:color w:val="auto"/>
          <w:sz w:val="24"/>
          <w:szCs w:val="24"/>
          <w:highlight w:val="none"/>
          <w:lang w:val="en-US" w:eastAsia="zh-CN"/>
        </w:rPr>
        <w:t>未取回的甲方有权在履约保证金或者</w:t>
      </w:r>
      <w:r>
        <w:rPr>
          <w:rFonts w:hint="eastAsia" w:ascii="宋体" w:hAnsi="宋体" w:eastAsia="宋体" w:cs="宋体"/>
          <w:color w:val="auto"/>
          <w:sz w:val="24"/>
          <w:szCs w:val="24"/>
          <w:highlight w:val="none"/>
        </w:rPr>
        <w:t>应付乙方款项中</w:t>
      </w:r>
      <w:r>
        <w:rPr>
          <w:rFonts w:hint="eastAsia" w:ascii="宋体" w:hAnsi="宋体" w:eastAsia="宋体" w:cs="宋体"/>
          <w:color w:val="auto"/>
          <w:sz w:val="24"/>
          <w:szCs w:val="24"/>
          <w:highlight w:val="none"/>
          <w:lang w:val="en-US" w:eastAsia="zh-CN"/>
        </w:rPr>
        <w:t>视情形收取场地费（如需收</w:t>
      </w:r>
      <w:r>
        <w:rPr>
          <w:rFonts w:hint="eastAsia" w:ascii="宋体" w:hAnsi="宋体" w:eastAsia="宋体" w:cs="宋体"/>
          <w:color w:val="auto"/>
          <w:sz w:val="24"/>
          <w:szCs w:val="24"/>
          <w:highlight w:val="none"/>
          <w:u w:val="none"/>
          <w:lang w:val="en-US" w:eastAsia="zh-CN"/>
        </w:rPr>
        <w:t>取按200元/天收取场地费），同时甲方不负有保管责任</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同时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应无条件</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u w:val="single"/>
          <w:lang w:val="en-US" w:eastAsia="zh-CN"/>
        </w:rPr>
        <w:t>5个工作日</w:t>
      </w:r>
      <w:r>
        <w:rPr>
          <w:rFonts w:hint="eastAsia" w:ascii="宋体" w:hAnsi="宋体" w:eastAsia="宋体" w:cs="宋体"/>
          <w:color w:val="auto"/>
          <w:sz w:val="24"/>
          <w:szCs w:val="24"/>
          <w:highlight w:val="none"/>
        </w:rPr>
        <w:t>内更换合格的货物至甲方，由此产生的运输费、装卸费等一切费用由乙方承担。如乙方拒绝或逾期更换的，视同逾期交货，应承担逾期交货责任。</w:t>
      </w:r>
      <w:r>
        <w:rPr>
          <w:rFonts w:hint="eastAsia" w:ascii="宋体" w:hAnsi="宋体" w:eastAsia="宋体" w:cs="宋体"/>
          <w:color w:val="auto"/>
          <w:sz w:val="24"/>
          <w:szCs w:val="24"/>
          <w:highlight w:val="none"/>
          <w:lang w:val="en-US" w:eastAsia="zh-CN"/>
        </w:rPr>
        <w:t>在乙方更换后的货物验收合格前，相应货款暂不予支付。</w:t>
      </w:r>
    </w:p>
    <w:p w14:paraId="62652E6D">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为免争议，乙方确认其已明确知晓本合同下货物系用于 </w:t>
      </w:r>
      <w:r>
        <w:rPr>
          <w:rFonts w:hint="eastAsia" w:ascii="宋体" w:hAnsi="宋体" w:eastAsia="宋体" w:cs="宋体"/>
          <w:color w:val="auto"/>
          <w:sz w:val="24"/>
          <w:szCs w:val="24"/>
          <w:highlight w:val="none"/>
          <w:u w:val="single"/>
          <w:lang w:val="en-US" w:eastAsia="zh-CN"/>
        </w:rPr>
        <w:t xml:space="preserve">渗滤液沟道间  </w:t>
      </w:r>
      <w:r>
        <w:rPr>
          <w:rFonts w:hint="eastAsia" w:ascii="宋体" w:hAnsi="宋体" w:eastAsia="宋体" w:cs="宋体"/>
          <w:color w:val="auto"/>
          <w:sz w:val="24"/>
          <w:szCs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.除不可抗力外，如果乙方</w:t>
      </w:r>
      <w:r>
        <w:rPr>
          <w:rFonts w:hint="eastAsia" w:ascii="宋体" w:hAnsi="宋体" w:eastAsia="宋体" w:cs="宋体"/>
          <w:color w:val="auto"/>
          <w:sz w:val="24"/>
          <w:szCs w:val="24"/>
          <w:highlight w:val="none"/>
          <w:lang w:val="en-US" w:eastAsia="zh-CN"/>
        </w:rPr>
        <w:t>无故</w:t>
      </w:r>
      <w:r>
        <w:rPr>
          <w:rFonts w:hint="eastAsia" w:ascii="宋体" w:hAnsi="宋体" w:eastAsia="宋体" w:cs="宋体"/>
          <w:color w:val="auto"/>
          <w:sz w:val="24"/>
          <w:szCs w:val="24"/>
          <w:highlight w:val="none"/>
        </w:rPr>
        <w:t>没有按照本合同约定的期限、地点和方式交付货物，那么甲方</w:t>
      </w:r>
      <w:r>
        <w:rPr>
          <w:rFonts w:hint="eastAsia" w:ascii="宋体" w:hAnsi="宋体" w:eastAsia="宋体" w:cs="宋体"/>
          <w:color w:val="auto"/>
          <w:sz w:val="24"/>
          <w:szCs w:val="24"/>
          <w:highlight w:val="none"/>
          <w:lang w:val="en-US" w:eastAsia="zh-CN"/>
        </w:rPr>
        <w:t>有权选择</w:t>
      </w:r>
      <w:r>
        <w:rPr>
          <w:rFonts w:hint="eastAsia" w:ascii="宋体" w:hAnsi="宋体" w:eastAsia="宋体" w:cs="宋体"/>
          <w:color w:val="auto"/>
          <w:sz w:val="24"/>
          <w:szCs w:val="24"/>
          <w:highlight w:val="none"/>
        </w:rPr>
        <w:t>要求乙方支付违约金，违约金每迟延交付货物一日按应交付而未交付</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的含税总金额的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0.1 </w:t>
      </w:r>
      <w:r>
        <w:rPr>
          <w:rFonts w:hint="eastAsia" w:ascii="宋体" w:hAnsi="宋体" w:eastAsia="宋体" w:cs="宋体"/>
          <w:color w:val="auto"/>
          <w:sz w:val="24"/>
          <w:szCs w:val="24"/>
          <w:highlight w:val="none"/>
        </w:rPr>
        <w:t xml:space="preserve">%计算，迟延交付货物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天的，甲方有权单方解除本合同，并要求乙方</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single"/>
        </w:rPr>
        <w:t>□本合同累计已发生金额/</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合同约定总金额</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应交付而未交付货物的含税总金额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的违约</w:t>
      </w:r>
      <w:r>
        <w:rPr>
          <w:rFonts w:hint="eastAsia" w:ascii="宋体" w:hAnsi="宋体" w:eastAsia="宋体" w:cs="宋体"/>
          <w:color w:val="auto"/>
          <w:sz w:val="24"/>
          <w:szCs w:val="24"/>
          <w:highlight w:val="none"/>
          <w:lang w:val="en-US" w:eastAsia="zh-CN"/>
        </w:rPr>
        <w:t>金。经双方同意延期的情形不在此列。</w:t>
      </w:r>
    </w:p>
    <w:p w14:paraId="52C8255F">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具体按以下情形执行：</w:t>
      </w:r>
    </w:p>
    <w:p w14:paraId="6DFCED44">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w:t>
      </w:r>
    </w:p>
    <w:p w14:paraId="4D414054">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（2）中止或解除合同的，乙方未及时支付违约金的，甲方有权直接从已供货未结算的货款中扣除</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w:t>
      </w:r>
    </w:p>
    <w:p w14:paraId="40131982">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.除不可抗力外，如果甲方</w:t>
      </w:r>
      <w:r>
        <w:rPr>
          <w:rFonts w:hint="eastAsia" w:ascii="宋体" w:hAnsi="宋体" w:eastAsia="宋体" w:cs="宋体"/>
          <w:color w:val="auto"/>
          <w:sz w:val="24"/>
          <w:szCs w:val="24"/>
          <w:highlight w:val="none"/>
          <w:lang w:val="en-US" w:eastAsia="zh-CN"/>
        </w:rPr>
        <w:t>无故</w:t>
      </w:r>
      <w:r>
        <w:rPr>
          <w:rFonts w:hint="eastAsia" w:ascii="宋体" w:hAnsi="宋体" w:eastAsia="宋体" w:cs="宋体"/>
          <w:color w:val="auto"/>
          <w:sz w:val="24"/>
          <w:szCs w:val="24"/>
          <w:highlight w:val="none"/>
        </w:rPr>
        <w:t>没有按照本合同约定的付款方式付款，那么乙方可要求甲方支付违约金，违约金按每迟延付款一日的应付而未付款的</w:t>
      </w:r>
      <w:r>
        <w:rPr>
          <w:rFonts w:hint="eastAsia" w:ascii="宋体" w:hAnsi="宋体" w:eastAsia="宋体" w:cs="宋体"/>
          <w:b/>
          <w:bCs/>
          <w:color w:val="auto"/>
          <w:sz w:val="24"/>
          <w:szCs w:val="24"/>
          <w:highlight w:val="none"/>
          <w:u w:val="single"/>
        </w:rPr>
        <w:t xml:space="preserve"> 0.0</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w:t>
      </w:r>
    </w:p>
    <w:p w14:paraId="28B69E04">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keepNext w:val="0"/>
        <w:keepLines w:val="0"/>
        <w:pageBreakBefore w:val="0"/>
        <w:kinsoku/>
        <w:wordWrap/>
        <w:overflowPunct/>
        <w:topLinePunct w:val="0"/>
        <w:bidi w:val="0"/>
        <w:spacing w:line="400" w:lineRule="exact"/>
        <w:ind w:right="-624" w:rightChars="-200"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.违约责任另有约定具体如下：</w:t>
      </w:r>
    </w:p>
    <w:p w14:paraId="6D84D1D7">
      <w:pPr>
        <w:keepNext w:val="0"/>
        <w:keepLines w:val="0"/>
        <w:pageBreakBefore w:val="0"/>
        <w:kinsoku/>
        <w:wordWrap/>
        <w:overflowPunct/>
        <w:topLinePunct w:val="0"/>
        <w:bidi w:val="0"/>
        <w:spacing w:line="400" w:lineRule="exact"/>
        <w:ind w:right="-624" w:rightChars="-200" w:firstLine="464"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keepNext w:val="0"/>
        <w:keepLines w:val="0"/>
        <w:pageBreakBefore w:val="0"/>
        <w:kinsoku/>
        <w:wordWrap/>
        <w:overflowPunct/>
        <w:topLinePunct w:val="0"/>
        <w:bidi w:val="0"/>
        <w:spacing w:line="400" w:lineRule="exact"/>
        <w:ind w:right="-624" w:rightChars="-200" w:firstLine="464"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（2）乙方不履行售后服务义务的，每次应向甲方承担1000元的违约金，且仍应履行售后服务义务；违约</w:t>
      </w:r>
      <w:r>
        <w:rPr>
          <w:rFonts w:hint="eastAsia" w:ascii="宋体" w:hAnsi="宋体" w:eastAsia="宋体" w:cs="宋体"/>
          <w:color w:val="auto"/>
          <w:sz w:val="24"/>
          <w:szCs w:val="24"/>
          <w:highlight w:val="none"/>
          <w:u w:val="single"/>
          <w:lang w:val="en-US" w:eastAsia="zh-CN"/>
        </w:rPr>
        <w:t>金甲方有权优先从履约保证金中扣除，不足部分从货款中扣除；若无履约保证金的，甲方有权直接从货款中扣除；</w:t>
      </w:r>
    </w:p>
    <w:p w14:paraId="4B27C79C">
      <w:pPr>
        <w:pStyle w:val="8"/>
        <w:keepNext w:val="0"/>
        <w:keepLines w:val="0"/>
        <w:pageBreakBefore w:val="0"/>
        <w:kinsoku/>
        <w:wordWrap/>
        <w:overflowPunct/>
        <w:topLinePunct w:val="0"/>
        <w:bidi w:val="0"/>
        <w:spacing w:line="400" w:lineRule="exact"/>
        <w:ind w:right="-624" w:rightChars="-200" w:firstLine="464"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kern w:val="2"/>
          <w:sz w:val="24"/>
          <w:szCs w:val="24"/>
          <w:highlight w:val="none"/>
          <w:lang w:val="en-US" w:eastAsia="zh-CN" w:bidi="ar-SA"/>
        </w:rPr>
      </w:pPr>
      <w:bookmarkStart w:id="184" w:name="_Toc16021"/>
      <w:bookmarkStart w:id="185" w:name="_Toc28375"/>
      <w:bookmarkStart w:id="186" w:name="_Toc15583"/>
      <w:r>
        <w:rPr>
          <w:rFonts w:hint="eastAsia" w:ascii="宋体" w:hAnsi="宋体" w:eastAsia="宋体" w:cs="宋体"/>
          <w:color w:val="auto"/>
          <w:kern w:val="2"/>
          <w:sz w:val="24"/>
          <w:szCs w:val="24"/>
          <w:highlight w:val="none"/>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23"/>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十二、合同争议的解决</w:t>
      </w:r>
      <w:bookmarkEnd w:id="184"/>
      <w:bookmarkEnd w:id="185"/>
      <w:bookmarkEnd w:id="186"/>
    </w:p>
    <w:p w14:paraId="07FA78F7">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本合同履行过程中发生的任何争议，双方当事人均可通过和解或者调解解决；不愿和解、调解或者和解、调解不成的，</w:t>
      </w:r>
      <w:bookmarkStart w:id="187" w:name="_Toc7245"/>
      <w:bookmarkStart w:id="188" w:name="_Toc15322"/>
      <w:bookmarkStart w:id="189" w:name="_Toc11173"/>
      <w:r>
        <w:rPr>
          <w:rFonts w:hint="eastAsia" w:ascii="宋体" w:hAnsi="宋体" w:eastAsia="宋体" w:cs="宋体"/>
          <w:color w:val="auto"/>
          <w:sz w:val="24"/>
          <w:szCs w:val="24"/>
          <w:highlight w:val="none"/>
          <w:lang w:val="en-US" w:eastAsia="zh-CN"/>
        </w:rPr>
        <w:t>向甲方所在地人民法院起诉。</w:t>
      </w:r>
    </w:p>
    <w:bookmarkEnd w:id="187"/>
    <w:bookmarkEnd w:id="188"/>
    <w:bookmarkEnd w:id="189"/>
    <w:p w14:paraId="2275306C">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十三、合同生效</w:t>
      </w:r>
    </w:p>
    <w:p w14:paraId="1385FDD0">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本合同自双方盖章、签字时生效。合同份数按一式四份规定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甲方三份，乙方一份</w:t>
      </w:r>
      <w:r>
        <w:rPr>
          <w:rFonts w:hint="eastAsia" w:ascii="宋体" w:hAnsi="宋体" w:eastAsia="宋体" w:cs="宋体"/>
          <w:color w:val="auto"/>
          <w:sz w:val="24"/>
          <w:szCs w:val="24"/>
          <w:highlight w:val="none"/>
        </w:rPr>
        <w:t>，第二章合同一般条款、第三章安全协议、第四章廉洁协议为本合同不可分割的一部分，均具有同等法律效力。</w:t>
      </w:r>
    </w:p>
    <w:p w14:paraId="5FBF7B4E">
      <w:pPr>
        <w:pStyle w:val="51"/>
        <w:keepNext w:val="0"/>
        <w:keepLines w:val="0"/>
        <w:pageBreakBefore w:val="0"/>
        <w:kinsoku/>
        <w:wordWrap/>
        <w:overflowPunct/>
        <w:topLinePunct w:val="0"/>
        <w:bidi w:val="0"/>
        <w:spacing w:line="400" w:lineRule="exact"/>
        <w:ind w:left="0" w:leftChars="0" w:firstLine="0" w:firstLineChars="0"/>
        <w:textAlignment w:val="auto"/>
        <w:outlineLvl w:val="9"/>
        <w:rPr>
          <w:rFonts w:hint="eastAsia" w:ascii="宋体" w:hAnsi="宋体" w:eastAsia="宋体" w:cs="宋体"/>
          <w:b/>
          <w:color w:val="auto"/>
          <w:sz w:val="24"/>
          <w:szCs w:val="24"/>
          <w:highlight w:val="none"/>
        </w:rPr>
      </w:pPr>
    </w:p>
    <w:p w14:paraId="1171022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ED2248F">
      <w:pPr>
        <w:pStyle w:val="51"/>
        <w:keepNext w:val="0"/>
        <w:keepLines w:val="0"/>
        <w:pageBreakBefore w:val="0"/>
        <w:kinsoku/>
        <w:wordWrap/>
        <w:overflowPunct/>
        <w:topLinePunct w:val="0"/>
        <w:bidi w:val="0"/>
        <w:spacing w:line="400" w:lineRule="exact"/>
        <w:ind w:left="0" w:leftChars="0" w:firstLine="0" w:firstLineChars="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合同一般条款</w:t>
      </w:r>
    </w:p>
    <w:p w14:paraId="66136BCD">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190" w:name="_Ref467378499"/>
      <w:bookmarkStart w:id="191" w:name="_Toc487900349"/>
      <w:bookmarkStart w:id="192" w:name="_Ref467378463"/>
      <w:bookmarkStart w:id="193" w:name="_Toc19614"/>
      <w:bookmarkStart w:id="194" w:name="_Ref467379094"/>
      <w:bookmarkStart w:id="195" w:name="_Ref467379101"/>
      <w:bookmarkStart w:id="196" w:name="_Toc14202"/>
      <w:bookmarkStart w:id="197" w:name="_Ref467378404"/>
      <w:bookmarkStart w:id="198" w:name="_Toc28763"/>
      <w:bookmarkStart w:id="199" w:name="_Toc259093669"/>
      <w:bookmarkStart w:id="200" w:name="_Ref467379225"/>
      <w:bookmarkStart w:id="201" w:name="_Ref467379195"/>
      <w:bookmarkStart w:id="202" w:name="_Toc16917"/>
      <w:bookmarkStart w:id="203" w:name="_Ref467379214"/>
      <w:bookmarkStart w:id="204" w:name="_Toc279701240"/>
      <w:bookmarkStart w:id="205" w:name="_Ref467379205"/>
      <w:bookmarkStart w:id="206" w:name="_Ref467379109"/>
      <w:r>
        <w:rPr>
          <w:rFonts w:hint="eastAsia" w:ascii="宋体" w:hAnsi="宋体" w:eastAsia="宋体" w:cs="宋体"/>
          <w:b/>
          <w:color w:val="auto"/>
          <w:sz w:val="24"/>
          <w:szCs w:val="24"/>
          <w:highlight w:val="none"/>
        </w:rPr>
        <w:t>一、 定义</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08B0337">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2C1CE83F">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1.“合同”系指采购人和中标或成交供应商签订的载明双方当事人所达成的协议，并包括所有的附件、附录和构成合同的其他文件。</w:t>
      </w:r>
    </w:p>
    <w:p w14:paraId="6AB506C5">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2.“合同价”系指根据合同约定，中标或成交供应商在完全履行合同义务后，采购人应支付给中标或成交供应商的价格。</w:t>
      </w:r>
    </w:p>
    <w:p w14:paraId="20498DF2">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bookmarkStart w:id="207" w:name="_Ref467378840"/>
      <w:r>
        <w:rPr>
          <w:rFonts w:hint="eastAsia" w:ascii="宋体" w:hAnsi="宋体" w:eastAsia="宋体" w:cs="宋体"/>
          <w:color w:val="auto"/>
          <w:sz w:val="24"/>
          <w:szCs w:val="24"/>
          <w:highlight w:val="none"/>
        </w:rPr>
        <w:t>4. “甲方”系指与中标或成交供应商签署合同的采购人</w:t>
      </w:r>
      <w:bookmarkEnd w:id="207"/>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7E3E80E6">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bookmarkStart w:id="208" w:name="_Ref467379400"/>
      <w:r>
        <w:rPr>
          <w:rFonts w:hint="eastAsia" w:ascii="宋体" w:hAnsi="宋体" w:eastAsia="宋体" w:cs="宋体"/>
          <w:color w:val="auto"/>
          <w:sz w:val="24"/>
          <w:szCs w:val="24"/>
          <w:highlight w:val="none"/>
        </w:rPr>
        <w:t>5.“乙方”系指根据合同约定交付货物的中标或成交供应商</w:t>
      </w:r>
      <w:bookmarkEnd w:id="208"/>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bookmarkStart w:id="209" w:name="_Ref467379436"/>
      <w:r>
        <w:rPr>
          <w:rFonts w:hint="eastAsia" w:ascii="宋体" w:hAnsi="宋体" w:eastAsia="宋体" w:cs="宋体"/>
          <w:color w:val="auto"/>
          <w:sz w:val="24"/>
          <w:szCs w:val="24"/>
          <w:highlight w:val="none"/>
        </w:rPr>
        <w:t>6.“现场”系指合同约定货物将要运至或者安装的地点。</w:t>
      </w:r>
      <w:bookmarkEnd w:id="209"/>
    </w:p>
    <w:p w14:paraId="172A4E89">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除特别约定为工作日之外，本合同所有提及的“天”“日”均为日历天。</w:t>
      </w:r>
    </w:p>
    <w:p w14:paraId="593DD4DA">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10" w:name="_Toc32504"/>
      <w:bookmarkStart w:id="211" w:name="_Toc27635"/>
      <w:bookmarkStart w:id="212" w:name="_Toc13336"/>
      <w:bookmarkStart w:id="213" w:name="_Toc279701241"/>
      <w:bookmarkStart w:id="214" w:name="_Toc259093670"/>
      <w:bookmarkStart w:id="215" w:name="_Toc487900350"/>
      <w:bookmarkStart w:id="216" w:name="_Toc24913"/>
      <w:r>
        <w:rPr>
          <w:rFonts w:hint="eastAsia" w:ascii="宋体" w:hAnsi="宋体" w:eastAsia="宋体" w:cs="宋体"/>
          <w:b/>
          <w:color w:val="auto"/>
          <w:sz w:val="24"/>
          <w:szCs w:val="24"/>
          <w:highlight w:val="none"/>
        </w:rPr>
        <w:t>二、技术规范</w:t>
      </w:r>
      <w:bookmarkEnd w:id="210"/>
      <w:bookmarkEnd w:id="211"/>
      <w:bookmarkEnd w:id="212"/>
      <w:bookmarkEnd w:id="213"/>
      <w:bookmarkEnd w:id="214"/>
      <w:bookmarkEnd w:id="215"/>
      <w:bookmarkEnd w:id="216"/>
    </w:p>
    <w:p w14:paraId="1D8FB286">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17" w:name="_Toc24748"/>
      <w:bookmarkStart w:id="218" w:name="_Toc279701242"/>
      <w:bookmarkStart w:id="219" w:name="_Toc27853"/>
      <w:bookmarkStart w:id="220" w:name="_Toc487900351"/>
      <w:bookmarkStart w:id="221" w:name="_Toc9829"/>
      <w:bookmarkStart w:id="222" w:name="_Toc31634"/>
      <w:bookmarkStart w:id="223" w:name="_Toc259093671"/>
      <w:r>
        <w:rPr>
          <w:rFonts w:hint="eastAsia" w:ascii="宋体" w:hAnsi="宋体" w:eastAsia="宋体" w:cs="宋体"/>
          <w:b/>
          <w:color w:val="auto"/>
          <w:sz w:val="24"/>
          <w:szCs w:val="24"/>
          <w:highlight w:val="none"/>
        </w:rPr>
        <w:t>三、知识产权</w:t>
      </w:r>
      <w:bookmarkEnd w:id="217"/>
      <w:bookmarkEnd w:id="218"/>
      <w:bookmarkEnd w:id="219"/>
      <w:bookmarkEnd w:id="220"/>
      <w:bookmarkEnd w:id="221"/>
      <w:bookmarkEnd w:id="222"/>
      <w:bookmarkEnd w:id="223"/>
    </w:p>
    <w:p w14:paraId="1FED0CBD">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乙方应保证甲方在使用该货物或其任何一部分时不受任何第三方提出的侵犯其著作权、商标权、专利权等知识产权方面的</w:t>
      </w:r>
      <w:r>
        <w:rPr>
          <w:rFonts w:hint="eastAsia" w:ascii="宋体" w:hAnsi="宋体" w:eastAsia="宋体" w:cs="宋体"/>
          <w:color w:val="auto"/>
          <w:sz w:val="24"/>
          <w:szCs w:val="24"/>
          <w:highlight w:val="none"/>
          <w:lang w:val="en-US" w:eastAsia="zh-CN"/>
        </w:rPr>
        <w:t>索赔</w:t>
      </w:r>
      <w:r>
        <w:rPr>
          <w:rFonts w:hint="eastAsia" w:ascii="宋体" w:hAnsi="宋体" w:eastAsia="宋体" w:cs="宋体"/>
          <w:color w:val="auto"/>
          <w:sz w:val="24"/>
          <w:szCs w:val="24"/>
          <w:highlight w:val="none"/>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color w:val="auto"/>
          <w:sz w:val="24"/>
          <w:szCs w:val="24"/>
          <w:highlight w:val="none"/>
          <w:lang w:val="en-US" w:eastAsia="zh-CN"/>
        </w:rPr>
        <w:t>如甲方因此受损，乙方应当赔偿甲方因此遭受的所有损失</w:t>
      </w:r>
      <w:r>
        <w:rPr>
          <w:rFonts w:hint="eastAsia" w:ascii="宋体" w:hAnsi="宋体" w:eastAsia="宋体" w:cs="宋体"/>
          <w:color w:val="auto"/>
          <w:sz w:val="24"/>
          <w:szCs w:val="24"/>
          <w:highlight w:val="none"/>
        </w:rPr>
        <w:t>。</w:t>
      </w:r>
    </w:p>
    <w:p w14:paraId="170A9E9A">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2.具有知识产权的计算机软件等货物的知识产权归属，双方另行商定签订协议。</w:t>
      </w:r>
    </w:p>
    <w:p w14:paraId="591AB173">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24" w:name="_Toc29149"/>
      <w:bookmarkStart w:id="225" w:name="_Toc11932"/>
      <w:bookmarkStart w:id="226" w:name="_Toc4194"/>
      <w:bookmarkStart w:id="227" w:name="_Toc8937"/>
      <w:r>
        <w:rPr>
          <w:rFonts w:hint="eastAsia" w:ascii="宋体" w:hAnsi="宋体" w:eastAsia="宋体" w:cs="宋体"/>
          <w:b/>
          <w:color w:val="auto"/>
          <w:sz w:val="24"/>
          <w:szCs w:val="24"/>
          <w:highlight w:val="none"/>
        </w:rPr>
        <w:t>四、装运包装</w:t>
      </w:r>
      <w:bookmarkEnd w:id="224"/>
      <w:bookmarkEnd w:id="225"/>
      <w:bookmarkEnd w:id="226"/>
      <w:r>
        <w:rPr>
          <w:rFonts w:hint="eastAsia" w:ascii="宋体" w:hAnsi="宋体" w:eastAsia="宋体" w:cs="宋体"/>
          <w:b/>
          <w:color w:val="auto"/>
          <w:sz w:val="24"/>
          <w:szCs w:val="24"/>
          <w:highlight w:val="none"/>
        </w:rPr>
        <w:t>及交付要求</w:t>
      </w:r>
      <w:bookmarkEnd w:id="227"/>
    </w:p>
    <w:p w14:paraId="521609AF">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2.乙方交付货物的要求如下：</w:t>
      </w:r>
    </w:p>
    <w:p w14:paraId="412B3614">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（1）乙方送货每批物资必须附甲方采购订单、送货单、合格证或者检测报告，否则甲方有权拒收；</w:t>
      </w:r>
    </w:p>
    <w:p w14:paraId="0911B349">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（2）送货单须完好并书面整洁，必须填写供应商名称、货物名称、规格型号、数量等信息，且均与采购订单上信息一致，同时加盖供应商单位章；</w:t>
      </w:r>
    </w:p>
    <w:p w14:paraId="2F86D45E">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（3）送货单内容、数量必须与送货实物一致，不得虚开数量，超送部分，甲方有权拒收；</w:t>
      </w:r>
    </w:p>
    <w:p w14:paraId="156E8463">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（4）货物外包装上必须标明物资名称、规格信息、数量等基本信息，同一货物数量尽量采用整箱或整十包装，便于甲方点数；若有破损或被挤压变形，甲方有权拒收。</w:t>
      </w:r>
    </w:p>
    <w:p w14:paraId="0F438475">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28" w:name="_Toc26182"/>
      <w:bookmarkStart w:id="229" w:name="_Toc30272"/>
      <w:bookmarkStart w:id="230" w:name="_Toc19074"/>
      <w:bookmarkStart w:id="231" w:name="_Toc13947"/>
      <w:r>
        <w:rPr>
          <w:rFonts w:hint="eastAsia" w:ascii="宋体" w:hAnsi="宋体" w:eastAsia="宋体" w:cs="宋体"/>
          <w:b/>
          <w:color w:val="auto"/>
          <w:sz w:val="24"/>
          <w:szCs w:val="24"/>
          <w:highlight w:val="none"/>
        </w:rPr>
        <w:t>五、 履约检查和问题反馈</w:t>
      </w:r>
      <w:bookmarkEnd w:id="228"/>
      <w:bookmarkEnd w:id="229"/>
      <w:bookmarkEnd w:id="230"/>
      <w:bookmarkEnd w:id="231"/>
    </w:p>
    <w:p w14:paraId="746F8851">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bookmarkStart w:id="232" w:name="_Toc186431854"/>
      <w:bookmarkStart w:id="233" w:name="_Toc487900357"/>
      <w:bookmarkStart w:id="234" w:name="_Ref467379793"/>
      <w:bookmarkStart w:id="235" w:name="_Ref467379807"/>
      <w:bookmarkStart w:id="236" w:name="_Toc259093676"/>
      <w:bookmarkStart w:id="237" w:name="_Toc279701247"/>
      <w:r>
        <w:rPr>
          <w:rFonts w:hint="eastAsia" w:ascii="宋体" w:hAnsi="宋体" w:eastAsia="宋体" w:cs="宋体"/>
          <w:color w:val="auto"/>
          <w:sz w:val="24"/>
          <w:szCs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合同履行期间，甲方有权将履行过程中出现的问题反馈给乙方，双方当事人应以书面形式约定需要完善和改进的内容</w:t>
      </w:r>
      <w:bookmarkEnd w:id="232"/>
      <w:bookmarkStart w:id="238" w:name="_Toc186431855"/>
      <w:r>
        <w:rPr>
          <w:rFonts w:hint="eastAsia" w:ascii="宋体" w:hAnsi="宋体" w:eastAsia="宋体" w:cs="宋体"/>
          <w:color w:val="auto"/>
          <w:sz w:val="24"/>
          <w:szCs w:val="24"/>
          <w:highlight w:val="none"/>
        </w:rPr>
        <w:t>。</w:t>
      </w:r>
    </w:p>
    <w:bookmarkEnd w:id="233"/>
    <w:bookmarkEnd w:id="234"/>
    <w:bookmarkEnd w:id="235"/>
    <w:bookmarkEnd w:id="236"/>
    <w:bookmarkEnd w:id="237"/>
    <w:bookmarkEnd w:id="238"/>
    <w:p w14:paraId="08735666">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39" w:name="_Ref467379923"/>
      <w:bookmarkStart w:id="240" w:name="_Ref467379863"/>
      <w:bookmarkStart w:id="241" w:name="_Toc487900358"/>
      <w:bookmarkStart w:id="242" w:name="_Ref467379852"/>
      <w:bookmarkStart w:id="243" w:name="_Toc279701248"/>
      <w:bookmarkStart w:id="244" w:name="_Toc259093677"/>
      <w:bookmarkStart w:id="245" w:name="_Toc23386"/>
      <w:bookmarkStart w:id="246" w:name="_Toc16110"/>
      <w:bookmarkStart w:id="247" w:name="_Toc3225"/>
      <w:bookmarkStart w:id="248" w:name="_Toc774"/>
      <w:r>
        <w:rPr>
          <w:rFonts w:hint="eastAsia" w:ascii="宋体" w:hAnsi="宋体" w:eastAsia="宋体" w:cs="宋体"/>
          <w:b/>
          <w:color w:val="auto"/>
          <w:sz w:val="24"/>
          <w:szCs w:val="24"/>
          <w:highlight w:val="none"/>
        </w:rPr>
        <w:t>六、技术资料</w:t>
      </w:r>
      <w:bookmarkEnd w:id="239"/>
      <w:bookmarkEnd w:id="240"/>
      <w:bookmarkEnd w:id="241"/>
      <w:bookmarkEnd w:id="242"/>
      <w:bookmarkEnd w:id="243"/>
      <w:bookmarkEnd w:id="244"/>
      <w:r>
        <w:rPr>
          <w:rFonts w:hint="eastAsia" w:ascii="宋体" w:hAnsi="宋体" w:eastAsia="宋体" w:cs="宋体"/>
          <w:b/>
          <w:color w:val="auto"/>
          <w:sz w:val="24"/>
          <w:szCs w:val="24"/>
          <w:highlight w:val="none"/>
        </w:rPr>
        <w:t>和保密义务</w:t>
      </w:r>
      <w:bookmarkEnd w:id="245"/>
      <w:bookmarkEnd w:id="246"/>
      <w:bookmarkEnd w:id="247"/>
      <w:bookmarkEnd w:id="248"/>
    </w:p>
    <w:p w14:paraId="2389BFE4">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1.乙方有权依据合同约定和项目需要，向甲方了解有关情况，调阅有关资料等，甲方应予积极配合；</w:t>
      </w:r>
    </w:p>
    <w:p w14:paraId="3C321F0B">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2.乙方有义务妥善保管和保护由甲方提供的前款信息和资料等；</w:t>
      </w:r>
    </w:p>
    <w:p w14:paraId="015D31EF">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49" w:name="_Toc7860"/>
      <w:bookmarkStart w:id="250" w:name="_Toc17069"/>
      <w:r>
        <w:rPr>
          <w:rFonts w:hint="eastAsia" w:ascii="宋体" w:hAnsi="宋体" w:eastAsia="宋体" w:cs="宋体"/>
          <w:b/>
          <w:color w:val="auto"/>
          <w:sz w:val="24"/>
          <w:szCs w:val="24"/>
          <w:highlight w:val="none"/>
        </w:rPr>
        <w:t>七、质量保证</w:t>
      </w:r>
      <w:bookmarkEnd w:id="249"/>
      <w:bookmarkEnd w:id="250"/>
    </w:p>
    <w:p w14:paraId="6128CC10">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乙方应保证履行合同的人员数量和素质、软件和硬件设备的配置、场地、环境和设施等满足全面履行合同的要求。</w:t>
      </w:r>
    </w:p>
    <w:p w14:paraId="271362AF">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51" w:name="_Toc17244"/>
      <w:bookmarkStart w:id="252" w:name="_Toc27860"/>
      <w:bookmarkStart w:id="253" w:name="_Toc487900362"/>
      <w:bookmarkStart w:id="254" w:name="_Toc259093681"/>
      <w:bookmarkStart w:id="255" w:name="_Toc279701252"/>
      <w:r>
        <w:rPr>
          <w:rFonts w:hint="eastAsia" w:ascii="宋体" w:hAnsi="宋体" w:eastAsia="宋体" w:cs="宋体"/>
          <w:b/>
          <w:color w:val="auto"/>
          <w:sz w:val="24"/>
          <w:szCs w:val="24"/>
          <w:highlight w:val="none"/>
        </w:rPr>
        <w:t>八、货物的风险负担</w:t>
      </w:r>
      <w:bookmarkEnd w:id="251"/>
      <w:bookmarkEnd w:id="252"/>
    </w:p>
    <w:p w14:paraId="5D67B011">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货物或者在途货物或者交付给第一承运人后的货物毁损、灭失的风险负担由乙方承担。</w:t>
      </w:r>
    </w:p>
    <w:p w14:paraId="317EE8D3">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56" w:name="_Toc14055"/>
      <w:bookmarkStart w:id="257" w:name="_Toc26667"/>
      <w:r>
        <w:rPr>
          <w:rFonts w:hint="eastAsia" w:ascii="宋体" w:hAnsi="宋体" w:eastAsia="宋体" w:cs="宋体"/>
          <w:b/>
          <w:color w:val="auto"/>
          <w:sz w:val="24"/>
          <w:szCs w:val="24"/>
          <w:highlight w:val="none"/>
        </w:rPr>
        <w:t>九、延迟交货</w:t>
      </w:r>
      <w:bookmarkEnd w:id="253"/>
      <w:bookmarkEnd w:id="254"/>
      <w:bookmarkEnd w:id="255"/>
      <w:bookmarkEnd w:id="256"/>
      <w:bookmarkEnd w:id="257"/>
    </w:p>
    <w:p w14:paraId="67BAE231">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58" w:name="_Toc7502"/>
      <w:bookmarkStart w:id="259" w:name="_Toc31277"/>
      <w:bookmarkStart w:id="260" w:name="_Toc487900364"/>
      <w:bookmarkStart w:id="261" w:name="_Ref467378121"/>
      <w:bookmarkStart w:id="262" w:name="_Toc259093683"/>
      <w:bookmarkStart w:id="263" w:name="_Toc279701254"/>
      <w:r>
        <w:rPr>
          <w:rFonts w:hint="eastAsia" w:ascii="宋体" w:hAnsi="宋体" w:eastAsia="宋体" w:cs="宋体"/>
          <w:b/>
          <w:color w:val="auto"/>
          <w:sz w:val="24"/>
          <w:szCs w:val="24"/>
          <w:highlight w:val="none"/>
        </w:rPr>
        <w:t>十、合同变更</w:t>
      </w:r>
      <w:bookmarkEnd w:id="258"/>
      <w:r>
        <w:rPr>
          <w:rFonts w:hint="eastAsia" w:ascii="宋体" w:hAnsi="宋体" w:eastAsia="宋体" w:cs="宋体"/>
          <w:b/>
          <w:color w:val="auto"/>
          <w:sz w:val="24"/>
          <w:szCs w:val="24"/>
          <w:highlight w:val="none"/>
        </w:rPr>
        <w:t>或补充</w:t>
      </w:r>
      <w:bookmarkEnd w:id="259"/>
    </w:p>
    <w:p w14:paraId="45F1B0F9">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bookmarkStart w:id="264" w:name="_Toc487900369"/>
      <w:bookmarkStart w:id="265" w:name="_Toc259093688"/>
      <w:bookmarkStart w:id="266" w:name="_Toc279701259"/>
      <w:bookmarkStart w:id="267" w:name="_Toc22955"/>
      <w:bookmarkStart w:id="268" w:name="_Toc15237"/>
      <w:bookmarkStart w:id="269" w:name="_Toc10366"/>
      <w:r>
        <w:rPr>
          <w:rFonts w:hint="eastAsia" w:ascii="宋体" w:hAnsi="宋体" w:eastAsia="宋体" w:cs="宋体"/>
          <w:color w:val="auto"/>
          <w:sz w:val="24"/>
          <w:szCs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2.本合同如有未尽事宜，双方协商解决。经双方协商后以补充协议形式书面确认，并作为本合同不可分割部分。如补充协议与本合同有不同之处，以补充协议为准。</w:t>
      </w:r>
    </w:p>
    <w:p w14:paraId="05AF31FA">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3.本合同生效后，双方就质量、价款或者报酬、履行地点等内容没有约定或者约定不明确的，或者存在明显错误的，可以协议补充；不能达成补充协议的，按照合同相关条款确定。</w:t>
      </w:r>
    </w:p>
    <w:p w14:paraId="7D5835DC">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70" w:name="_Toc9154"/>
      <w:r>
        <w:rPr>
          <w:rFonts w:hint="eastAsia" w:ascii="宋体" w:hAnsi="宋体" w:eastAsia="宋体" w:cs="宋体"/>
          <w:b/>
          <w:color w:val="auto"/>
          <w:sz w:val="24"/>
          <w:szCs w:val="24"/>
          <w:highlight w:val="none"/>
        </w:rPr>
        <w:t>十一、 合同转让</w:t>
      </w:r>
      <w:bookmarkEnd w:id="264"/>
      <w:bookmarkEnd w:id="265"/>
      <w:bookmarkEnd w:id="266"/>
      <w:r>
        <w:rPr>
          <w:rFonts w:hint="eastAsia" w:ascii="宋体" w:hAnsi="宋体" w:eastAsia="宋体" w:cs="宋体"/>
          <w:b/>
          <w:color w:val="auto"/>
          <w:sz w:val="24"/>
          <w:szCs w:val="24"/>
          <w:highlight w:val="none"/>
        </w:rPr>
        <w:t>和分包</w:t>
      </w:r>
      <w:bookmarkEnd w:id="267"/>
      <w:bookmarkEnd w:id="268"/>
      <w:bookmarkEnd w:id="269"/>
      <w:bookmarkEnd w:id="270"/>
    </w:p>
    <w:p w14:paraId="0FD02E2E">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2.乙方采取分包方式履行合同的，甲方可直接向分包供应商支付款项。</w:t>
      </w:r>
    </w:p>
    <w:p w14:paraId="0FF3B621">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71" w:name="_Toc14066"/>
      <w:bookmarkStart w:id="272" w:name="_Toc16508"/>
      <w:bookmarkStart w:id="273" w:name="_Toc13566"/>
      <w:bookmarkStart w:id="274" w:name="_Toc1316"/>
      <w:r>
        <w:rPr>
          <w:rFonts w:hint="eastAsia" w:ascii="宋体" w:hAnsi="宋体" w:eastAsia="宋体" w:cs="宋体"/>
          <w:b/>
          <w:color w:val="auto"/>
          <w:sz w:val="24"/>
          <w:szCs w:val="24"/>
          <w:highlight w:val="none"/>
        </w:rPr>
        <w:t>十二、不可抗力</w:t>
      </w:r>
      <w:bookmarkEnd w:id="271"/>
      <w:bookmarkEnd w:id="272"/>
      <w:bookmarkEnd w:id="273"/>
      <w:bookmarkEnd w:id="274"/>
    </w:p>
    <w:p w14:paraId="20E44FD7">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bookmarkStart w:id="275" w:name="_Toc6969"/>
      <w:bookmarkStart w:id="276" w:name="_Toc487900365"/>
      <w:bookmarkStart w:id="277" w:name="_Toc279701255"/>
      <w:bookmarkStart w:id="278" w:name="_Toc689"/>
      <w:bookmarkStart w:id="279" w:name="_Toc259093684"/>
      <w:bookmarkStart w:id="280" w:name="_Toc30676"/>
      <w:r>
        <w:rPr>
          <w:rFonts w:hint="eastAsia" w:ascii="宋体" w:hAnsi="宋体" w:eastAsia="宋体" w:cs="宋体"/>
          <w:color w:val="auto"/>
          <w:sz w:val="24"/>
          <w:szCs w:val="24"/>
          <w:highlight w:val="none"/>
        </w:rPr>
        <w:t>1.如果任何一方遭遇法律规定的不可抗力，致使合同履行受阻时，履行合同的期限应予延长，延长的期限应相当于不可抗力所影响的时间；</w:t>
      </w:r>
    </w:p>
    <w:p w14:paraId="2ACB0083">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因不可抗力致使不能实现合同目的的，当事人可以解除合同；</w:t>
      </w:r>
    </w:p>
    <w:p w14:paraId="039E5C70">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3.因不可抗力致使合同有变更必要的，双方当事人应在</w:t>
      </w:r>
      <w:r>
        <w:rPr>
          <w:rFonts w:hint="eastAsia" w:ascii="宋体" w:hAnsi="宋体" w:eastAsia="宋体" w:cs="宋体"/>
          <w:color w:val="auto"/>
          <w:sz w:val="24"/>
          <w:szCs w:val="24"/>
          <w:highlight w:val="none"/>
          <w:u w:val="single"/>
        </w:rPr>
        <w:t>5个工作日</w:t>
      </w:r>
      <w:r>
        <w:rPr>
          <w:rFonts w:hint="eastAsia" w:ascii="宋体" w:hAnsi="宋体" w:eastAsia="宋体" w:cs="宋体"/>
          <w:color w:val="auto"/>
          <w:sz w:val="24"/>
          <w:szCs w:val="24"/>
          <w:highlight w:val="none"/>
        </w:rPr>
        <w:t>内以书面形式变更合同；</w:t>
      </w:r>
    </w:p>
    <w:p w14:paraId="00F0FA4A">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4.受不可抗力影响的一方在不可抗力发生后，应在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内以书面形式通知对方当事人，并在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内，将有关部门出具的证明文件送达对方当事人。</w:t>
      </w:r>
    </w:p>
    <w:p w14:paraId="45647D5A">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81" w:name="_Toc4046"/>
      <w:r>
        <w:rPr>
          <w:rFonts w:hint="eastAsia" w:ascii="宋体" w:hAnsi="宋体" w:eastAsia="宋体" w:cs="宋体"/>
          <w:b/>
          <w:color w:val="auto"/>
          <w:sz w:val="24"/>
          <w:szCs w:val="24"/>
          <w:highlight w:val="none"/>
        </w:rPr>
        <w:t>十三、 税费</w:t>
      </w:r>
      <w:bookmarkEnd w:id="275"/>
      <w:bookmarkEnd w:id="276"/>
      <w:bookmarkEnd w:id="277"/>
      <w:bookmarkEnd w:id="278"/>
      <w:bookmarkEnd w:id="279"/>
      <w:bookmarkEnd w:id="280"/>
      <w:bookmarkEnd w:id="281"/>
    </w:p>
    <w:p w14:paraId="50F286D5">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w:t>
      </w:r>
    </w:p>
    <w:p w14:paraId="6D34ED96">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82" w:name="_Toc259093687"/>
      <w:bookmarkStart w:id="283" w:name="_Toc8298"/>
      <w:bookmarkStart w:id="284" w:name="_Toc279701258"/>
      <w:bookmarkStart w:id="285" w:name="_Toc7102"/>
      <w:bookmarkStart w:id="286" w:name="_Toc18387"/>
      <w:bookmarkStart w:id="287" w:name="_Toc16959"/>
      <w:bookmarkStart w:id="288" w:name="_Toc487900368"/>
      <w:r>
        <w:rPr>
          <w:rFonts w:hint="eastAsia" w:ascii="宋体" w:hAnsi="宋体" w:eastAsia="宋体" w:cs="宋体"/>
          <w:b/>
          <w:color w:val="auto"/>
          <w:sz w:val="24"/>
          <w:szCs w:val="24"/>
          <w:highlight w:val="none"/>
        </w:rPr>
        <w:t>十四、乙方破产</w:t>
      </w:r>
      <w:bookmarkEnd w:id="282"/>
      <w:bookmarkEnd w:id="283"/>
      <w:bookmarkEnd w:id="284"/>
      <w:bookmarkEnd w:id="285"/>
      <w:bookmarkEnd w:id="286"/>
      <w:bookmarkEnd w:id="287"/>
      <w:bookmarkEnd w:id="288"/>
    </w:p>
    <w:p w14:paraId="1E07162F">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89" w:name="_Toc6134"/>
      <w:bookmarkStart w:id="290" w:name="_Toc10853"/>
      <w:bookmarkStart w:id="291" w:name="_Toc15387"/>
      <w:bookmarkStart w:id="292" w:name="_Toc29333"/>
      <w:r>
        <w:rPr>
          <w:rFonts w:hint="eastAsia" w:ascii="宋体" w:hAnsi="宋体" w:eastAsia="宋体" w:cs="宋体"/>
          <w:b/>
          <w:color w:val="auto"/>
          <w:sz w:val="24"/>
          <w:szCs w:val="24"/>
          <w:highlight w:val="none"/>
        </w:rPr>
        <w:t>十五、合同中止、终止</w:t>
      </w:r>
      <w:bookmarkEnd w:id="289"/>
      <w:bookmarkEnd w:id="290"/>
      <w:bookmarkEnd w:id="291"/>
      <w:bookmarkEnd w:id="292"/>
    </w:p>
    <w:p w14:paraId="17436890">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1.双方当事人不得擅自中止或者终止合同；</w:t>
      </w:r>
    </w:p>
    <w:p w14:paraId="05E799C1">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2.双方当事人应当中止或者终止合同，有过错的一方应当承担赔偿责任，双方当事人都有过错的，各自承担相应的责任；</w:t>
      </w:r>
    </w:p>
    <w:p w14:paraId="470A4D33">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双方</w:t>
      </w:r>
      <w:r>
        <w:rPr>
          <w:rFonts w:hint="eastAsia" w:ascii="宋体" w:hAnsi="宋体" w:eastAsia="宋体" w:cs="宋体"/>
          <w:color w:val="auto"/>
          <w:sz w:val="24"/>
          <w:szCs w:val="24"/>
          <w:highlight w:val="none"/>
        </w:rPr>
        <w:t>完成合同</w:t>
      </w:r>
      <w:r>
        <w:rPr>
          <w:rFonts w:hint="eastAsia" w:ascii="宋体" w:hAnsi="宋体" w:eastAsia="宋体" w:cs="宋体"/>
          <w:color w:val="auto"/>
          <w:sz w:val="24"/>
          <w:szCs w:val="24"/>
          <w:highlight w:val="none"/>
          <w:lang w:val="en-US" w:eastAsia="zh-CN"/>
        </w:rPr>
        <w:t>所有约定</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（含质保要求）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自动终止；若在合同有效期之前完成的，提前终止合同，无须再另行签订终止补充协议，甲方按合同约定要求及时退还乙方履约保证金。</w:t>
      </w:r>
    </w:p>
    <w:p w14:paraId="2BE072EB">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.出现违约行为的，甲方有权</w:t>
      </w:r>
      <w:r>
        <w:rPr>
          <w:rFonts w:hint="eastAsia" w:ascii="宋体" w:hAnsi="宋体" w:eastAsia="宋体" w:cs="宋体"/>
          <w:color w:val="auto"/>
          <w:sz w:val="24"/>
          <w:szCs w:val="24"/>
          <w:highlight w:val="none"/>
          <w:lang w:eastAsia="zh-CN"/>
        </w:rPr>
        <w:t>终</w:t>
      </w:r>
      <w:r>
        <w:rPr>
          <w:rFonts w:hint="eastAsia" w:ascii="宋体" w:hAnsi="宋体" w:eastAsia="宋体" w:cs="宋体"/>
          <w:color w:val="auto"/>
          <w:sz w:val="24"/>
          <w:szCs w:val="24"/>
          <w:highlight w:val="none"/>
        </w:rPr>
        <w:t>止或解除合同。</w:t>
      </w:r>
    </w:p>
    <w:bookmarkEnd w:id="260"/>
    <w:bookmarkEnd w:id="261"/>
    <w:bookmarkEnd w:id="262"/>
    <w:bookmarkEnd w:id="263"/>
    <w:p w14:paraId="6169619A">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293" w:name="_Toc279701261"/>
      <w:bookmarkStart w:id="294" w:name="_Toc259093690"/>
      <w:bookmarkStart w:id="295" w:name="_Toc487900371"/>
      <w:bookmarkStart w:id="296" w:name="_Toc11284"/>
      <w:bookmarkStart w:id="297" w:name="_Toc19604"/>
      <w:bookmarkStart w:id="298" w:name="_Toc27325"/>
      <w:bookmarkStart w:id="299" w:name="_Toc25182"/>
      <w:r>
        <w:rPr>
          <w:rFonts w:hint="eastAsia" w:ascii="宋体" w:hAnsi="宋体" w:eastAsia="宋体" w:cs="宋体"/>
          <w:b/>
          <w:color w:val="auto"/>
          <w:sz w:val="24"/>
          <w:szCs w:val="24"/>
          <w:highlight w:val="none"/>
        </w:rPr>
        <w:t>十六、 通知</w:t>
      </w:r>
      <w:bookmarkEnd w:id="293"/>
      <w:bookmarkEnd w:id="294"/>
      <w:bookmarkEnd w:id="295"/>
      <w:r>
        <w:rPr>
          <w:rFonts w:hint="eastAsia" w:ascii="宋体" w:hAnsi="宋体" w:eastAsia="宋体" w:cs="宋体"/>
          <w:b/>
          <w:color w:val="auto"/>
          <w:sz w:val="24"/>
          <w:szCs w:val="24"/>
          <w:highlight w:val="none"/>
        </w:rPr>
        <w:t>和送达</w:t>
      </w:r>
      <w:bookmarkEnd w:id="296"/>
      <w:bookmarkEnd w:id="297"/>
      <w:bookmarkEnd w:id="298"/>
      <w:bookmarkEnd w:id="299"/>
    </w:p>
    <w:p w14:paraId="0C09EF39">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bookmarkStart w:id="300" w:name="_Toc27674"/>
      <w:bookmarkStart w:id="301" w:name="_Toc18401"/>
      <w:bookmarkStart w:id="302" w:name="_Toc487900372"/>
      <w:bookmarkStart w:id="303" w:name="_Toc259093691"/>
      <w:bookmarkStart w:id="304" w:name="_Toc4355"/>
      <w:bookmarkStart w:id="305" w:name="_Toc279701262"/>
      <w:bookmarkStart w:id="306" w:name="_Toc30599"/>
      <w:bookmarkStart w:id="307" w:name="_Toc18540"/>
      <w:r>
        <w:rPr>
          <w:rFonts w:hint="eastAsia" w:ascii="宋体" w:hAnsi="宋体" w:eastAsia="宋体" w:cs="宋体"/>
          <w:color w:val="auto"/>
          <w:sz w:val="24"/>
          <w:szCs w:val="24"/>
          <w:highlight w:val="none"/>
        </w:rPr>
        <w:t>1.任何一方因履行合同</w:t>
      </w:r>
      <w:r>
        <w:rPr>
          <w:rFonts w:hint="eastAsia" w:ascii="宋体" w:hAnsi="宋体" w:eastAsia="宋体" w:cs="宋体"/>
          <w:color w:val="auto"/>
          <w:sz w:val="24"/>
          <w:szCs w:val="24"/>
          <w:highlight w:val="none"/>
          <w:lang w:val="en-US" w:eastAsia="zh-CN"/>
        </w:rPr>
        <w:t>等问题</w:t>
      </w:r>
      <w:r>
        <w:rPr>
          <w:rFonts w:hint="eastAsia" w:ascii="宋体" w:hAnsi="宋体" w:eastAsia="宋体" w:cs="宋体"/>
          <w:color w:val="auto"/>
          <w:sz w:val="24"/>
          <w:szCs w:val="24"/>
          <w:highlight w:val="none"/>
        </w:rPr>
        <w:t>而以</w:t>
      </w:r>
      <w:r>
        <w:rPr>
          <w:rFonts w:hint="eastAsia" w:ascii="宋体" w:hAnsi="宋体" w:eastAsia="宋体" w:cs="宋体"/>
          <w:b/>
          <w:bCs/>
          <w:color w:val="auto"/>
          <w:sz w:val="24"/>
          <w:szCs w:val="24"/>
          <w:highlight w:val="none"/>
          <w:u w:val="single"/>
        </w:rPr>
        <w:t>合同第</w:t>
      </w:r>
      <w:r>
        <w:rPr>
          <w:rFonts w:hint="eastAsia" w:ascii="宋体" w:hAnsi="宋体" w:eastAsia="宋体" w:cs="宋体"/>
          <w:b/>
          <w:bCs/>
          <w:color w:val="auto"/>
          <w:sz w:val="24"/>
          <w:szCs w:val="24"/>
          <w:highlight w:val="none"/>
          <w:u w:val="single"/>
          <w:lang w:val="en-US" w:eastAsia="zh-CN"/>
        </w:rPr>
        <w:t>二</w:t>
      </w:r>
      <w:r>
        <w:rPr>
          <w:rFonts w:hint="eastAsia" w:ascii="宋体" w:hAnsi="宋体" w:eastAsia="宋体" w:cs="宋体"/>
          <w:b/>
          <w:bCs/>
          <w:color w:val="auto"/>
          <w:sz w:val="24"/>
          <w:szCs w:val="24"/>
          <w:highlight w:val="none"/>
          <w:u w:val="single"/>
        </w:rPr>
        <w:t>章尾部所列明的电子邮件</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277D22DF">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2.以当面交付方式送达的，交付之时视为送达；以电子邮件方式送达的，发出电子邮件之时视为送达；以邮寄方式送达的，邮件挂号寄出或者交邮之日之次日视为送达。</w:t>
      </w:r>
      <w:bookmarkEnd w:id="300"/>
      <w:bookmarkEnd w:id="301"/>
    </w:p>
    <w:p w14:paraId="29831722">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308" w:name="_Toc6590"/>
      <w:r>
        <w:rPr>
          <w:rFonts w:hint="eastAsia" w:ascii="宋体" w:hAnsi="宋体" w:eastAsia="宋体" w:cs="宋体"/>
          <w:b/>
          <w:color w:val="auto"/>
          <w:sz w:val="24"/>
          <w:szCs w:val="24"/>
          <w:highlight w:val="none"/>
        </w:rPr>
        <w:t>十七、 计量单位</w:t>
      </w:r>
      <w:bookmarkEnd w:id="302"/>
      <w:bookmarkEnd w:id="303"/>
      <w:bookmarkEnd w:id="304"/>
      <w:bookmarkEnd w:id="305"/>
      <w:bookmarkEnd w:id="306"/>
      <w:bookmarkEnd w:id="307"/>
      <w:bookmarkEnd w:id="308"/>
    </w:p>
    <w:p w14:paraId="65F6614D">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216F9287">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309" w:name="_Toc487900373"/>
      <w:bookmarkStart w:id="310" w:name="_Toc279701263"/>
      <w:bookmarkStart w:id="311" w:name="_Toc12773"/>
      <w:bookmarkStart w:id="312" w:name="_Toc1036"/>
      <w:bookmarkStart w:id="313" w:name="_Toc18567"/>
      <w:bookmarkStart w:id="314" w:name="_Toc10330"/>
      <w:bookmarkStart w:id="315" w:name="_Toc259093692"/>
      <w:r>
        <w:rPr>
          <w:rFonts w:hint="eastAsia" w:ascii="宋体" w:hAnsi="宋体" w:eastAsia="宋体" w:cs="宋体"/>
          <w:b/>
          <w:color w:val="auto"/>
          <w:sz w:val="24"/>
          <w:szCs w:val="24"/>
          <w:highlight w:val="none"/>
        </w:rPr>
        <w:t>十八、合同使用的文字和适用的法律</w:t>
      </w:r>
      <w:bookmarkEnd w:id="309"/>
      <w:bookmarkEnd w:id="310"/>
      <w:bookmarkEnd w:id="311"/>
      <w:bookmarkEnd w:id="312"/>
      <w:bookmarkEnd w:id="313"/>
      <w:bookmarkEnd w:id="314"/>
      <w:bookmarkEnd w:id="315"/>
    </w:p>
    <w:p w14:paraId="201C0288">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1.合同使用汉语书</w:t>
      </w:r>
      <w:r>
        <w:rPr>
          <w:rFonts w:hint="eastAsia" w:ascii="宋体" w:hAnsi="宋体" w:eastAsia="宋体" w:cs="宋体"/>
          <w:color w:val="auto"/>
          <w:sz w:val="24"/>
          <w:szCs w:val="24"/>
          <w:highlight w:val="none"/>
          <w:lang w:val="en-US" w:eastAsia="zh-CN"/>
        </w:rPr>
        <w:t>写</w:t>
      </w:r>
      <w:r>
        <w:rPr>
          <w:rFonts w:hint="eastAsia" w:ascii="宋体" w:hAnsi="宋体" w:eastAsia="宋体" w:cs="宋体"/>
          <w:color w:val="auto"/>
          <w:sz w:val="24"/>
          <w:szCs w:val="24"/>
          <w:highlight w:val="none"/>
        </w:rPr>
        <w:t>、变更和解释；</w:t>
      </w:r>
    </w:p>
    <w:p w14:paraId="178EBD07">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2.合同适用中华人民共和国法律。</w:t>
      </w:r>
    </w:p>
    <w:p w14:paraId="29DB9FE9">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highlight w:val="none"/>
        </w:rPr>
      </w:pPr>
      <w:bookmarkStart w:id="316" w:name="_Toc18662"/>
      <w:r>
        <w:rPr>
          <w:rFonts w:hint="eastAsia" w:ascii="宋体" w:hAnsi="宋体" w:eastAsia="宋体" w:cs="宋体"/>
          <w:b/>
          <w:color w:val="auto"/>
          <w:sz w:val="24"/>
          <w:szCs w:val="24"/>
          <w:highlight w:val="none"/>
        </w:rPr>
        <w:t>十九、特别提示</w:t>
      </w:r>
      <w:bookmarkEnd w:id="316"/>
    </w:p>
    <w:p w14:paraId="260ABB32">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甲乙双方共同确认：本合同系经双方协商后订立，双方已就本合同（包括但不</w:t>
      </w:r>
      <w:r>
        <w:rPr>
          <w:rFonts w:hint="eastAsia" w:ascii="宋体" w:hAnsi="宋体" w:eastAsia="宋体" w:cs="宋体"/>
          <w:b/>
          <w:bCs/>
          <w:color w:val="auto"/>
          <w:sz w:val="24"/>
          <w:szCs w:val="24"/>
          <w:highlight w:val="none"/>
          <w:u w:val="single"/>
          <w:lang w:eastAsia="zh-CN"/>
        </w:rPr>
        <w:t>限</w:t>
      </w:r>
      <w:r>
        <w:rPr>
          <w:rFonts w:hint="eastAsia" w:ascii="宋体" w:hAnsi="宋体" w:eastAsia="宋体" w:cs="宋体"/>
          <w:b/>
          <w:bCs/>
          <w:color w:val="auto"/>
          <w:sz w:val="24"/>
          <w:szCs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1"/>
        <w:keepNext w:val="0"/>
        <w:keepLines w:val="0"/>
        <w:pageBreakBefore w:val="0"/>
        <w:kinsoku/>
        <w:wordWrap/>
        <w:overflowPunct/>
        <w:topLinePunct w:val="0"/>
        <w:bidi w:val="0"/>
        <w:spacing w:line="400" w:lineRule="exact"/>
        <w:jc w:val="both"/>
        <w:textAlignment w:val="auto"/>
        <w:outlineLvl w:val="9"/>
        <w:rPr>
          <w:rFonts w:hint="eastAsia" w:ascii="宋体" w:hAnsi="宋体" w:eastAsia="宋体" w:cs="宋体"/>
          <w:color w:val="auto"/>
          <w:sz w:val="24"/>
          <w:szCs w:val="24"/>
          <w:highlight w:val="none"/>
        </w:rPr>
      </w:pPr>
    </w:p>
    <w:p w14:paraId="588EEFF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sz w:val="24"/>
          <w:szCs w:val="24"/>
          <w:highlight w:val="none"/>
        </w:rPr>
      </w:pP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乙方：</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***公司</w:t>
            </w:r>
            <w:r>
              <w:rPr>
                <w:rFonts w:hint="eastAsia" w:ascii="宋体" w:hAnsi="宋体" w:eastAsia="宋体" w:cs="宋体"/>
                <w:color w:val="auto"/>
                <w:sz w:val="24"/>
                <w:szCs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电子邮箱：</w:t>
            </w:r>
            <w:r>
              <w:rPr>
                <w:rFonts w:hint="eastAsia" w:ascii="宋体" w:hAnsi="宋体" w:eastAsia="宋体" w:cs="宋体"/>
                <w:color w:val="0000FF"/>
                <w:sz w:val="24"/>
                <w:szCs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开户账号：</w:t>
            </w:r>
          </w:p>
        </w:tc>
      </w:tr>
    </w:tbl>
    <w:p w14:paraId="75A1EBE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sz w:val="24"/>
          <w:szCs w:val="24"/>
          <w:highlight w:val="none"/>
        </w:rPr>
      </w:pPr>
    </w:p>
    <w:p w14:paraId="77D06A5F">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sz w:val="24"/>
          <w:szCs w:val="24"/>
          <w:highlight w:val="none"/>
        </w:rPr>
      </w:pPr>
    </w:p>
    <w:p w14:paraId="0CCEDE54">
      <w:pPr>
        <w:pStyle w:val="51"/>
        <w:keepNext w:val="0"/>
        <w:keepLines w:val="0"/>
        <w:pageBreakBefore w:val="0"/>
        <w:kinsoku/>
        <w:wordWrap/>
        <w:overflowPunct/>
        <w:topLinePunct w:val="0"/>
        <w:bidi w:val="0"/>
        <w:spacing w:line="400" w:lineRule="exact"/>
        <w:ind w:left="0" w:leftChars="0" w:firstLine="0" w:firstLineChars="0"/>
        <w:jc w:val="both"/>
        <w:textAlignment w:val="auto"/>
        <w:rPr>
          <w:rFonts w:hint="eastAsia" w:ascii="宋体" w:hAnsi="宋体" w:eastAsia="宋体" w:cs="宋体"/>
          <w:b/>
          <w:color w:val="auto"/>
          <w:sz w:val="24"/>
          <w:szCs w:val="24"/>
          <w:highlight w:val="none"/>
        </w:rPr>
      </w:pPr>
    </w:p>
    <w:p w14:paraId="59452CBB">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E870F99">
      <w:pPr>
        <w:pStyle w:val="51"/>
        <w:keepNext w:val="0"/>
        <w:keepLines w:val="0"/>
        <w:pageBreakBefore w:val="0"/>
        <w:kinsoku/>
        <w:wordWrap/>
        <w:overflowPunct/>
        <w:topLinePunct w:val="0"/>
        <w:bidi w:val="0"/>
        <w:spacing w:line="400" w:lineRule="exact"/>
        <w:ind w:left="0" w:leftChars="0" w:firstLine="0" w:firstLineChars="0"/>
        <w:jc w:val="center"/>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第三章  安全协议</w:t>
      </w:r>
    </w:p>
    <w:p w14:paraId="6CC59016">
      <w:pPr>
        <w:keepNext w:val="0"/>
        <w:keepLines w:val="0"/>
        <w:pageBreakBefore w:val="0"/>
        <w:widowControl/>
        <w:kinsoku/>
        <w:wordWrap/>
        <w:overflowPunct/>
        <w:topLinePunct w:val="0"/>
        <w:bidi w:val="0"/>
        <w:adjustRightIn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发包单位：</w:t>
      </w:r>
      <w:r>
        <w:rPr>
          <w:rFonts w:hint="eastAsia" w:ascii="宋体" w:hAnsi="宋体" w:eastAsia="宋体" w:cs="宋体"/>
          <w:color w:val="auto"/>
          <w:sz w:val="24"/>
          <w:szCs w:val="24"/>
          <w:highlight w:val="none"/>
          <w:u w:val="single"/>
          <w:lang w:bidi="ar"/>
        </w:rPr>
        <w:t>杭州临江环境能源有限公司</w:t>
      </w:r>
      <w:r>
        <w:rPr>
          <w:rFonts w:hint="eastAsia" w:ascii="宋体" w:hAnsi="宋体" w:eastAsia="宋体" w:cs="宋体"/>
          <w:color w:val="auto"/>
          <w:sz w:val="24"/>
          <w:szCs w:val="24"/>
          <w:highlight w:val="none"/>
          <w:lang w:bidi="ar"/>
        </w:rPr>
        <w:t xml:space="preserve">（简称甲方） </w:t>
      </w:r>
    </w:p>
    <w:p w14:paraId="2EB044C0">
      <w:pPr>
        <w:keepNext w:val="0"/>
        <w:keepLines w:val="0"/>
        <w:pageBreakBefore w:val="0"/>
        <w:widowControl/>
        <w:kinsoku/>
        <w:wordWrap/>
        <w:overflowPunct/>
        <w:topLinePunct w:val="0"/>
        <w:bidi w:val="0"/>
        <w:adjustRightIn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承包单位：</w:t>
      </w:r>
      <w:r>
        <w:rPr>
          <w:rFonts w:hint="eastAsia" w:ascii="宋体" w:hAnsi="宋体" w:eastAsia="宋体" w:cs="宋体"/>
          <w:color w:val="auto"/>
          <w:sz w:val="24"/>
          <w:szCs w:val="24"/>
          <w:highlight w:val="none"/>
          <w:u w:val="single"/>
          <w:lang w:val="en-US" w:eastAsia="zh-CN" w:bidi="ar"/>
        </w:rPr>
        <w:t xml:space="preserve">    ***公司          </w:t>
      </w:r>
      <w:r>
        <w:rPr>
          <w:rFonts w:hint="eastAsia" w:ascii="宋体" w:hAnsi="宋体" w:eastAsia="宋体" w:cs="宋体"/>
          <w:color w:val="auto"/>
          <w:sz w:val="24"/>
          <w:szCs w:val="24"/>
          <w:highlight w:val="none"/>
          <w:lang w:bidi="ar"/>
        </w:rPr>
        <w:t xml:space="preserve">（简称乙方） </w:t>
      </w:r>
    </w:p>
    <w:p w14:paraId="074461DD">
      <w:pPr>
        <w:keepNext w:val="0"/>
        <w:keepLines w:val="0"/>
        <w:pageBreakBefore w:val="0"/>
        <w:widowControl/>
        <w:kinsoku/>
        <w:wordWrap/>
        <w:overflowPunct/>
        <w:topLinePunct w:val="0"/>
        <w:bidi w:val="0"/>
        <w:adjustRightInd w:val="0"/>
        <w:spacing w:line="400" w:lineRule="exact"/>
        <w:ind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甲方将</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2025-2026年能源运行中心智能远程水表系统技术服务采购项目      </w:t>
      </w:r>
      <w:r>
        <w:rPr>
          <w:rFonts w:hint="eastAsia" w:ascii="宋体" w:hAnsi="宋体" w:eastAsia="宋体" w:cs="宋体"/>
          <w:color w:val="auto"/>
          <w:sz w:val="24"/>
          <w:szCs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B4D720B">
      <w:pPr>
        <w:keepNext w:val="0"/>
        <w:keepLines w:val="0"/>
        <w:pageBreakBefore w:val="0"/>
        <w:widowControl/>
        <w:kinsoku/>
        <w:wordWrap/>
        <w:overflowPunct/>
        <w:topLinePunct w:val="0"/>
        <w:bidi w:val="0"/>
        <w:adjustRightInd w:val="0"/>
        <w:spacing w:line="400" w:lineRule="exact"/>
        <w:ind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一、服务项目 </w:t>
      </w:r>
    </w:p>
    <w:p w14:paraId="17B7D001">
      <w:pPr>
        <w:keepNext w:val="0"/>
        <w:keepLines w:val="0"/>
        <w:pageBreakBefore w:val="0"/>
        <w:widowControl/>
        <w:kinsoku/>
        <w:wordWrap/>
        <w:overflowPunct/>
        <w:topLinePunct w:val="0"/>
        <w:bidi w:val="0"/>
        <w:adjustRightInd w:val="0"/>
        <w:spacing w:line="400" w:lineRule="exact"/>
        <w:ind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1.项目名称：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2025-2026年能源运行中心智能远程水表系统技术服务采购项目  </w:t>
      </w:r>
      <w:r>
        <w:rPr>
          <w:rFonts w:hint="eastAsia" w:ascii="宋体" w:hAnsi="宋体" w:eastAsia="宋体" w:cs="宋体"/>
          <w:color w:val="auto"/>
          <w:sz w:val="24"/>
          <w:szCs w:val="24"/>
          <w:highlight w:val="none"/>
          <w:u w:val="single"/>
          <w:lang w:bidi="ar"/>
        </w:rPr>
        <w:t xml:space="preserve">        </w:t>
      </w:r>
    </w:p>
    <w:p w14:paraId="1EB8F3E2">
      <w:pPr>
        <w:keepNext w:val="0"/>
        <w:keepLines w:val="0"/>
        <w:pageBreakBefore w:val="0"/>
        <w:widowControl/>
        <w:kinsoku/>
        <w:wordWrap/>
        <w:overflowPunct/>
        <w:topLinePunct w:val="0"/>
        <w:bidi w:val="0"/>
        <w:adjustRightInd w:val="0"/>
        <w:spacing w:line="400" w:lineRule="exact"/>
        <w:ind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2.项目地址：位于浙江省杭</w:t>
      </w:r>
      <w:r>
        <w:rPr>
          <w:rFonts w:hint="eastAsia" w:ascii="宋体" w:hAnsi="宋体" w:eastAsia="宋体" w:cs="宋体"/>
          <w:color w:val="auto"/>
          <w:sz w:val="24"/>
          <w:szCs w:val="24"/>
          <w:highlight w:val="none"/>
          <w:lang w:eastAsia="zh-CN" w:bidi="ar"/>
        </w:rPr>
        <w:t>州市</w:t>
      </w:r>
      <w:r>
        <w:rPr>
          <w:rFonts w:hint="eastAsia" w:ascii="宋体" w:hAnsi="宋体" w:eastAsia="宋体" w:cs="宋体"/>
          <w:color w:val="auto"/>
          <w:sz w:val="24"/>
          <w:szCs w:val="24"/>
          <w:highlight w:val="none"/>
          <w:lang w:bidi="ar"/>
        </w:rPr>
        <w:t xml:space="preserve">钱塘区临江街道杭州临江环境能源有限公司厂区内。 </w:t>
      </w:r>
    </w:p>
    <w:p w14:paraId="0DAB1D76">
      <w:pPr>
        <w:keepNext w:val="0"/>
        <w:keepLines w:val="0"/>
        <w:pageBreakBefore w:val="0"/>
        <w:kinsoku/>
        <w:wordWrap/>
        <w:overflowPunct/>
        <w:topLinePunct w:val="0"/>
        <w:bidi w:val="0"/>
        <w:adjustRightInd w:val="0"/>
        <w:spacing w:line="400" w:lineRule="exact"/>
        <w:ind w:firstLine="580"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二、甲方职责</w:t>
      </w:r>
    </w:p>
    <w:p w14:paraId="1DECBC32">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1.甲方对乙方资质进行审查，确保符合要求，并为乙方正常服务场所工作提供便利，</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实施前就各实施区域的现状及周边情况向乙方进行交底。如：实施项目周边的电缆线、消防管道及排水沟及周边车辆行驶情况等。</w:t>
      </w:r>
    </w:p>
    <w:p w14:paraId="73B2C549">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2.为本项目指定专人负责具体的联系沟通工作。</w:t>
      </w:r>
    </w:p>
    <w:p w14:paraId="1DDC24BD">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3.做好与本项目有关的其他各级单位的沟通协调工作。</w:t>
      </w:r>
    </w:p>
    <w:p w14:paraId="6B3474FB">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三、乙方职责</w:t>
      </w:r>
    </w:p>
    <w:p w14:paraId="526F8730">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乙方应落实</w:t>
      </w:r>
      <w:r>
        <w:rPr>
          <w:rFonts w:hint="eastAsia" w:ascii="宋体" w:hAnsi="宋体" w:eastAsia="宋体" w:cs="宋体"/>
          <w:color w:val="auto"/>
          <w:sz w:val="24"/>
          <w:szCs w:val="24"/>
          <w:highlight w:val="none"/>
        </w:rPr>
        <w:t>安全管理人员</w:t>
      </w:r>
      <w:r>
        <w:rPr>
          <w:rFonts w:hint="eastAsia" w:ascii="宋体" w:hAnsi="宋体" w:eastAsia="宋体" w:cs="宋体"/>
          <w:color w:val="auto"/>
          <w:sz w:val="24"/>
          <w:szCs w:val="24"/>
          <w:highlight w:val="none"/>
          <w:lang w:val="en-US" w:eastAsia="zh-CN"/>
        </w:rPr>
        <w:t>和安全管理措施</w:t>
      </w:r>
      <w:r>
        <w:rPr>
          <w:rFonts w:hint="eastAsia" w:ascii="宋体" w:hAnsi="宋体" w:eastAsia="宋体" w:cs="宋体"/>
          <w:color w:val="auto"/>
          <w:sz w:val="24"/>
          <w:szCs w:val="24"/>
          <w:highlight w:val="none"/>
        </w:rPr>
        <w:t>。</w:t>
      </w:r>
    </w:p>
    <w:p w14:paraId="03B22975">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2.乙方在项目服务期间，必须对工作人员进行安全生产教育，落实安全技术交底工作，确保各类专业技术人员持证上岗。</w:t>
      </w:r>
    </w:p>
    <w:p w14:paraId="5FC8143D">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3.乙方应遵守甲方相关的安全生产管理制度，在禁烟区内严禁吸烟以及擅自动用各类明火（动用需经审批），并在现场设置灭火器材及警示标识。</w:t>
      </w:r>
    </w:p>
    <w:p w14:paraId="639B7380">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4.乙方在项目服务期间应严格按照用电规范要求，严禁私拉乱接电线，各类电器、照明设备必须使用防爆产品或设置防爆装置。</w:t>
      </w:r>
    </w:p>
    <w:p w14:paraId="513315DA">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5.乙方内部要建立安全生产检查制度、落实自查自检，按“定人、定时间、定措施”的隐患整改原则，消除现场不安全因素。</w:t>
      </w:r>
    </w:p>
    <w:p w14:paraId="6F98CE37">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6．安全、规范、文明、科学作业，不损坏甲方的地上地下各类设施，确保项目实施区域安全有序。</w:t>
      </w:r>
    </w:p>
    <w:p w14:paraId="17A3FDC3">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7.接受甲方的监督检查。</w:t>
      </w:r>
    </w:p>
    <w:p w14:paraId="0B4CB4E0">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四、违约责任</w:t>
      </w:r>
    </w:p>
    <w:p w14:paraId="0941A768">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1.在项目服务过程中，乙方必须做到安全生产，并服从甲方管理人员的调度指挥，有下列行为的，乙方扣罚履约保证金500-1000元/次：</w:t>
      </w:r>
    </w:p>
    <w:p w14:paraId="1AA21092">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不服从甲方指挥，强令冒险作业；</w:t>
      </w:r>
    </w:p>
    <w:p w14:paraId="06764DBC">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未按要求参加甲方组织的各项安全检查、会议活动；</w:t>
      </w:r>
    </w:p>
    <w:p w14:paraId="108FB39B">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工作人员在禁烟区擅自动火、吸烟；</w:t>
      </w:r>
    </w:p>
    <w:p w14:paraId="28E7405B">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4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工作人员未按规定穿戴劳动防护用品，经劝说不听或不服从管理的；</w:t>
      </w:r>
    </w:p>
    <w:p w14:paraId="3E111CA0">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项目服务过程造成环境影响。</w:t>
      </w:r>
    </w:p>
    <w:p w14:paraId="390AE776">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2.乙方在项目服务过程中有下列行为的，扣罚履约保证金5000元/次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同时甲方有权立即解除与乙方之间的所有服务合同</w:t>
      </w:r>
      <w:r>
        <w:rPr>
          <w:rFonts w:hint="eastAsia" w:ascii="宋体" w:hAnsi="宋体" w:eastAsia="宋体" w:cs="宋体"/>
          <w:color w:val="auto"/>
          <w:sz w:val="24"/>
          <w:szCs w:val="24"/>
          <w:highlight w:val="none"/>
        </w:rPr>
        <w:t>：</w:t>
      </w:r>
    </w:p>
    <w:p w14:paraId="0EED87AB">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由于乙方原因造成甲方被主管单位、新闻媒体、12345公开电话投诉或其他上级有关部门书面警告等通报批评的；</w:t>
      </w:r>
    </w:p>
    <w:p w14:paraId="08091AA9">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乙方未履行职责，经甲方三次书面警告的，进行停业整顿的，每次停业整顿。</w:t>
      </w:r>
    </w:p>
    <w:p w14:paraId="382F5857">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乙方或者乙方工作人员发生重大安全事故的。</w:t>
      </w:r>
    </w:p>
    <w:p w14:paraId="7E8D03E8">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3.乙方项目服务人员无证驾驶车辆（设备）、特殊工种无证上岗、消防器材配置缺损已提醒二十四小时无改进措施等现象，扣罚保证金2000元/人·次。</w:t>
      </w:r>
    </w:p>
    <w:p w14:paraId="719D5119">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4.乙方在项目服务过程中，对甲方的设施、绿化道路造成影响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乙方应按甲方要求及时进行原貌恢复或清理，如乙方未能及时进行处理的，甲方有权委托相关部门执行，相应费用在乙方履约保证金中扣除。</w:t>
      </w:r>
    </w:p>
    <w:p w14:paraId="4A00DCBC">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69AC127">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4"/>
          <w:szCs w:val="24"/>
          <w:highlight w:val="none"/>
          <w:lang w:eastAsia="zh-CN"/>
        </w:rPr>
        <w:t>送往</w:t>
      </w:r>
      <w:r>
        <w:rPr>
          <w:rFonts w:hint="eastAsia" w:ascii="宋体" w:hAnsi="宋体" w:eastAsia="宋体" w:cs="宋体"/>
          <w:color w:val="auto"/>
          <w:sz w:val="24"/>
          <w:szCs w:val="24"/>
          <w:highlight w:val="none"/>
        </w:rPr>
        <w:t>就近医院。</w:t>
      </w:r>
    </w:p>
    <w:p w14:paraId="7AA5F37B">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7.在项目服务期间，乙方发生的安全事故以及造成的人员或财产损失由乙方全额负责。</w:t>
      </w:r>
    </w:p>
    <w:p w14:paraId="233541E1">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8.其他违反甲方相关安全规章制度的现象，根据违规情况每次酌情扣罚履约保证金200—1000元。</w:t>
      </w:r>
    </w:p>
    <w:p w14:paraId="75C5D1B3">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w:t>
      </w:r>
    </w:p>
    <w:p w14:paraId="2A5A4793">
      <w:pPr>
        <w:keepNext w:val="0"/>
        <w:keepLines w:val="0"/>
        <w:pageBreakBefore w:val="0"/>
        <w:widowControl/>
        <w:kinsoku/>
        <w:wordWrap/>
        <w:overflowPunct/>
        <w:topLinePunct w:val="0"/>
        <w:bidi w:val="0"/>
        <w:adjustRightIn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本协议有效期为双方签署之日起至双方权利义务履行完毕为止。有效期内发生的违约事实，有效期后发现的适用本协议。</w:t>
      </w:r>
    </w:p>
    <w:p w14:paraId="376F541E">
      <w:pPr>
        <w:pStyle w:val="51"/>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章 廉洁协议</w:t>
      </w:r>
    </w:p>
    <w:p w14:paraId="59315023">
      <w:pPr>
        <w:pStyle w:val="9"/>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color w:val="auto"/>
          <w:sz w:val="24"/>
          <w:szCs w:val="24"/>
          <w:highlight w:val="none"/>
        </w:rPr>
      </w:pPr>
    </w:p>
    <w:p w14:paraId="0D5CF50B">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杭州临江环境能源有限公司</w:t>
      </w:r>
    </w:p>
    <w:p w14:paraId="5115F9DE">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***公司            </w:t>
      </w:r>
    </w:p>
    <w:p w14:paraId="6B37D92D">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keepNext w:val="0"/>
        <w:keepLines w:val="0"/>
        <w:pageBreakBefore w:val="0"/>
        <w:kinsoku/>
        <w:wordWrap/>
        <w:overflowPunct/>
        <w:topLinePunct w:val="0"/>
        <w:bidi w:val="0"/>
        <w:adjustRightInd w:val="0"/>
        <w:spacing w:line="400" w:lineRule="exact"/>
        <w:ind w:firstLine="471"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一、甲、乙双方约定</w:t>
      </w:r>
    </w:p>
    <w:p w14:paraId="01A81E18">
      <w:pPr>
        <w:keepNext w:val="0"/>
        <w:keepLines w:val="0"/>
        <w:pageBreakBefore w:val="0"/>
        <w:kinsoku/>
        <w:wordWrap/>
        <w:overflowPunct/>
        <w:topLinePunct w:val="0"/>
        <w:bidi w:val="0"/>
        <w:adjustRightInd w:val="0"/>
        <w:spacing w:line="400" w:lineRule="exact"/>
        <w:ind w:right="115"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1.甲、乙双方应共同严格遵守国家和省市以及</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主管部门关于市场准入、项目招标投标、市场经济活动等有关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和相关政策，以及项目廉政建设的各项规定。</w:t>
      </w:r>
    </w:p>
    <w:p w14:paraId="34E9C3BE">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2.甲、乙双方应认真执行双方签订的合同文件，  自觉按合同约定履行责任。</w:t>
      </w:r>
    </w:p>
    <w:p w14:paraId="5C437F30">
      <w:pPr>
        <w:keepNext w:val="0"/>
        <w:keepLines w:val="0"/>
        <w:pageBreakBefore w:val="0"/>
        <w:kinsoku/>
        <w:wordWrap/>
        <w:overflowPunct/>
        <w:topLinePunct w:val="0"/>
        <w:bidi w:val="0"/>
        <w:adjustRightInd w:val="0"/>
        <w:spacing w:line="400" w:lineRule="exact"/>
        <w:ind w:left="4" w:right="77"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3.甲、乙双方的业务活动必须坚持公开、公平、公正、诚信、透明的原则（除法律法规另有规定者外）。不得为获取不正当的利益，损害国家、集体和对方利益；不得违反管理相关规章制度。</w:t>
      </w:r>
    </w:p>
    <w:p w14:paraId="3A477EFE">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4.甲、乙双方有对本方人员开展廉政告知、廉政教育和职业道德教育的义务。</w:t>
      </w:r>
    </w:p>
    <w:p w14:paraId="376EE2AE">
      <w:pPr>
        <w:keepNext w:val="0"/>
        <w:keepLines w:val="0"/>
        <w:pageBreakBefore w:val="0"/>
        <w:kinsoku/>
        <w:wordWrap/>
        <w:overflowPunct/>
        <w:topLinePunct w:val="0"/>
        <w:bidi w:val="0"/>
        <w:adjustRightInd w:val="0"/>
        <w:spacing w:line="400" w:lineRule="exact"/>
        <w:ind w:left="3" w:right="77"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5.甲、乙双方应加强对本方人员廉政监督，建立健全廉政制度，认真严肃查处本方人员违法违纪行为。</w:t>
      </w:r>
    </w:p>
    <w:p w14:paraId="746422E0">
      <w:pPr>
        <w:keepNext w:val="0"/>
        <w:keepLines w:val="0"/>
        <w:pageBreakBefore w:val="0"/>
        <w:kinsoku/>
        <w:wordWrap/>
        <w:overflowPunct/>
        <w:topLinePunct w:val="0"/>
        <w:bidi w:val="0"/>
        <w:adjustRightInd w:val="0"/>
        <w:spacing w:line="400" w:lineRule="exact"/>
        <w:ind w:right="77" w:firstLine="466"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、纪检监察部门及检察机关如实反映情况。</w:t>
      </w:r>
    </w:p>
    <w:p w14:paraId="56B2243E">
      <w:pPr>
        <w:keepNext w:val="0"/>
        <w:keepLines w:val="0"/>
        <w:pageBreakBefore w:val="0"/>
        <w:kinsoku/>
        <w:wordWrap/>
        <w:overflowPunct/>
        <w:topLinePunct w:val="0"/>
        <w:bidi w:val="0"/>
        <w:adjustRightInd w:val="0"/>
        <w:spacing w:line="400" w:lineRule="exact"/>
        <w:ind w:firstLine="471"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二、甲方（含甲方人员）廉政责任</w:t>
      </w:r>
    </w:p>
    <w:p w14:paraId="30E61132">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1.不得接受乙方或向乙方索取或以借用为名占用乙方的任何财物；不得接受乙方的礼金、</w:t>
      </w:r>
    </w:p>
    <w:p w14:paraId="44B135BE">
      <w:pPr>
        <w:keepNext w:val="0"/>
        <w:keepLines w:val="0"/>
        <w:pageBreakBefore w:val="0"/>
        <w:kinsoku/>
        <w:wordWrap/>
        <w:overflowPunct/>
        <w:topLinePunct w:val="0"/>
        <w:bidi w:val="0"/>
        <w:adjustRightInd w:val="0"/>
        <w:spacing w:line="400" w:lineRule="exact"/>
        <w:ind w:left="4" w:hanging="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礼品和各种有价证券、支付凭证及其他贵重物品；不得接受乙方的以任何名义支付的回扣、好处费、感谢费或其他经济利益。</w:t>
      </w:r>
    </w:p>
    <w:p w14:paraId="041FEDF0">
      <w:pPr>
        <w:keepNext w:val="0"/>
        <w:keepLines w:val="0"/>
        <w:pageBreakBefore w:val="0"/>
        <w:kinsoku/>
        <w:wordWrap/>
        <w:overflowPunct/>
        <w:topLinePunct w:val="0"/>
        <w:bidi w:val="0"/>
        <w:adjustRightInd w:val="0"/>
        <w:spacing w:line="400" w:lineRule="exact"/>
        <w:ind w:right="77"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keepNext w:val="0"/>
        <w:keepLines w:val="0"/>
        <w:pageBreakBefore w:val="0"/>
        <w:kinsoku/>
        <w:wordWrap/>
        <w:overflowPunct/>
        <w:topLinePunct w:val="0"/>
        <w:bidi w:val="0"/>
        <w:adjustRightInd w:val="0"/>
        <w:spacing w:line="400" w:lineRule="exact"/>
        <w:ind w:left="1" w:right="77"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3.不得利用职务便利向乙方介绍或指定工程分包单位（或个人）、物资供应商；不得利用职务便利向乙方推销或指定使用物资设备等。</w:t>
      </w:r>
    </w:p>
    <w:p w14:paraId="78A792E1">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4.不得接受乙方购置的或长期提供的通信工具、交通工具等。</w:t>
      </w:r>
    </w:p>
    <w:p w14:paraId="1A528B7E">
      <w:pPr>
        <w:keepNext w:val="0"/>
        <w:keepLines w:val="0"/>
        <w:pageBreakBefore w:val="0"/>
        <w:kinsoku/>
        <w:wordWrap/>
        <w:overflowPunct/>
        <w:topLinePunct w:val="0"/>
        <w:bidi w:val="0"/>
        <w:adjustRightInd w:val="0"/>
        <w:spacing w:line="400" w:lineRule="exact"/>
        <w:ind w:left="1" w:right="77"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5.对无法拒绝的乙方及其个人所送的钱物，受礼者自收受之日起一个月内上交至甲方监察审计部门。</w:t>
      </w:r>
    </w:p>
    <w:p w14:paraId="5847249A">
      <w:pPr>
        <w:keepNext w:val="0"/>
        <w:keepLines w:val="0"/>
        <w:pageBreakBefore w:val="0"/>
        <w:kinsoku/>
        <w:wordWrap/>
        <w:overflowPunct/>
        <w:topLinePunct w:val="0"/>
        <w:bidi w:val="0"/>
        <w:adjustRightInd w:val="0"/>
        <w:spacing w:line="400" w:lineRule="exact"/>
        <w:ind w:left="361" w:leftChars="116" w:right="3503" w:firstLine="460"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6.对乙方提供的有关信息，应及时调查处理并反馈结果。</w:t>
      </w:r>
    </w:p>
    <w:p w14:paraId="0FA30E03">
      <w:pPr>
        <w:keepNext w:val="0"/>
        <w:keepLines w:val="0"/>
        <w:pageBreakBefore w:val="0"/>
        <w:kinsoku/>
        <w:wordWrap/>
        <w:overflowPunct/>
        <w:topLinePunct w:val="0"/>
        <w:bidi w:val="0"/>
        <w:adjustRightInd w:val="0"/>
        <w:spacing w:line="400" w:lineRule="exact"/>
        <w:ind w:left="361" w:leftChars="116" w:right="3503" w:firstLine="460"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三、乙方（含乙方人员）廉政责任</w:t>
      </w:r>
    </w:p>
    <w:p w14:paraId="7EA78413">
      <w:pPr>
        <w:keepNext w:val="0"/>
        <w:keepLines w:val="0"/>
        <w:pageBreakBefore w:val="0"/>
        <w:kinsoku/>
        <w:wordWrap/>
        <w:overflowPunct/>
        <w:topLinePunct w:val="0"/>
        <w:bidi w:val="0"/>
        <w:adjustRightInd w:val="0"/>
        <w:spacing w:line="400" w:lineRule="exact"/>
        <w:ind w:right="77"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1.不得以任何形式向甲方行贿；不得向甲方送礼金、礼品和各种有价证券、支付凭证及其他贵重物品；不得以任何名义向甲方及其工作人员支付回扣、好处费、感谢费或其他经济利益。</w:t>
      </w:r>
    </w:p>
    <w:p w14:paraId="35988E86">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szCs w:val="24"/>
          <w:highlight w:val="none"/>
          <w:lang w:eastAsia="zh-CN"/>
        </w:rPr>
        <w:t>及其</w:t>
      </w:r>
      <w:r>
        <w:rPr>
          <w:rFonts w:hint="eastAsia" w:ascii="宋体" w:hAnsi="宋体" w:eastAsia="宋体" w:cs="宋体"/>
          <w:color w:val="auto"/>
          <w:sz w:val="24"/>
          <w:szCs w:val="24"/>
          <w:highlight w:val="none"/>
        </w:rPr>
        <w:t>亲属赠送任何礼金、礼品等；不得向甲方及其工作人员提供个人装修住房、配偶子女的工作安排等方面的便利。</w:t>
      </w:r>
    </w:p>
    <w:p w14:paraId="74E22D9A">
      <w:pPr>
        <w:keepNext w:val="0"/>
        <w:keepLines w:val="0"/>
        <w:pageBreakBefore w:val="0"/>
        <w:kinsoku/>
        <w:wordWrap/>
        <w:overflowPunct/>
        <w:topLinePunct w:val="0"/>
        <w:bidi w:val="0"/>
        <w:adjustRightInd w:val="0"/>
        <w:spacing w:line="400" w:lineRule="exact"/>
        <w:ind w:right="24"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3.不得接受甲方介绍或指定的工程分包单位和物资供应商；不得接受甲方推销或指定使用的物资设备。</w:t>
      </w:r>
    </w:p>
    <w:p w14:paraId="59B8A8CA">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4.不得以任何理由为甲方及其工作人员购置或长期提供通信工具、交通工具等。</w:t>
      </w:r>
    </w:p>
    <w:p w14:paraId="40666882">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5.对甲方及其个人索要钱物、介绍或指定工程分包单位和物资供应商、推销或指定使用物资设备、借用占用车辆等行为予以拒绝，并及时主动向乙方上级纪检监察组织报告。</w:t>
      </w:r>
    </w:p>
    <w:p w14:paraId="41776EBF">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6.对甲方提供的乙方（含乙方人员）违纪违规有关信息，应及时调查处理并反馈结果。</w:t>
      </w:r>
    </w:p>
    <w:p w14:paraId="27EC3ED6">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7.乙方不得以任何理由为甲方及其工作人员组织有可能影响公正执行公务的宴请和各类休闲娱乐等活动。</w:t>
      </w:r>
    </w:p>
    <w:p w14:paraId="3F81DB6C">
      <w:pPr>
        <w:keepNext w:val="0"/>
        <w:keepLines w:val="0"/>
        <w:pageBreakBefore w:val="0"/>
        <w:kinsoku/>
        <w:wordWrap/>
        <w:overflowPunct/>
        <w:topLinePunct w:val="0"/>
        <w:bidi w:val="0"/>
        <w:adjustRightInd w:val="0"/>
        <w:spacing w:line="400" w:lineRule="exact"/>
        <w:ind w:left="361" w:leftChars="116" w:right="90" w:firstLine="460"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8.乙方及其工作人员必须严格按照有关规程办事，不得与其他单位互相串通，损害甲方利益。</w:t>
      </w:r>
    </w:p>
    <w:p w14:paraId="0EEF4C70">
      <w:pPr>
        <w:keepNext w:val="0"/>
        <w:keepLines w:val="0"/>
        <w:pageBreakBefore w:val="0"/>
        <w:kinsoku/>
        <w:wordWrap/>
        <w:overflowPunct/>
        <w:topLinePunct w:val="0"/>
        <w:bidi w:val="0"/>
        <w:adjustRightInd w:val="0"/>
        <w:spacing w:line="400" w:lineRule="exact"/>
        <w:ind w:left="361" w:leftChars="116" w:right="90" w:firstLine="460"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四、违约责任</w:t>
      </w:r>
    </w:p>
    <w:p w14:paraId="50F55FC8">
      <w:pPr>
        <w:keepNext w:val="0"/>
        <w:keepLines w:val="0"/>
        <w:pageBreakBefore w:val="0"/>
        <w:kinsoku/>
        <w:wordWrap/>
        <w:overflowPunct/>
        <w:topLinePunct w:val="0"/>
        <w:bidi w:val="0"/>
        <w:adjustRightInd w:val="0"/>
        <w:spacing w:line="400" w:lineRule="exact"/>
        <w:ind w:left="3" w:right="24" w:firstLine="490" w:firstLineChars="2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甲乙双方不履行各自义务，构成犯罪和违纪的，由司法机关和有关纪检监察部门按管辖依法依纪处理，所认定的事实和处理结果作为承担下列约定违约责任的依据。</w:t>
      </w:r>
    </w:p>
    <w:p w14:paraId="111C8C9C">
      <w:pPr>
        <w:keepNext w:val="0"/>
        <w:keepLines w:val="0"/>
        <w:pageBreakBefore w:val="0"/>
        <w:kinsoku/>
        <w:wordWrap/>
        <w:overflowPunct/>
        <w:topLinePunct w:val="0"/>
        <w:bidi w:val="0"/>
        <w:adjustRightInd w:val="0"/>
        <w:spacing w:line="400" w:lineRule="exact"/>
        <w:ind w:left="4" w:right="24"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szCs w:val="24"/>
          <w:highlight w:val="none"/>
          <w:lang w:eastAsia="zh-CN"/>
        </w:rPr>
        <w:t>设的</w:t>
      </w:r>
      <w:r>
        <w:rPr>
          <w:rFonts w:hint="eastAsia" w:ascii="宋体" w:hAnsi="宋体" w:eastAsia="宋体" w:cs="宋体"/>
          <w:color w:val="auto"/>
          <w:sz w:val="24"/>
          <w:szCs w:val="24"/>
          <w:highlight w:val="none"/>
        </w:rPr>
        <w:t>规定给予当事人批评教育、组织处理或党纪政纪处分；涉嫌犯罪的，移交司法机关追究刑事责任；给甲方单位造成经济损失的，应予以赔偿。</w:t>
      </w:r>
    </w:p>
    <w:p w14:paraId="146AA10B">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2.乙方贿赂甲方人员的，被纪检监察部门或检察机关立案查处的，甲方有权</w:t>
      </w:r>
      <w:r>
        <w:rPr>
          <w:rFonts w:hint="eastAsia" w:ascii="宋体" w:hAnsi="宋体" w:eastAsia="宋体" w:cs="宋体"/>
          <w:color w:val="auto"/>
          <w:sz w:val="24"/>
          <w:szCs w:val="24"/>
          <w:highlight w:val="none"/>
          <w:lang w:eastAsia="zh-CN"/>
        </w:rPr>
        <w:t>终止</w:t>
      </w:r>
      <w:r>
        <w:rPr>
          <w:rFonts w:hint="eastAsia" w:ascii="宋体" w:hAnsi="宋体" w:eastAsia="宋体" w:cs="宋体"/>
          <w:color w:val="auto"/>
          <w:sz w:val="24"/>
          <w:szCs w:val="24"/>
          <w:highlight w:val="none"/>
        </w:rPr>
        <w:t>项目合同，由此造成甲方的损失以及一切费用均由乙方承担。</w:t>
      </w:r>
    </w:p>
    <w:p w14:paraId="6C6F300B">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3.甲方双方不履行协议约定义务的，应将责任人调离本项目并按规定予以处理，且双方有义务将有关责任人的责任追究情况通报对方。</w:t>
      </w:r>
    </w:p>
    <w:p w14:paraId="3A0C2BC4">
      <w:pPr>
        <w:keepNext w:val="0"/>
        <w:keepLines w:val="0"/>
        <w:pageBreakBefore w:val="0"/>
        <w:kinsoku/>
        <w:wordWrap/>
        <w:overflowPunct/>
        <w:topLinePunct w:val="0"/>
        <w:bidi w:val="0"/>
        <w:adjustRightInd w:val="0"/>
        <w:spacing w:line="400" w:lineRule="exact"/>
        <w:ind w:left="5" w:right="24"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5.由于甲乙双方单位或工作人员个人行为造成违约的，双方承担上述违约责任。</w:t>
      </w:r>
    </w:p>
    <w:p w14:paraId="6F6CF677">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6.甲乙双方在履行协议中发生争议，一方有权向对方上级单位主管部门和纪检监察部门反映情况并要求帮助解决争议。</w:t>
      </w:r>
    </w:p>
    <w:p w14:paraId="47B2380C">
      <w:pPr>
        <w:keepNext w:val="0"/>
        <w:keepLines w:val="0"/>
        <w:pageBreakBefore w:val="0"/>
        <w:kinsoku/>
        <w:wordWrap/>
        <w:overflowPunct/>
        <w:topLinePunct w:val="0"/>
        <w:bidi w:val="0"/>
        <w:adjustRightInd w:val="0"/>
        <w:spacing w:line="400" w:lineRule="exact"/>
        <w:ind w:firstLine="473" w:firstLineChars="20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五、有效期</w:t>
      </w:r>
    </w:p>
    <w:p w14:paraId="63B2A3F4">
      <w:pPr>
        <w:keepNext w:val="0"/>
        <w:keepLines w:val="0"/>
        <w:pageBreakBefore w:val="0"/>
        <w:kinsoku/>
        <w:wordWrap/>
        <w:overflowPunct/>
        <w:topLinePunct w:val="0"/>
        <w:bidi w:val="0"/>
        <w:adjustRightInd w:val="0"/>
        <w:spacing w:line="400" w:lineRule="exact"/>
        <w:ind w:firstLine="473"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本协议有效期为双方签署之日起至双方权利义务履行完毕为止。有效期内发生的违约事实，有效期后发现的适用本协议。</w:t>
      </w:r>
    </w:p>
    <w:p w14:paraId="780F25FD">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413C13D9">
      <w:pPr>
        <w:spacing w:line="240" w:lineRule="auto"/>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附件1：</w:t>
      </w:r>
    </w:p>
    <w:p w14:paraId="36514980">
      <w:pPr>
        <w:tabs>
          <w:tab w:val="left" w:pos="3240"/>
        </w:tabs>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货物标识卡</w:t>
      </w:r>
    </w:p>
    <w:tbl>
      <w:tblPr>
        <w:tblStyle w:val="2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采购订单上的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75BA499B">
      <w:pPr>
        <w:rPr>
          <w:rFonts w:hint="eastAsia" w:ascii="宋体" w:hAnsi="宋体" w:eastAsia="宋体" w:cs="宋体"/>
          <w:b/>
          <w:bCs/>
          <w:color w:val="auto"/>
          <w:szCs w:val="32"/>
          <w:highlight w:val="none"/>
        </w:rPr>
      </w:pPr>
    </w:p>
    <w:sectPr>
      <w:headerReference r:id="rId9" w:type="default"/>
      <w:footerReference r:id="rId11" w:type="default"/>
      <w:headerReference r:id="rId10" w:type="even"/>
      <w:footerReference r:id="rId12"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31FD">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9DC6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9DC6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B1A3">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90D9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B90D97">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879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CCE7B">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1CCE7B">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6ABB">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1B9E9">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1B9E9">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335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2670">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C8B4">
    <w:pPr>
      <w:pStyle w:val="15"/>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5B0C">
    <w:pPr>
      <w:spacing w:line="500" w:lineRule="atLeast"/>
      <w:rPr>
        <w:sz w:val="18"/>
        <w:szCs w:val="18"/>
      </w:rPr>
    </w:pPr>
    <w:r>
      <w:rPr>
        <w:sz w:val="18"/>
        <w:szCs w:val="18"/>
      </w:rPr>
      <w:drawing>
        <wp:inline distT="0" distB="0" distL="114300" distR="114300">
          <wp:extent cx="1185545" cy="277495"/>
          <wp:effectExtent l="0" t="0" r="3175" b="12065"/>
          <wp:docPr id="5" name="图片 5"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司徽"/>
                  <pic:cNvPicPr>
                    <a:picLocks noChangeAspect="1"/>
                  </pic:cNvPicPr>
                </pic:nvPicPr>
                <pic:blipFill>
                  <a:blip r:embed="rId1"/>
                  <a:stretch>
                    <a:fillRect/>
                  </a:stretch>
                </pic:blipFill>
                <pic:spPr>
                  <a:xfrm>
                    <a:off x="0" y="0"/>
                    <a:ext cx="1185545" cy="277495"/>
                  </a:xfrm>
                  <a:prstGeom prst="rect">
                    <a:avLst/>
                  </a:prstGeom>
                  <a:noFill/>
                  <a:ln>
                    <a:noFill/>
                  </a:ln>
                </pic:spPr>
              </pic:pic>
            </a:graphicData>
          </a:graphic>
        </wp:inline>
      </w:drawing>
    </w:r>
    <w:r>
      <w:rPr>
        <w:rFonts w:hint="eastAsia" w:ascii="宋体" w:hAnsi="宋体" w:cs="宋体"/>
        <w:bCs/>
        <w:sz w:val="15"/>
        <w:szCs w:val="15"/>
      </w:rPr>
      <w:t>桂林市山口生活垃圾焚烧发电工程汽轮发电机组设备采购招标文件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047A">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5E8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5D1F8"/>
    <w:multiLevelType w:val="singleLevel"/>
    <w:tmpl w:val="DE55D1F8"/>
    <w:lvl w:ilvl="0" w:tentative="0">
      <w:start w:val="2"/>
      <w:numFmt w:val="decimal"/>
      <w:suff w:val="nothing"/>
      <w:lvlText w:val="%1、"/>
      <w:lvlJc w:val="left"/>
    </w:lvl>
  </w:abstractNum>
  <w:abstractNum w:abstractNumId="1">
    <w:nsid w:val="456B0C3D"/>
    <w:multiLevelType w:val="singleLevel"/>
    <w:tmpl w:val="456B0C3D"/>
    <w:lvl w:ilvl="0" w:tentative="0">
      <w:start w:val="3"/>
      <w:numFmt w:val="chineseCounting"/>
      <w:suff w:val="space"/>
      <w:lvlText w:val="第%1章"/>
      <w:lvlJc w:val="left"/>
      <w:rPr>
        <w:rFonts w:hint="eastAsia"/>
      </w:rPr>
    </w:lvl>
  </w:abstractNum>
  <w:abstractNum w:abstractNumId="2">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Njc0NWRlNTA3ODRiZDNjNjM5YWQyZWEwYTdmMGI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9E101B"/>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1C41B77"/>
    <w:rsid w:val="01FE5C42"/>
    <w:rsid w:val="022F3EF8"/>
    <w:rsid w:val="03973673"/>
    <w:rsid w:val="04D656FF"/>
    <w:rsid w:val="053E4A03"/>
    <w:rsid w:val="05464B78"/>
    <w:rsid w:val="06FB48C8"/>
    <w:rsid w:val="08147C9D"/>
    <w:rsid w:val="08891CAA"/>
    <w:rsid w:val="091B35DA"/>
    <w:rsid w:val="0A477941"/>
    <w:rsid w:val="0AB53059"/>
    <w:rsid w:val="0B1C5EA4"/>
    <w:rsid w:val="0B4B1C27"/>
    <w:rsid w:val="0C9D2956"/>
    <w:rsid w:val="0CA31190"/>
    <w:rsid w:val="0DB55A7E"/>
    <w:rsid w:val="0E0B4867"/>
    <w:rsid w:val="0EF478D3"/>
    <w:rsid w:val="0FD0678A"/>
    <w:rsid w:val="0FFC46F1"/>
    <w:rsid w:val="104E198F"/>
    <w:rsid w:val="12311F7A"/>
    <w:rsid w:val="123D62BC"/>
    <w:rsid w:val="12D74C1A"/>
    <w:rsid w:val="12E26122"/>
    <w:rsid w:val="12EF0907"/>
    <w:rsid w:val="12F72695"/>
    <w:rsid w:val="13656231"/>
    <w:rsid w:val="145F273D"/>
    <w:rsid w:val="151C17D3"/>
    <w:rsid w:val="165005C8"/>
    <w:rsid w:val="1686347A"/>
    <w:rsid w:val="17070A44"/>
    <w:rsid w:val="1745342B"/>
    <w:rsid w:val="18B7674B"/>
    <w:rsid w:val="19F0090D"/>
    <w:rsid w:val="1A4D1C73"/>
    <w:rsid w:val="1A59309D"/>
    <w:rsid w:val="1A7D49EF"/>
    <w:rsid w:val="1AE422B5"/>
    <w:rsid w:val="1B9A1D66"/>
    <w:rsid w:val="1BB46AAE"/>
    <w:rsid w:val="1C7F64B5"/>
    <w:rsid w:val="1CD419C1"/>
    <w:rsid w:val="1DAF1543"/>
    <w:rsid w:val="1F6644B1"/>
    <w:rsid w:val="20325142"/>
    <w:rsid w:val="20C34BAD"/>
    <w:rsid w:val="21CA30C9"/>
    <w:rsid w:val="223C00C4"/>
    <w:rsid w:val="2307710F"/>
    <w:rsid w:val="2351194D"/>
    <w:rsid w:val="23776446"/>
    <w:rsid w:val="23A21768"/>
    <w:rsid w:val="2403533D"/>
    <w:rsid w:val="24390A80"/>
    <w:rsid w:val="245331C5"/>
    <w:rsid w:val="24BC2F60"/>
    <w:rsid w:val="252C64D8"/>
    <w:rsid w:val="258506AB"/>
    <w:rsid w:val="25DF2179"/>
    <w:rsid w:val="26EE731A"/>
    <w:rsid w:val="274771EA"/>
    <w:rsid w:val="27CC6A51"/>
    <w:rsid w:val="28BC2878"/>
    <w:rsid w:val="28DD5F5F"/>
    <w:rsid w:val="2A3B6409"/>
    <w:rsid w:val="2A45199C"/>
    <w:rsid w:val="2A9973FD"/>
    <w:rsid w:val="2B0F1914"/>
    <w:rsid w:val="2B131EE4"/>
    <w:rsid w:val="2BAA0794"/>
    <w:rsid w:val="2C1A5638"/>
    <w:rsid w:val="2C7D285D"/>
    <w:rsid w:val="2C9A2972"/>
    <w:rsid w:val="2D6F0569"/>
    <w:rsid w:val="2D8B56F6"/>
    <w:rsid w:val="2DCB21AF"/>
    <w:rsid w:val="2EAF642F"/>
    <w:rsid w:val="2EDE3101"/>
    <w:rsid w:val="2F35748D"/>
    <w:rsid w:val="2FCB24C4"/>
    <w:rsid w:val="2FD4553C"/>
    <w:rsid w:val="30006BD5"/>
    <w:rsid w:val="3180366E"/>
    <w:rsid w:val="31C914B4"/>
    <w:rsid w:val="3232442C"/>
    <w:rsid w:val="33744D0D"/>
    <w:rsid w:val="33D85A19"/>
    <w:rsid w:val="34FB6915"/>
    <w:rsid w:val="35384783"/>
    <w:rsid w:val="35531555"/>
    <w:rsid w:val="35B40448"/>
    <w:rsid w:val="36963530"/>
    <w:rsid w:val="36E903C3"/>
    <w:rsid w:val="38042A8C"/>
    <w:rsid w:val="382A5B1F"/>
    <w:rsid w:val="39861E0D"/>
    <w:rsid w:val="3A674CD9"/>
    <w:rsid w:val="3C330923"/>
    <w:rsid w:val="3C3F599F"/>
    <w:rsid w:val="3C447D32"/>
    <w:rsid w:val="3C850812"/>
    <w:rsid w:val="3CA02BD8"/>
    <w:rsid w:val="3CCE6E7F"/>
    <w:rsid w:val="3D8C7DBB"/>
    <w:rsid w:val="3E406F7C"/>
    <w:rsid w:val="3EE01E58"/>
    <w:rsid w:val="3F6A650C"/>
    <w:rsid w:val="3FB34F2B"/>
    <w:rsid w:val="409D0ABE"/>
    <w:rsid w:val="41C343CA"/>
    <w:rsid w:val="41C87487"/>
    <w:rsid w:val="421F7485"/>
    <w:rsid w:val="42936DC3"/>
    <w:rsid w:val="42F33B98"/>
    <w:rsid w:val="438F673B"/>
    <w:rsid w:val="444C719B"/>
    <w:rsid w:val="446071E8"/>
    <w:rsid w:val="46284338"/>
    <w:rsid w:val="46921353"/>
    <w:rsid w:val="479559FD"/>
    <w:rsid w:val="48410327"/>
    <w:rsid w:val="48E829E7"/>
    <w:rsid w:val="48F44E07"/>
    <w:rsid w:val="4AC11054"/>
    <w:rsid w:val="4C054F21"/>
    <w:rsid w:val="4C6C1422"/>
    <w:rsid w:val="4CCB26CA"/>
    <w:rsid w:val="4D284C17"/>
    <w:rsid w:val="4D4C3FBF"/>
    <w:rsid w:val="4D987C55"/>
    <w:rsid w:val="4D9F75D5"/>
    <w:rsid w:val="4DAF7B35"/>
    <w:rsid w:val="4DBE3EFF"/>
    <w:rsid w:val="4E083F26"/>
    <w:rsid w:val="4E66703F"/>
    <w:rsid w:val="4EBD6C8B"/>
    <w:rsid w:val="4EE51E06"/>
    <w:rsid w:val="4EE76A14"/>
    <w:rsid w:val="4EF84FFB"/>
    <w:rsid w:val="4F4F0B87"/>
    <w:rsid w:val="4FC74BC1"/>
    <w:rsid w:val="51287B62"/>
    <w:rsid w:val="51AB5F03"/>
    <w:rsid w:val="532531F2"/>
    <w:rsid w:val="53D5097D"/>
    <w:rsid w:val="55A66DA3"/>
    <w:rsid w:val="5629178B"/>
    <w:rsid w:val="56CD3325"/>
    <w:rsid w:val="578F4024"/>
    <w:rsid w:val="58E04A8C"/>
    <w:rsid w:val="599476BF"/>
    <w:rsid w:val="5A1C100A"/>
    <w:rsid w:val="5A557999"/>
    <w:rsid w:val="5A6716A2"/>
    <w:rsid w:val="5A7A11AE"/>
    <w:rsid w:val="5AC56EEC"/>
    <w:rsid w:val="5AC75938"/>
    <w:rsid w:val="5AF754F6"/>
    <w:rsid w:val="5B00095A"/>
    <w:rsid w:val="5BF14C84"/>
    <w:rsid w:val="5C1D496E"/>
    <w:rsid w:val="5C1D5175"/>
    <w:rsid w:val="5C227831"/>
    <w:rsid w:val="5FE34C34"/>
    <w:rsid w:val="62287160"/>
    <w:rsid w:val="62507EEA"/>
    <w:rsid w:val="63A04E99"/>
    <w:rsid w:val="63D27B18"/>
    <w:rsid w:val="63E76CF3"/>
    <w:rsid w:val="641A5BF7"/>
    <w:rsid w:val="642223CF"/>
    <w:rsid w:val="64623C90"/>
    <w:rsid w:val="646D58E0"/>
    <w:rsid w:val="64747D3B"/>
    <w:rsid w:val="64A20DD3"/>
    <w:rsid w:val="64F35D38"/>
    <w:rsid w:val="65206037"/>
    <w:rsid w:val="652F12CE"/>
    <w:rsid w:val="668C1BAA"/>
    <w:rsid w:val="66D3541E"/>
    <w:rsid w:val="6815114A"/>
    <w:rsid w:val="68680E34"/>
    <w:rsid w:val="6A2D7545"/>
    <w:rsid w:val="6A5309D7"/>
    <w:rsid w:val="6A562B53"/>
    <w:rsid w:val="6C980234"/>
    <w:rsid w:val="6CDF1345"/>
    <w:rsid w:val="6D0D6D25"/>
    <w:rsid w:val="6DB83DEC"/>
    <w:rsid w:val="6DE16C0F"/>
    <w:rsid w:val="6E375716"/>
    <w:rsid w:val="6F135DC1"/>
    <w:rsid w:val="6F577108"/>
    <w:rsid w:val="6F8A0BAA"/>
    <w:rsid w:val="707068C7"/>
    <w:rsid w:val="720930EC"/>
    <w:rsid w:val="724A4606"/>
    <w:rsid w:val="72AB540C"/>
    <w:rsid w:val="731C3F5E"/>
    <w:rsid w:val="73C539C3"/>
    <w:rsid w:val="742442AB"/>
    <w:rsid w:val="74403DA8"/>
    <w:rsid w:val="74B92901"/>
    <w:rsid w:val="74E86DA9"/>
    <w:rsid w:val="750137A6"/>
    <w:rsid w:val="75383CE8"/>
    <w:rsid w:val="75C75973"/>
    <w:rsid w:val="76A35784"/>
    <w:rsid w:val="77CB2C4D"/>
    <w:rsid w:val="785633D9"/>
    <w:rsid w:val="78CC6E57"/>
    <w:rsid w:val="7956473D"/>
    <w:rsid w:val="79FF3435"/>
    <w:rsid w:val="7ABB2A50"/>
    <w:rsid w:val="7B457C22"/>
    <w:rsid w:val="7B8809FA"/>
    <w:rsid w:val="7BA970FD"/>
    <w:rsid w:val="7BCA5860"/>
    <w:rsid w:val="7BEC43EE"/>
    <w:rsid w:val="7C887303"/>
    <w:rsid w:val="7D2B161E"/>
    <w:rsid w:val="7D6468DF"/>
    <w:rsid w:val="7E6B75C6"/>
    <w:rsid w:val="7EB81C6D"/>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1"/>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4">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5">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List Paragraph"/>
    <w:basedOn w:val="1"/>
    <w:autoRedefine/>
    <w:qFormat/>
    <w:uiPriority w:val="34"/>
    <w:pPr>
      <w:ind w:firstLine="420" w:firstLineChars="200"/>
    </w:pPr>
    <w:rPr>
      <w:rFonts w:ascii="Calibri" w:hAnsi="Calibri" w:eastAsia="等线" w:cs="Times New Roman"/>
      <w:kern w:val="0"/>
      <w:sz w:val="20"/>
      <w:szCs w:val="20"/>
    </w:rPr>
  </w:style>
  <w:style w:type="paragraph" w:styleId="6">
    <w:name w:val="Normal Indent"/>
    <w:basedOn w:val="1"/>
    <w:autoRedefine/>
    <w:semiHidden/>
    <w:unhideWhenUsed/>
    <w:qFormat/>
    <w:uiPriority w:val="0"/>
    <w:pPr>
      <w:ind w:firstLine="420" w:firstLineChars="200"/>
    </w:pPr>
    <w:rPr>
      <w:rFonts w:ascii="Times New Roman" w:hAnsi="Times New Roman" w:eastAsia="宋体" w:cs="Times New Roman"/>
      <w:sz w:val="21"/>
    </w:rPr>
  </w:style>
  <w:style w:type="paragraph" w:styleId="7">
    <w:name w:val="annotation text"/>
    <w:basedOn w:val="1"/>
    <w:link w:val="32"/>
    <w:autoRedefine/>
    <w:qFormat/>
    <w:uiPriority w:val="0"/>
    <w:pPr>
      <w:jc w:val="left"/>
    </w:pPr>
  </w:style>
  <w:style w:type="paragraph" w:styleId="8">
    <w:name w:val="Body Text"/>
    <w:basedOn w:val="1"/>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0">
    <w:name w:val="toc 5"/>
    <w:basedOn w:val="1"/>
    <w:next w:val="1"/>
    <w:autoRedefine/>
    <w:qFormat/>
    <w:uiPriority w:val="0"/>
    <w:pPr>
      <w:ind w:left="1680" w:leftChars="800"/>
    </w:pPr>
    <w:rPr>
      <w:rFonts w:ascii="Times New Roman" w:hAnsi="Times New Roman" w:eastAsia="宋体" w:cs="Times New Roman"/>
      <w:sz w:val="21"/>
    </w:rPr>
  </w:style>
  <w:style w:type="paragraph" w:styleId="11">
    <w:name w:val="Plain Text"/>
    <w:basedOn w:val="1"/>
    <w:autoRedefine/>
    <w:semiHidden/>
    <w:unhideWhenUsed/>
    <w:qFormat/>
    <w:uiPriority w:val="99"/>
    <w:rPr>
      <w:rFonts w:ascii="宋体" w:hAnsi="Courier New" w:eastAsia="宋体" w:cs="Times New Roman"/>
      <w:kern w:val="0"/>
      <w:sz w:val="20"/>
      <w:szCs w:val="20"/>
    </w:rPr>
  </w:style>
  <w:style w:type="paragraph" w:styleId="12">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3">
    <w:name w:val="Balloon Text"/>
    <w:basedOn w:val="1"/>
    <w:link w:val="33"/>
    <w:autoRedefine/>
    <w:qFormat/>
    <w:uiPriority w:val="0"/>
    <w:rPr>
      <w:sz w:val="18"/>
      <w:szCs w:val="18"/>
    </w:rPr>
  </w:style>
  <w:style w:type="paragraph" w:styleId="14">
    <w:name w:val="footer"/>
    <w:basedOn w:val="1"/>
    <w:link w:val="34"/>
    <w:autoRedefine/>
    <w:qFormat/>
    <w:uiPriority w:val="99"/>
    <w:pPr>
      <w:tabs>
        <w:tab w:val="center" w:pos="4153"/>
        <w:tab w:val="right" w:pos="8306"/>
      </w:tabs>
      <w:snapToGrid w:val="0"/>
      <w:jc w:val="left"/>
    </w:pPr>
    <w:rPr>
      <w:sz w:val="18"/>
      <w:szCs w:val="18"/>
    </w:rPr>
  </w:style>
  <w:style w:type="paragraph" w:styleId="15">
    <w:name w:val="header"/>
    <w:basedOn w:val="1"/>
    <w:next w:val="10"/>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7"/>
    <w:next w:val="7"/>
    <w:link w:val="36"/>
    <w:autoRedefine/>
    <w:qFormat/>
    <w:uiPriority w:val="0"/>
    <w:rPr>
      <w:b/>
      <w:bCs/>
    </w:rPr>
  </w:style>
  <w:style w:type="paragraph" w:styleId="23">
    <w:name w:val="Body Text First Indent"/>
    <w:basedOn w:val="8"/>
    <w:next w:val="17"/>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24">
    <w:name w:val="Body Text First Indent 2"/>
    <w:basedOn w:val="9"/>
    <w:next w:val="1"/>
    <w:autoRedefine/>
    <w:qFormat/>
    <w:uiPriority w:val="0"/>
    <w:pPr>
      <w:widowControl w:val="0"/>
      <w:adjustRightInd w:val="0"/>
      <w:spacing w:after="120"/>
      <w:ind w:left="420" w:leftChars="200" w:firstLine="420"/>
      <w:jc w:val="left"/>
    </w:pPr>
  </w:style>
  <w:style w:type="table" w:styleId="26">
    <w:name w:val="Table Grid"/>
    <w:basedOn w:val="2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autoRedefine/>
    <w:qFormat/>
    <w:uiPriority w:val="0"/>
    <w:rPr>
      <w:rFonts w:ascii="Times New Roman" w:hAnsi="Times New Roman" w:eastAsia="宋体" w:cs="Times New Roman"/>
    </w:rPr>
  </w:style>
  <w:style w:type="character" w:styleId="29">
    <w:name w:val="Hyperlink"/>
    <w:autoRedefine/>
    <w:semiHidden/>
    <w:unhideWhenUsed/>
    <w:qFormat/>
    <w:uiPriority w:val="0"/>
    <w:rPr>
      <w:rFonts w:ascii="Times New Roman" w:hAnsi="Times New Roman" w:eastAsia="宋体" w:cs="Times New Roman"/>
      <w:color w:val="000080"/>
      <w:u w:val="none"/>
    </w:rPr>
  </w:style>
  <w:style w:type="character" w:styleId="30">
    <w:name w:val="annotation reference"/>
    <w:basedOn w:val="27"/>
    <w:autoRedefine/>
    <w:qFormat/>
    <w:uiPriority w:val="0"/>
    <w:rPr>
      <w:sz w:val="21"/>
      <w:szCs w:val="21"/>
    </w:rPr>
  </w:style>
  <w:style w:type="paragraph" w:customStyle="1" w:styleId="31">
    <w:name w:val="样式 标题 1 + 四号 加粗"/>
    <w:basedOn w:val="3"/>
    <w:qFormat/>
    <w:uiPriority w:val="0"/>
  </w:style>
  <w:style w:type="character" w:customStyle="1" w:styleId="32">
    <w:name w:val="批注文字 字符"/>
    <w:basedOn w:val="27"/>
    <w:link w:val="7"/>
    <w:autoRedefine/>
    <w:qFormat/>
    <w:uiPriority w:val="0"/>
    <w:rPr>
      <w:rFonts w:eastAsia="仿宋_GB2312"/>
      <w:kern w:val="2"/>
      <w:sz w:val="32"/>
      <w:szCs w:val="24"/>
    </w:rPr>
  </w:style>
  <w:style w:type="character" w:customStyle="1" w:styleId="33">
    <w:name w:val="批注框文本 字符"/>
    <w:basedOn w:val="27"/>
    <w:link w:val="13"/>
    <w:autoRedefine/>
    <w:qFormat/>
    <w:uiPriority w:val="0"/>
    <w:rPr>
      <w:rFonts w:eastAsia="仿宋_GB2312"/>
      <w:kern w:val="2"/>
      <w:sz w:val="18"/>
      <w:szCs w:val="18"/>
    </w:rPr>
  </w:style>
  <w:style w:type="character" w:customStyle="1" w:styleId="34">
    <w:name w:val="页脚 字符"/>
    <w:basedOn w:val="27"/>
    <w:link w:val="14"/>
    <w:autoRedefine/>
    <w:qFormat/>
    <w:uiPriority w:val="99"/>
    <w:rPr>
      <w:rFonts w:eastAsia="仿宋_GB2312"/>
      <w:kern w:val="2"/>
      <w:sz w:val="18"/>
      <w:szCs w:val="18"/>
    </w:rPr>
  </w:style>
  <w:style w:type="character" w:customStyle="1" w:styleId="35">
    <w:name w:val="页眉 字符"/>
    <w:basedOn w:val="27"/>
    <w:link w:val="15"/>
    <w:autoRedefine/>
    <w:qFormat/>
    <w:uiPriority w:val="0"/>
    <w:rPr>
      <w:rFonts w:eastAsia="仿宋_GB2312"/>
      <w:kern w:val="2"/>
      <w:sz w:val="18"/>
      <w:szCs w:val="18"/>
    </w:rPr>
  </w:style>
  <w:style w:type="character" w:customStyle="1" w:styleId="36">
    <w:name w:val="批注主题 字符"/>
    <w:basedOn w:val="32"/>
    <w:link w:val="22"/>
    <w:autoRedefine/>
    <w:qFormat/>
    <w:uiPriority w:val="0"/>
    <w:rPr>
      <w:rFonts w:eastAsia="仿宋_GB2312"/>
      <w:b/>
      <w:bCs/>
      <w:kern w:val="2"/>
      <w:sz w:val="32"/>
      <w:szCs w:val="24"/>
    </w:rPr>
  </w:style>
  <w:style w:type="paragraph" w:customStyle="1" w:styleId="37">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8">
    <w:name w:val="Body Text First Indent1"/>
    <w:basedOn w:val="8"/>
    <w:next w:val="15"/>
    <w:autoRedefine/>
    <w:qFormat/>
    <w:uiPriority w:val="0"/>
    <w:pPr>
      <w:ind w:firstLine="420" w:firstLineChars="100"/>
    </w:pPr>
    <w:rPr>
      <w:sz w:val="20"/>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character" w:customStyle="1" w:styleId="40">
    <w:name w:val="标题 2 Char"/>
    <w:link w:val="4"/>
    <w:autoRedefine/>
    <w:semiHidden/>
    <w:qFormat/>
    <w:uiPriority w:val="0"/>
    <w:rPr>
      <w:rFonts w:ascii="Calibri Light" w:hAnsi="Calibri Light" w:eastAsia="宋体" w:cs="Times New Roman"/>
      <w:b/>
      <w:bCs/>
      <w:sz w:val="32"/>
      <w:szCs w:val="32"/>
    </w:rPr>
  </w:style>
  <w:style w:type="character" w:customStyle="1" w:styleId="41">
    <w:name w:val="标题 1 Char"/>
    <w:link w:val="3"/>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8"/>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6">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7">
    <w:name w:val="_Style 284"/>
    <w:basedOn w:val="8"/>
    <w:next w:val="1"/>
    <w:autoRedefine/>
    <w:qFormat/>
    <w:uiPriority w:val="99"/>
    <w:pPr>
      <w:widowControl/>
      <w:ind w:firstLine="420" w:firstLineChars="100"/>
      <w:jc w:val="left"/>
    </w:pPr>
    <w:rPr>
      <w:kern w:val="0"/>
    </w:rPr>
  </w:style>
  <w:style w:type="paragraph" w:customStyle="1" w:styleId="48">
    <w:name w:val="Plain Text"/>
    <w:basedOn w:val="1"/>
    <w:autoRedefine/>
    <w:qFormat/>
    <w:uiPriority w:val="0"/>
    <w:rPr>
      <w:rFonts w:ascii="宋体" w:hAnsi="Courier New" w:eastAsia="宋体" w:cs="Times New Roman"/>
      <w:kern w:val="0"/>
      <w:sz w:val="20"/>
      <w:szCs w:val="21"/>
    </w:rPr>
  </w:style>
  <w:style w:type="paragraph" w:customStyle="1" w:styleId="49">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0">
    <w:name w:val="纯文本1"/>
    <w:basedOn w:val="1"/>
    <w:autoRedefine/>
    <w:qFormat/>
    <w:uiPriority w:val="0"/>
    <w:rPr>
      <w:rFonts w:ascii="宋体" w:hAnsi="Courier New" w:eastAsia="宋体" w:cs="Times New Roman"/>
      <w:sz w:val="21"/>
      <w:szCs w:val="22"/>
    </w:rPr>
  </w:style>
  <w:style w:type="paragraph" w:customStyle="1" w:styleId="51">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6">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7">
    <w:name w:val="10"/>
    <w:basedOn w:val="27"/>
    <w:autoRedefine/>
    <w:qFormat/>
    <w:uiPriority w:val="0"/>
    <w:rPr>
      <w:rFonts w:hint="default" w:ascii="Times New Roman" w:hAnsi="Times New Roman" w:eastAsia="宋体" w:cs="Times New Roman"/>
    </w:rPr>
  </w:style>
  <w:style w:type="character" w:customStyle="1" w:styleId="58">
    <w:name w:val="15"/>
    <w:basedOn w:val="27"/>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1">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85</Pages>
  <Words>14865</Words>
  <Characters>16454</Characters>
  <Lines>1</Lines>
  <Paragraphs>1</Paragraphs>
  <TotalTime>118</TotalTime>
  <ScaleCrop>false</ScaleCrop>
  <LinksUpToDate>false</LinksUpToDate>
  <CharactersWithSpaces>16994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123456</cp:lastModifiedBy>
  <cp:lastPrinted>2024-02-05T14:44:00Z</cp:lastPrinted>
  <dcterms:modified xsi:type="dcterms:W3CDTF">2025-06-23T06:11:18Z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EA41F82625C6403F9A44B0C8C5D52498_13</vt:lpwstr>
  </property>
  <property fmtid="{D5CDD505-2E9C-101B-9397-08002B2CF9AE}" pid="4" name="KSOTemplateDocerSaveRecord">
    <vt:lpwstr>eyJoZGlkIjoiNDFlM2JjMmNmNTg3NDM4YjcxNTBkNjE4M2FkZGNlNzgiLCJ1c2VySWQiOiI1MTkyMzQ0NDcifQ==</vt:lpwstr>
  </property>
</Properties>
</file>