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rPr>
        <w:t xml:space="preserve"> </w:t>
      </w:r>
      <w:r>
        <w:rPr>
          <w:rFonts w:hint="eastAsia" w:cs="宋体" w:asciiTheme="minorEastAsia" w:hAnsiTheme="minorEastAsia"/>
          <w:color w:val="auto"/>
          <w:sz w:val="48"/>
          <w:szCs w:val="48"/>
          <w:u w:val="single"/>
          <w:lang w:eastAsia="zh-CN"/>
        </w:rPr>
        <w:t>2025年-2026年机械非标件委外加工服务（第二次重新询价）采购项目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202505039</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19</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2025年-2026年机械非标件委外加工服务（第二次重新询价）采购项目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202505039</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2025年-2026年机械非标件委外加工服务（第二次重新询价）采购项目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28.88万元，</w:t>
      </w:r>
      <w:r>
        <w:rPr>
          <w:rFonts w:hint="eastAsia" w:cs="仿宋" w:asciiTheme="minorEastAsia" w:hAnsiTheme="minorEastAsia"/>
          <w:b/>
          <w:bCs/>
          <w:color w:val="auto"/>
          <w:sz w:val="24"/>
          <w:u w:val="single"/>
          <w:lang w:val="en-US" w:eastAsia="zh-CN"/>
        </w:rPr>
        <w:t>单价和总价均不得超过限价。</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供应商根据采购人提供的相关技术资料、图纸、工艺要求、样品等资料进行机械加工。具体要求以询价通知书第三部分采购需求为准。</w:t>
      </w:r>
      <w:r>
        <w:rPr>
          <w:rFonts w:hint="eastAsia" w:cs="仿宋" w:asciiTheme="minorEastAsia" w:hAnsiTheme="minorEastAsia"/>
          <w:color w:val="auto"/>
          <w:sz w:val="24"/>
          <w:highlight w:val="none"/>
        </w:rPr>
        <w:t>具体</w:t>
      </w:r>
      <w:r>
        <w:rPr>
          <w:rFonts w:hint="eastAsia" w:cs="仿宋" w:asciiTheme="minorEastAsia" w:hAnsiTheme="minorEastAsia"/>
          <w:color w:val="auto"/>
          <w:sz w:val="24"/>
        </w:rPr>
        <w:t>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03"/>
      <w:bookmarkStart w:id="8" w:name="_Toc35393622"/>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81"/>
      <w:bookmarkStart w:id="12" w:name="_Toc35393792"/>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lang w:eastAsia="zh-CN"/>
        </w:rPr>
      </w:pPr>
      <w:r>
        <w:rPr>
          <w:rFonts w:hint="eastAsia" w:cs="仿宋" w:asciiTheme="minorEastAsia" w:hAnsiTheme="minorEastAsia"/>
          <w:bCs/>
          <w:color w:val="auto"/>
          <w:sz w:val="24"/>
        </w:rPr>
        <w:t>1.供应商必须是在中华人民共和国境内注册，具有独立承担民事责任的能力，有能力提供相关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有效期内的</w:t>
      </w:r>
      <w:r>
        <w:rPr>
          <w:rFonts w:hint="eastAsia" w:cs="仿宋" w:asciiTheme="minorEastAsia" w:hAnsiTheme="minorEastAsia"/>
          <w:bCs/>
          <w:color w:val="auto"/>
          <w:sz w:val="24"/>
        </w:rPr>
        <w:t>营业执照</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lang w:val="en-US" w:eastAsia="zh-CN"/>
        </w:rPr>
        <w:t>或者</w:t>
      </w:r>
      <w:r>
        <w:rPr>
          <w:rFonts w:hint="eastAsia" w:cs="仿宋" w:asciiTheme="minorEastAsia" w:hAnsiTheme="minorEastAsia"/>
          <w:bCs/>
          <w:color w:val="auto"/>
          <w:sz w:val="24"/>
        </w:rPr>
        <w:t>事业单位法人证书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社会团体法人登记证书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其他组织登记证明文件</w:t>
      </w:r>
      <w:r>
        <w:rPr>
          <w:rFonts w:hint="eastAsia" w:cs="仿宋" w:asciiTheme="minorEastAsia" w:hAnsiTheme="minorEastAsia"/>
          <w:bCs/>
          <w:color w:val="auto"/>
          <w:sz w:val="24"/>
          <w:lang w:eastAsia="zh-CN"/>
        </w:rPr>
        <w:t>）副本</w:t>
      </w:r>
      <w:r>
        <w:rPr>
          <w:rFonts w:hint="eastAsia" w:cs="仿宋" w:asciiTheme="minorEastAsia" w:hAnsiTheme="minorEastAsia"/>
          <w:bCs/>
          <w:color w:val="auto"/>
          <w:sz w:val="24"/>
        </w:rPr>
        <w:t>复印件</w:t>
      </w:r>
      <w:r>
        <w:rPr>
          <w:rFonts w:hint="eastAsia" w:cs="仿宋" w:asciiTheme="minorEastAsia" w:hAnsiTheme="minorEastAsia"/>
          <w:bCs/>
          <w:color w:val="auto"/>
          <w:sz w:val="24"/>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1C9138C4">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年1月1日起不少于1个与非标件机械加工的业绩（同时提供合同复印件）。</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5700 </w:t>
      </w:r>
      <w:r>
        <w:rPr>
          <w:rFonts w:hint="eastAsia" w:cs="仿宋" w:asciiTheme="minorEastAsia" w:hAnsiTheme="minorEastAsia" w:eastAsiaTheme="minorEastAsia"/>
          <w:b w:val="0"/>
          <w:bCs/>
          <w:color w:val="auto"/>
          <w:kern w:val="2"/>
          <w:sz w:val="24"/>
          <w:szCs w:val="24"/>
          <w:highlight w:val="none"/>
          <w:lang w:val="en-US" w:eastAsia="zh-CN" w:bidi="ar-SA"/>
        </w:rPr>
        <w:t>元，同时注</w:t>
      </w:r>
      <w:r>
        <w:rPr>
          <w:rFonts w:hint="eastAsia" w:cs="仿宋" w:asciiTheme="minorEastAsia" w:hAnsiTheme="minorEastAsia" w:eastAsiaTheme="minorEastAsia"/>
          <w:b w:val="0"/>
          <w:bCs/>
          <w:kern w:val="2"/>
          <w:sz w:val="24"/>
          <w:szCs w:val="24"/>
          <w:lang w:val="en-US" w:eastAsia="zh-CN" w:bidi="ar-SA"/>
        </w:rPr>
        <w:t>明：</w:t>
      </w:r>
      <w:r>
        <w:rPr>
          <w:rFonts w:hint="eastAsia" w:cs="仿宋" w:asciiTheme="minorEastAsia" w:hAnsiTheme="minorEastAsia" w:eastAsiaTheme="minorEastAsia"/>
          <w:b w:val="0"/>
          <w:bCs/>
          <w:strike w:val="0"/>
          <w:dstrike w:val="0"/>
          <w:kern w:val="2"/>
          <w:sz w:val="24"/>
          <w:szCs w:val="24"/>
          <w:u w:val="single"/>
          <w:lang w:val="en-US" w:eastAsia="zh-CN" w:bidi="ar-SA"/>
        </w:rPr>
        <w:t>2025年-2026年机械非标件委外加工服务（第二次重新询价）采购项目询价保证金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2025年</w:t>
      </w:r>
      <w:r>
        <w:rPr>
          <w:rFonts w:hint="eastAsia" w:cs="仿宋" w:asciiTheme="minorEastAsia" w:hAnsiTheme="minorEastAsia"/>
          <w:color w:val="auto"/>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w:t>
      </w:r>
      <w:r>
        <w:rPr>
          <w:rFonts w:hint="eastAsia" w:cs="仿宋" w:asciiTheme="minorEastAsia" w:hAnsiTheme="minorEastAsia"/>
          <w:color w:val="auto"/>
          <w:sz w:val="24"/>
        </w:rPr>
        <w:t>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w:t>
      </w:r>
      <w:r>
        <w:rPr>
          <w:rFonts w:hint="eastAsia" w:cs="仿宋" w:asciiTheme="minorEastAsia" w:hAnsiTheme="minorEastAsia"/>
          <w:sz w:val="24"/>
        </w:rPr>
        <w:t>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w:t>
      </w:r>
      <w:r>
        <w:rPr>
          <w:rFonts w:hint="eastAsia" w:cs="仿宋" w:asciiTheme="minorEastAsia" w:hAnsiTheme="minorEastAsia"/>
          <w:color w:val="auto"/>
          <w:sz w:val="24"/>
          <w:highlight w:val="none"/>
        </w:rPr>
        <w:t>系人：</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6月19</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0D16F8B3">
      <w:pPr>
        <w:rPr>
          <w:rFonts w:cs="仿宋" w:asciiTheme="minorEastAsia" w:hAnsiTheme="minorEastAsia"/>
          <w:b/>
          <w:bCs/>
          <w:sz w:val="36"/>
          <w:szCs w:val="36"/>
        </w:rPr>
      </w:pPr>
    </w:p>
    <w:p w14:paraId="4DEB762E">
      <w:pPr>
        <w:spacing w:line="460" w:lineRule="exact"/>
        <w:jc w:val="both"/>
        <w:rPr>
          <w:rFonts w:hint="eastAsia" w:cs="仿宋" w:asciiTheme="minorEastAsia" w:hAnsiTheme="minorEastAsia"/>
          <w:b/>
          <w:bCs/>
          <w:color w:val="auto"/>
          <w:sz w:val="36"/>
          <w:szCs w:val="36"/>
        </w:rPr>
      </w:pPr>
      <w:bookmarkStart w:id="498" w:name="_GoBack"/>
      <w:bookmarkEnd w:id="498"/>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6"/>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54F1A2AA">
      <w:pPr>
        <w:pStyle w:val="6"/>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color w:val="auto"/>
          <w:lang w:val="en-US" w:eastAsia="zh-CN"/>
        </w:rPr>
      </w:pPr>
      <w:r>
        <w:rPr>
          <w:rFonts w:hint="eastAsia"/>
          <w:color w:val="auto"/>
          <w:lang w:val="en-US" w:eastAsia="zh-CN"/>
        </w:rPr>
        <w:t>供应商根据采购人提供的相关技术资料、图纸、工艺要求、样品等资料进行机械加工。清单暂定如下：</w:t>
      </w:r>
    </w:p>
    <w:tbl>
      <w:tblPr>
        <w:tblStyle w:val="15"/>
        <w:tblW w:w="88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666"/>
        <w:gridCol w:w="1509"/>
        <w:gridCol w:w="1238"/>
        <w:gridCol w:w="893"/>
        <w:gridCol w:w="1000"/>
        <w:gridCol w:w="880"/>
        <w:gridCol w:w="1080"/>
      </w:tblGrid>
      <w:tr w14:paraId="415F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A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9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lang w:val="en-US" w:eastAsia="zh-CN" w:bidi="ar"/>
              </w:rPr>
              <w:t>费用</w:t>
            </w:r>
            <w:r>
              <w:rPr>
                <w:rStyle w:val="31"/>
                <w:lang w:val="en-US" w:eastAsia="zh-CN" w:bidi="ar"/>
              </w:rPr>
              <w:t>类别</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5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加工类别/材料类别</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D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D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单价限价</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3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三固需求</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9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8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需求合计</w:t>
            </w:r>
          </w:p>
        </w:tc>
      </w:tr>
      <w:tr w14:paraId="28EE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8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3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5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车加工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2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0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C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E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D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1940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0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C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E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7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8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D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4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930</w:t>
            </w:r>
          </w:p>
        </w:tc>
      </w:tr>
      <w:tr w14:paraId="3E8E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9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4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7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磨加工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5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F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3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F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6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r>
      <w:tr w14:paraId="1351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9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0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2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数控加工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B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8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F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2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9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610</w:t>
            </w:r>
          </w:p>
        </w:tc>
      </w:tr>
      <w:tr w14:paraId="1E41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1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8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1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冲加工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7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C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F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1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3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r>
      <w:tr w14:paraId="6F49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1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8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5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镗加工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7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A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7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B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9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r>
      <w:tr w14:paraId="68CB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0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8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线切割加工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0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7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D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3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5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r>
      <w:tr w14:paraId="2A36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F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A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C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刨加工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E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6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3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B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7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r>
      <w:tr w14:paraId="58FD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D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E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8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钳加工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C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1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F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D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3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380</w:t>
            </w:r>
          </w:p>
        </w:tc>
      </w:tr>
      <w:tr w14:paraId="3DD5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4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1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5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热处理</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4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9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A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E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6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r>
      <w:tr w14:paraId="52EB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7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E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8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焊接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3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7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2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3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3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r>
      <w:tr w14:paraId="7B46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9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C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0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组装</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9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F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6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9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F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r>
      <w:tr w14:paraId="0986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3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C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E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Q235-B</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1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E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2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5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3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1008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F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9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2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Q345-B</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C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2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0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1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26C8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3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7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A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20g</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B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F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2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2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9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5B70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2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5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9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C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B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F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B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0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0A7F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6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D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7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12Cr1MoV</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D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0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C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7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5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601F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F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E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1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铝合金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B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4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1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D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E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1D5D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F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F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1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铜</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4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2A9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55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C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5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3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r>
      <w:tr w14:paraId="5267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3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D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3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不锈钢304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3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C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0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1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8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3922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C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B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D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不锈钢316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3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E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8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B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C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44BD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6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2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2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亚克力</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7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7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0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A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A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r>
      <w:tr w14:paraId="66FC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D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4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D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尼龙</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F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D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D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8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6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r>
      <w:tr w14:paraId="40D4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4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8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橡胶</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A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9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8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F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7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r>
      <w:tr w14:paraId="2A46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E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7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F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聚四氟乙烯</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E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B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5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8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r>
      <w:tr w14:paraId="3DFD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E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1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C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塑料</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1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6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D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7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E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r>
      <w:tr w14:paraId="776A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7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4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送货服务费用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A41E">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6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7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5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B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A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r>
    </w:tbl>
    <w:p w14:paraId="5A32A49D">
      <w:pPr>
        <w:pStyle w:val="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：自合同签订后12个月。</w:t>
      </w:r>
    </w:p>
    <w:p w14:paraId="0D8F4000">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14:paraId="2860B5DB">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bookmarkStart w:id="19" w:name="_Toc23900"/>
      <w:r>
        <w:rPr>
          <w:rFonts w:hint="eastAsia" w:ascii="宋体" w:hAnsi="宋体" w:cs="3"/>
          <w:b/>
          <w:bCs/>
          <w:kern w:val="0"/>
          <w:sz w:val="24"/>
          <w:szCs w:val="24"/>
          <w:lang w:val="en-US" w:eastAsia="zh-CN"/>
        </w:rPr>
        <w:t>（一）加工原则</w:t>
      </w:r>
      <w:bookmarkEnd w:id="19"/>
    </w:p>
    <w:p w14:paraId="36236AC9">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1.“基准先行”原则：基准表面先加工，为后续工序做可靠的定位。如轴类零件第—道工序一般为铣端面钻中心孔，然后以中心孔定位加工其他表面。</w:t>
      </w:r>
    </w:p>
    <w:p w14:paraId="323FC99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先面后孔”原则：当零件上有较大的平面可以用来作为定位基准时，总是先加工平面，再以平面定位加工孔，保证孔和平面之间的位置精度，这样定位比较稳定，装夹也方便，并可避免粗糙面钻孔引起的偏斜。</w:t>
      </w:r>
    </w:p>
    <w:p w14:paraId="238015C4">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3.“先主后次”原则：先加工主要表面（位置精度要求较高的基准面和工作表面）后加工次要表面（如键槽、螺孔、紧固小孔等）。次要表面一般在主要表面达到一定精度后，最终精加工之前。</w:t>
      </w:r>
    </w:p>
    <w:p w14:paraId="48B7849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4.“先粗后精”原则：对于精度要求较高的零件，按由粗到精的顺序依次进行，逐步提高加工精度。这一点对于刚性较差的零件，尤其不能忽视。</w:t>
      </w:r>
    </w:p>
    <w:p w14:paraId="1A763EE8">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bookmarkStart w:id="20" w:name="_Toc28324"/>
      <w:r>
        <w:rPr>
          <w:rFonts w:hint="eastAsia" w:ascii="宋体" w:hAnsi="宋体" w:cs="3"/>
          <w:b/>
          <w:bCs/>
          <w:kern w:val="0"/>
          <w:sz w:val="24"/>
          <w:szCs w:val="24"/>
          <w:lang w:val="en-US" w:eastAsia="zh-CN"/>
        </w:rPr>
        <w:t>（二）一般要求</w:t>
      </w:r>
      <w:bookmarkEnd w:id="20"/>
    </w:p>
    <w:p w14:paraId="1CEEB2F1">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1.机械加工件的切削加工必须符合产品图样，工艺规程和本标准规定。</w:t>
      </w:r>
    </w:p>
    <w:p w14:paraId="68E46537">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2.机械加工件的已加工表面，不得有锈蚀及影响性能，寿命和外观的磕碰、划伤等缺陷。</w:t>
      </w:r>
    </w:p>
    <w:p w14:paraId="70383A8B">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3.除了特殊要求外，加工后的零部件不得有尖锐的棱角和毛刺。</w:t>
      </w:r>
    </w:p>
    <w:p w14:paraId="313D9DCB">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 精加工后的配合面，摩擦面和定位面等工作表面，不得打有损于表面质量的印记。</w:t>
      </w:r>
    </w:p>
    <w:p w14:paraId="203F16A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5.经热处理后的零件，精加工时不得产生退火、烧伤及裂纹等现象。</w:t>
      </w:r>
    </w:p>
    <w:p w14:paraId="264BA45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6.经加工后的零件在搬运、存放时，必须防止受到损伤、腐蚀及变形。</w:t>
      </w:r>
    </w:p>
    <w:p w14:paraId="3FAD66D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1" w:name="_Toc32579"/>
      <w:r>
        <w:rPr>
          <w:rFonts w:hint="eastAsia" w:ascii="宋体" w:hAnsi="宋体" w:cs="3"/>
          <w:kern w:val="0"/>
          <w:sz w:val="24"/>
          <w:szCs w:val="24"/>
          <w:lang w:val="en-US" w:eastAsia="zh-CN"/>
        </w:rPr>
        <w:t>7.图样上未注明的倒角应符合表1的规定。</w:t>
      </w:r>
      <w:bookmarkEnd w:id="21"/>
      <w:r>
        <w:rPr>
          <w:rFonts w:hint="eastAsia" w:ascii="宋体" w:hAnsi="宋体" w:cs="3"/>
          <w:kern w:val="0"/>
          <w:sz w:val="24"/>
          <w:szCs w:val="24"/>
          <w:lang w:val="en-US" w:eastAsia="zh-CN"/>
        </w:rPr>
        <w:t xml:space="preserve"> </w:t>
      </w:r>
    </w:p>
    <w:p w14:paraId="4F15CBFB">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w:t>
      </w:r>
      <w:bookmarkStart w:id="22" w:name="_Toc10484"/>
      <w:r>
        <w:rPr>
          <w:rFonts w:hint="eastAsia" w:ascii="宋体" w:hAnsi="宋体" w:cs="3"/>
          <w:kern w:val="0"/>
          <w:sz w:val="24"/>
          <w:szCs w:val="24"/>
          <w:lang w:val="en-US" w:eastAsia="zh-CN"/>
        </w:rPr>
        <w:t>表1                             mm</w:t>
      </w:r>
      <w:bookmarkEnd w:id="22"/>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666"/>
        <w:gridCol w:w="902"/>
        <w:gridCol w:w="1083"/>
        <w:gridCol w:w="1083"/>
        <w:gridCol w:w="1263"/>
        <w:gridCol w:w="1263"/>
        <w:gridCol w:w="1203"/>
      </w:tblGrid>
      <w:tr w14:paraId="4A79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noWrap w:val="0"/>
            <w:vAlign w:val="center"/>
          </w:tcPr>
          <w:p w14:paraId="1061E97E">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D(d或l)</w:t>
            </w:r>
          </w:p>
        </w:tc>
        <w:tc>
          <w:tcPr>
            <w:tcW w:w="666" w:type="dxa"/>
            <w:noWrap w:val="0"/>
            <w:vAlign w:val="center"/>
          </w:tcPr>
          <w:p w14:paraId="445175F6">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902" w:type="dxa"/>
            <w:noWrap w:val="0"/>
            <w:vAlign w:val="center"/>
          </w:tcPr>
          <w:p w14:paraId="76326613">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&gt;5～10</w:t>
            </w:r>
          </w:p>
        </w:tc>
        <w:tc>
          <w:tcPr>
            <w:tcW w:w="1083" w:type="dxa"/>
            <w:noWrap w:val="0"/>
            <w:vAlign w:val="center"/>
          </w:tcPr>
          <w:p w14:paraId="5BC14B36">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&gt;10～30</w:t>
            </w:r>
          </w:p>
        </w:tc>
        <w:tc>
          <w:tcPr>
            <w:tcW w:w="1083" w:type="dxa"/>
            <w:noWrap w:val="0"/>
            <w:vAlign w:val="center"/>
          </w:tcPr>
          <w:p w14:paraId="2F922124">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&gt;30～100</w:t>
            </w:r>
          </w:p>
        </w:tc>
        <w:tc>
          <w:tcPr>
            <w:tcW w:w="1263" w:type="dxa"/>
            <w:noWrap w:val="0"/>
            <w:vAlign w:val="center"/>
          </w:tcPr>
          <w:p w14:paraId="45CBCF7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&gt;100～250</w:t>
            </w:r>
          </w:p>
        </w:tc>
        <w:tc>
          <w:tcPr>
            <w:tcW w:w="1263" w:type="dxa"/>
            <w:noWrap w:val="0"/>
            <w:vAlign w:val="center"/>
          </w:tcPr>
          <w:p w14:paraId="4CDA70FD">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&gt;250～500</w:t>
            </w:r>
          </w:p>
        </w:tc>
        <w:tc>
          <w:tcPr>
            <w:tcW w:w="1203" w:type="dxa"/>
            <w:noWrap w:val="0"/>
            <w:vAlign w:val="center"/>
          </w:tcPr>
          <w:p w14:paraId="102B5728">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&gt;500～1000</w:t>
            </w:r>
          </w:p>
        </w:tc>
      </w:tr>
      <w:tr w14:paraId="3D38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noWrap w:val="0"/>
            <w:vAlign w:val="center"/>
          </w:tcPr>
          <w:p w14:paraId="4D61351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666" w:type="dxa"/>
            <w:noWrap w:val="0"/>
            <w:vAlign w:val="center"/>
          </w:tcPr>
          <w:p w14:paraId="54DFA5C9">
            <w:pPr>
              <w:keepNext w:val="0"/>
              <w:keepLines w:val="0"/>
              <w:pageBreakBefore w:val="0"/>
              <w:kinsoku/>
              <w:wordWrap/>
              <w:overflowPunct/>
              <w:topLinePunct w:val="0"/>
              <w:bidi w:val="0"/>
              <w:snapToGrid/>
              <w:spacing w:before="100" w:beforeAutospacing="1" w:after="100" w:afterAutospacing="1" w:line="360" w:lineRule="auto"/>
              <w:jc w:val="both"/>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902" w:type="dxa"/>
            <w:noWrap w:val="0"/>
            <w:vAlign w:val="center"/>
          </w:tcPr>
          <w:p w14:paraId="2EF5A27B">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83" w:type="dxa"/>
            <w:noWrap w:val="0"/>
            <w:vAlign w:val="center"/>
          </w:tcPr>
          <w:p w14:paraId="7C195363">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83" w:type="dxa"/>
            <w:noWrap w:val="0"/>
            <w:vAlign w:val="center"/>
          </w:tcPr>
          <w:p w14:paraId="53B5C534">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63" w:type="dxa"/>
            <w:noWrap w:val="0"/>
            <w:vAlign w:val="center"/>
          </w:tcPr>
          <w:p w14:paraId="0B8EE64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63" w:type="dxa"/>
            <w:noWrap w:val="0"/>
            <w:vAlign w:val="center"/>
          </w:tcPr>
          <w:p w14:paraId="4F30052E">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203" w:type="dxa"/>
            <w:noWrap w:val="0"/>
            <w:vAlign w:val="center"/>
          </w:tcPr>
          <w:p w14:paraId="07D0FDEF">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r>
    </w:tbl>
    <w:p w14:paraId="495CE7B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注：非圆柱面倒角参照选用，其中l为与倒角处有关的尺寸中最小的一个尺寸。</w:t>
      </w:r>
    </w:p>
    <w:p w14:paraId="4598CEF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8.图样上未注明的倒圆尺寸，如无倾角要求时，应符合表2的规定。</w:t>
      </w:r>
    </w:p>
    <w:p w14:paraId="41E7CB3D">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表2                              mm</w:t>
      </w:r>
    </w:p>
    <w:tbl>
      <w:tblPr>
        <w:tblStyle w:val="15"/>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877"/>
        <w:gridCol w:w="1057"/>
        <w:gridCol w:w="1057"/>
        <w:gridCol w:w="1057"/>
        <w:gridCol w:w="1137"/>
        <w:gridCol w:w="1255"/>
        <w:gridCol w:w="1058"/>
      </w:tblGrid>
      <w:tr w14:paraId="138D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33CEC38F">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D-d</w:t>
            </w:r>
          </w:p>
        </w:tc>
        <w:tc>
          <w:tcPr>
            <w:tcW w:w="877" w:type="dxa"/>
            <w:noWrap w:val="0"/>
            <w:vAlign w:val="center"/>
          </w:tcPr>
          <w:p w14:paraId="0CE899F1">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057" w:type="dxa"/>
            <w:noWrap w:val="0"/>
            <w:vAlign w:val="center"/>
          </w:tcPr>
          <w:p w14:paraId="482E190D">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&gt;4～12</w:t>
            </w:r>
          </w:p>
        </w:tc>
        <w:tc>
          <w:tcPr>
            <w:tcW w:w="1057" w:type="dxa"/>
            <w:noWrap w:val="0"/>
            <w:vAlign w:val="center"/>
          </w:tcPr>
          <w:p w14:paraId="4B362BB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&gt;12～30</w:t>
            </w:r>
          </w:p>
        </w:tc>
        <w:tc>
          <w:tcPr>
            <w:tcW w:w="1057" w:type="dxa"/>
            <w:noWrap w:val="0"/>
            <w:vAlign w:val="center"/>
          </w:tcPr>
          <w:p w14:paraId="178FDB5B">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&gt;12～80</w:t>
            </w:r>
          </w:p>
        </w:tc>
        <w:tc>
          <w:tcPr>
            <w:tcW w:w="1137" w:type="dxa"/>
            <w:noWrap w:val="0"/>
            <w:vAlign w:val="center"/>
          </w:tcPr>
          <w:p w14:paraId="2234C879">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&gt;80～140</w:t>
            </w:r>
          </w:p>
        </w:tc>
        <w:tc>
          <w:tcPr>
            <w:tcW w:w="1255" w:type="dxa"/>
            <w:noWrap w:val="0"/>
            <w:vAlign w:val="center"/>
          </w:tcPr>
          <w:p w14:paraId="5FE3A6E8">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&gt;140～200</w:t>
            </w:r>
          </w:p>
        </w:tc>
        <w:tc>
          <w:tcPr>
            <w:tcW w:w="1058" w:type="dxa"/>
            <w:noWrap w:val="0"/>
            <w:vAlign w:val="center"/>
          </w:tcPr>
          <w:p w14:paraId="7F1EA32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&gt;200</w:t>
            </w:r>
          </w:p>
        </w:tc>
      </w:tr>
      <w:tr w14:paraId="74E4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5C04F948">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D(L)</w:t>
            </w:r>
          </w:p>
        </w:tc>
        <w:tc>
          <w:tcPr>
            <w:tcW w:w="877" w:type="dxa"/>
            <w:noWrap w:val="0"/>
            <w:vAlign w:val="center"/>
          </w:tcPr>
          <w:p w14:paraId="2F5D1163">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3～10</w:t>
            </w:r>
          </w:p>
        </w:tc>
        <w:tc>
          <w:tcPr>
            <w:tcW w:w="1057" w:type="dxa"/>
            <w:noWrap w:val="0"/>
            <w:vAlign w:val="center"/>
          </w:tcPr>
          <w:p w14:paraId="2EFE42BF">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&gt;10～30</w:t>
            </w:r>
          </w:p>
        </w:tc>
        <w:tc>
          <w:tcPr>
            <w:tcW w:w="1057" w:type="dxa"/>
            <w:noWrap w:val="0"/>
            <w:vAlign w:val="center"/>
          </w:tcPr>
          <w:p w14:paraId="2B5EC3E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&gt;30～80</w:t>
            </w:r>
          </w:p>
        </w:tc>
        <w:tc>
          <w:tcPr>
            <w:tcW w:w="1057" w:type="dxa"/>
            <w:noWrap w:val="0"/>
            <w:vAlign w:val="center"/>
          </w:tcPr>
          <w:p w14:paraId="019BBBB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&gt;80～260</w:t>
            </w:r>
          </w:p>
        </w:tc>
        <w:tc>
          <w:tcPr>
            <w:tcW w:w="1137" w:type="dxa"/>
            <w:noWrap w:val="0"/>
            <w:vAlign w:val="center"/>
          </w:tcPr>
          <w:p w14:paraId="1C68C743">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&gt;260～630</w:t>
            </w:r>
          </w:p>
        </w:tc>
        <w:tc>
          <w:tcPr>
            <w:tcW w:w="1255" w:type="dxa"/>
            <w:noWrap w:val="0"/>
            <w:vAlign w:val="center"/>
          </w:tcPr>
          <w:p w14:paraId="193B0734">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&gt;630～1000</w:t>
            </w:r>
          </w:p>
        </w:tc>
        <w:tc>
          <w:tcPr>
            <w:tcW w:w="1058" w:type="dxa"/>
            <w:noWrap w:val="0"/>
            <w:vAlign w:val="center"/>
          </w:tcPr>
          <w:p w14:paraId="7F6DA52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&gt;1000</w:t>
            </w:r>
          </w:p>
        </w:tc>
      </w:tr>
      <w:tr w14:paraId="75D7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1289B10A">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R</w:t>
            </w:r>
          </w:p>
        </w:tc>
        <w:tc>
          <w:tcPr>
            <w:tcW w:w="877" w:type="dxa"/>
            <w:noWrap w:val="0"/>
            <w:vAlign w:val="center"/>
          </w:tcPr>
          <w:p w14:paraId="76137309">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57" w:type="dxa"/>
            <w:noWrap w:val="0"/>
            <w:vAlign w:val="center"/>
          </w:tcPr>
          <w:p w14:paraId="201E4F1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57" w:type="dxa"/>
            <w:noWrap w:val="0"/>
            <w:vAlign w:val="center"/>
          </w:tcPr>
          <w:p w14:paraId="5808630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057" w:type="dxa"/>
            <w:noWrap w:val="0"/>
            <w:vAlign w:val="center"/>
          </w:tcPr>
          <w:p w14:paraId="3D19838D">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137" w:type="dxa"/>
            <w:noWrap w:val="0"/>
            <w:vAlign w:val="center"/>
          </w:tcPr>
          <w:p w14:paraId="3E850EED">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8</w:t>
            </w:r>
          </w:p>
        </w:tc>
        <w:tc>
          <w:tcPr>
            <w:tcW w:w="1255" w:type="dxa"/>
            <w:noWrap w:val="0"/>
            <w:vAlign w:val="center"/>
          </w:tcPr>
          <w:p w14:paraId="64DB6881">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1058" w:type="dxa"/>
            <w:noWrap w:val="0"/>
            <w:vAlign w:val="center"/>
          </w:tcPr>
          <w:p w14:paraId="76853A0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r>
    </w:tbl>
    <w:p w14:paraId="534CD2BE">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注1： D值用于盲孔和外端面倒圆。</w:t>
      </w:r>
    </w:p>
    <w:p w14:paraId="4E32668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注2： 非圆柱面倒圆参照选用，其中L为与倒圆处有关的尺寸中最小的一个尺寸。</w:t>
      </w:r>
    </w:p>
    <w:p w14:paraId="71378B9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9.图样上未注明倒角，过渡圆角的表面粗糙度，应以相连两表中Ra值较大的选取，如有一面不进行加工时，则应取加工面的Rd值。</w:t>
      </w:r>
    </w:p>
    <w:p w14:paraId="3454A51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10.在成对成组加工的零部件（如滑动轴承的上、下轴瓦，齿轮箱的上下盖等）上，应做出标记.</w:t>
      </w:r>
    </w:p>
    <w:p w14:paraId="1D4D65FA">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（三）未注尺寸公差</w:t>
      </w:r>
    </w:p>
    <w:p w14:paraId="47C03CDD">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1.未注公差尺寸（不包括倒角和倒圆半径）的极限偏差数值按GB/T1804-2000-m级取值。数值见表3的规定。</w:t>
      </w:r>
    </w:p>
    <w:p w14:paraId="2120EF3C">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表3未注公差尺寸的极限偏差数值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900"/>
        <w:gridCol w:w="900"/>
        <w:gridCol w:w="900"/>
        <w:gridCol w:w="1129"/>
        <w:gridCol w:w="1211"/>
        <w:gridCol w:w="1260"/>
        <w:gridCol w:w="1430"/>
      </w:tblGrid>
      <w:tr w14:paraId="7592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noWrap w:val="0"/>
            <w:vAlign w:val="center"/>
          </w:tcPr>
          <w:p w14:paraId="2E74F72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w:t>
            </w:r>
          </w:p>
          <w:p w14:paraId="42520B1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等级</w:t>
            </w:r>
          </w:p>
        </w:tc>
        <w:tc>
          <w:tcPr>
            <w:tcW w:w="7730" w:type="dxa"/>
            <w:gridSpan w:val="7"/>
            <w:noWrap w:val="0"/>
            <w:vAlign w:val="center"/>
          </w:tcPr>
          <w:p w14:paraId="438F5E2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w:t>
            </w:r>
          </w:p>
        </w:tc>
      </w:tr>
      <w:tr w14:paraId="7087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top"/>
          </w:tcPr>
          <w:p w14:paraId="4500ABF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900" w:type="dxa"/>
            <w:noWrap w:val="0"/>
            <w:vAlign w:val="top"/>
          </w:tcPr>
          <w:p w14:paraId="778EDE0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0.5～3</w:t>
            </w:r>
          </w:p>
        </w:tc>
        <w:tc>
          <w:tcPr>
            <w:tcW w:w="900" w:type="dxa"/>
            <w:noWrap w:val="0"/>
            <w:vAlign w:val="top"/>
          </w:tcPr>
          <w:p w14:paraId="56367F5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900" w:type="dxa"/>
            <w:noWrap w:val="0"/>
            <w:vAlign w:val="top"/>
          </w:tcPr>
          <w:p w14:paraId="6364E5D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＞6～30</w:t>
            </w:r>
          </w:p>
        </w:tc>
        <w:tc>
          <w:tcPr>
            <w:tcW w:w="1129" w:type="dxa"/>
            <w:noWrap w:val="0"/>
            <w:vAlign w:val="top"/>
          </w:tcPr>
          <w:p w14:paraId="3834F6E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＞30～120</w:t>
            </w:r>
          </w:p>
        </w:tc>
        <w:tc>
          <w:tcPr>
            <w:tcW w:w="1211" w:type="dxa"/>
            <w:noWrap w:val="0"/>
            <w:vAlign w:val="top"/>
          </w:tcPr>
          <w:p w14:paraId="3B1361C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＞120～400</w:t>
            </w:r>
          </w:p>
        </w:tc>
        <w:tc>
          <w:tcPr>
            <w:tcW w:w="1260" w:type="dxa"/>
            <w:noWrap w:val="0"/>
            <w:vAlign w:val="top"/>
          </w:tcPr>
          <w:p w14:paraId="7C28E07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＞400～1000</w:t>
            </w:r>
          </w:p>
        </w:tc>
        <w:tc>
          <w:tcPr>
            <w:tcW w:w="1430" w:type="dxa"/>
            <w:noWrap w:val="0"/>
            <w:vAlign w:val="top"/>
          </w:tcPr>
          <w:p w14:paraId="293112C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＞1000～2000</w:t>
            </w:r>
          </w:p>
        </w:tc>
      </w:tr>
      <w:tr w14:paraId="7773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ED7742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900" w:type="dxa"/>
            <w:noWrap w:val="0"/>
            <w:vAlign w:val="center"/>
          </w:tcPr>
          <w:p w14:paraId="673DA5F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±0.05</w:t>
            </w:r>
          </w:p>
        </w:tc>
        <w:tc>
          <w:tcPr>
            <w:tcW w:w="900" w:type="dxa"/>
            <w:noWrap w:val="0"/>
            <w:vAlign w:val="center"/>
          </w:tcPr>
          <w:p w14:paraId="074166E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±0.05</w:t>
            </w:r>
          </w:p>
        </w:tc>
        <w:tc>
          <w:tcPr>
            <w:tcW w:w="900" w:type="dxa"/>
            <w:noWrap w:val="0"/>
            <w:vAlign w:val="center"/>
          </w:tcPr>
          <w:p w14:paraId="0B773AF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1129" w:type="dxa"/>
            <w:noWrap w:val="0"/>
            <w:vAlign w:val="center"/>
          </w:tcPr>
          <w:p w14:paraId="22BD445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±0.15</w:t>
            </w:r>
          </w:p>
        </w:tc>
        <w:tc>
          <w:tcPr>
            <w:tcW w:w="1211" w:type="dxa"/>
            <w:noWrap w:val="0"/>
            <w:vAlign w:val="center"/>
          </w:tcPr>
          <w:p w14:paraId="75F9035E">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260" w:type="dxa"/>
            <w:noWrap w:val="0"/>
            <w:vAlign w:val="center"/>
          </w:tcPr>
          <w:p w14:paraId="41386BCB">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430" w:type="dxa"/>
            <w:noWrap w:val="0"/>
            <w:vAlign w:val="center"/>
          </w:tcPr>
          <w:p w14:paraId="0BD0C5C5">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r>
      <w:tr w14:paraId="70AD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BCFB838">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900" w:type="dxa"/>
            <w:noWrap w:val="0"/>
            <w:vAlign w:val="top"/>
          </w:tcPr>
          <w:p w14:paraId="6029BB2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900" w:type="dxa"/>
            <w:noWrap w:val="0"/>
            <w:vAlign w:val="top"/>
          </w:tcPr>
          <w:p w14:paraId="10A6489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900" w:type="dxa"/>
            <w:noWrap w:val="0"/>
            <w:vAlign w:val="top"/>
          </w:tcPr>
          <w:p w14:paraId="217A0A3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129" w:type="dxa"/>
            <w:noWrap w:val="0"/>
            <w:vAlign w:val="top"/>
          </w:tcPr>
          <w:p w14:paraId="3D9592C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211" w:type="dxa"/>
            <w:noWrap w:val="0"/>
            <w:vAlign w:val="top"/>
          </w:tcPr>
          <w:p w14:paraId="023FD990">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260" w:type="dxa"/>
            <w:noWrap w:val="0"/>
            <w:vAlign w:val="top"/>
          </w:tcPr>
          <w:p w14:paraId="161DB4EA">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±0.8</w:t>
            </w:r>
          </w:p>
        </w:tc>
        <w:tc>
          <w:tcPr>
            <w:tcW w:w="1430" w:type="dxa"/>
            <w:noWrap w:val="0"/>
            <w:vAlign w:val="top"/>
          </w:tcPr>
          <w:p w14:paraId="227A74DE">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r>
      <w:tr w14:paraId="72A9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BB7FE50">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900" w:type="dxa"/>
            <w:noWrap w:val="0"/>
            <w:vAlign w:val="top"/>
          </w:tcPr>
          <w:p w14:paraId="4E541E81">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900" w:type="dxa"/>
            <w:noWrap w:val="0"/>
            <w:vAlign w:val="top"/>
          </w:tcPr>
          <w:p w14:paraId="655328A7">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900" w:type="dxa"/>
            <w:noWrap w:val="0"/>
            <w:vAlign w:val="top"/>
          </w:tcPr>
          <w:p w14:paraId="4AEA6E7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129" w:type="dxa"/>
            <w:noWrap w:val="0"/>
            <w:vAlign w:val="top"/>
          </w:tcPr>
          <w:p w14:paraId="1F36EDC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±0.8</w:t>
            </w:r>
          </w:p>
        </w:tc>
        <w:tc>
          <w:tcPr>
            <w:tcW w:w="1211" w:type="dxa"/>
            <w:noWrap w:val="0"/>
            <w:vAlign w:val="top"/>
          </w:tcPr>
          <w:p w14:paraId="45880CC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1260" w:type="dxa"/>
            <w:noWrap w:val="0"/>
            <w:vAlign w:val="top"/>
          </w:tcPr>
          <w:p w14:paraId="2B995C1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430" w:type="dxa"/>
            <w:noWrap w:val="0"/>
            <w:vAlign w:val="top"/>
          </w:tcPr>
          <w:p w14:paraId="69CC764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r>
      <w:tr w14:paraId="087B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41C9F30">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900" w:type="dxa"/>
            <w:noWrap w:val="0"/>
            <w:vAlign w:val="top"/>
          </w:tcPr>
          <w:p w14:paraId="1C49761C">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900" w:type="dxa"/>
            <w:noWrap w:val="0"/>
            <w:vAlign w:val="top"/>
          </w:tcPr>
          <w:p w14:paraId="4EF02244">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900" w:type="dxa"/>
            <w:noWrap w:val="0"/>
            <w:vAlign w:val="top"/>
          </w:tcPr>
          <w:p w14:paraId="128BB99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129" w:type="dxa"/>
            <w:noWrap w:val="0"/>
            <w:vAlign w:val="top"/>
          </w:tcPr>
          <w:p w14:paraId="6D29AA8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211" w:type="dxa"/>
            <w:noWrap w:val="0"/>
            <w:vAlign w:val="top"/>
          </w:tcPr>
          <w:p w14:paraId="47FCD64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±2.5</w:t>
            </w:r>
          </w:p>
        </w:tc>
        <w:tc>
          <w:tcPr>
            <w:tcW w:w="1260" w:type="dxa"/>
            <w:noWrap w:val="0"/>
            <w:vAlign w:val="top"/>
          </w:tcPr>
          <w:p w14:paraId="1611A501">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430" w:type="dxa"/>
            <w:noWrap w:val="0"/>
            <w:vAlign w:val="top"/>
          </w:tcPr>
          <w:p w14:paraId="4CD0F00B">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r>
    </w:tbl>
    <w:p w14:paraId="4C07019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2.倒角尺寸和倒圆半径的极限偏差数值按GB/T1804-2000-m级取值。数值见表4的规定。</w:t>
      </w:r>
    </w:p>
    <w:p w14:paraId="2B1675FE">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表4倒角尺寸和倒圆半径的极限偏差数值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800"/>
        <w:gridCol w:w="1688"/>
        <w:gridCol w:w="1732"/>
        <w:gridCol w:w="1654"/>
      </w:tblGrid>
      <w:tr w14:paraId="326A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vMerge w:val="restart"/>
            <w:noWrap w:val="0"/>
            <w:vAlign w:val="center"/>
          </w:tcPr>
          <w:p w14:paraId="56782A8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公差等级</w:t>
            </w:r>
          </w:p>
        </w:tc>
        <w:tc>
          <w:tcPr>
            <w:tcW w:w="6874" w:type="dxa"/>
            <w:gridSpan w:val="4"/>
            <w:noWrap w:val="0"/>
            <w:vAlign w:val="center"/>
          </w:tcPr>
          <w:p w14:paraId="4083930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w:t>
            </w:r>
          </w:p>
        </w:tc>
      </w:tr>
      <w:tr w14:paraId="0EC2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57" w:type="dxa"/>
            <w:vMerge w:val="continue"/>
            <w:noWrap w:val="0"/>
            <w:vAlign w:val="top"/>
          </w:tcPr>
          <w:p w14:paraId="2E314219">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1800" w:type="dxa"/>
            <w:noWrap w:val="0"/>
            <w:vAlign w:val="top"/>
          </w:tcPr>
          <w:p w14:paraId="4155127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0.5～3</w:t>
            </w:r>
          </w:p>
        </w:tc>
        <w:tc>
          <w:tcPr>
            <w:tcW w:w="1688" w:type="dxa"/>
            <w:noWrap w:val="0"/>
            <w:vAlign w:val="top"/>
          </w:tcPr>
          <w:p w14:paraId="4A354EE6">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1732" w:type="dxa"/>
            <w:noWrap w:val="0"/>
            <w:vAlign w:val="top"/>
          </w:tcPr>
          <w:p w14:paraId="2EF2FB8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＞6～30</w:t>
            </w:r>
          </w:p>
        </w:tc>
        <w:tc>
          <w:tcPr>
            <w:tcW w:w="1654" w:type="dxa"/>
            <w:noWrap w:val="0"/>
            <w:vAlign w:val="top"/>
          </w:tcPr>
          <w:p w14:paraId="6A5FB35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r>
      <w:tr w14:paraId="7A09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14:paraId="35FFA8F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1800" w:type="dxa"/>
            <w:vMerge w:val="restart"/>
            <w:noWrap w:val="0"/>
            <w:vAlign w:val="center"/>
          </w:tcPr>
          <w:p w14:paraId="3E3E3F4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688" w:type="dxa"/>
            <w:vMerge w:val="restart"/>
            <w:noWrap w:val="0"/>
            <w:vAlign w:val="center"/>
          </w:tcPr>
          <w:p w14:paraId="6009B868">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732" w:type="dxa"/>
            <w:vMerge w:val="restart"/>
            <w:noWrap w:val="0"/>
            <w:vAlign w:val="center"/>
          </w:tcPr>
          <w:p w14:paraId="07FEA564">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654" w:type="dxa"/>
            <w:vMerge w:val="restart"/>
            <w:noWrap w:val="0"/>
            <w:vAlign w:val="center"/>
          </w:tcPr>
          <w:p w14:paraId="3D23A332">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r>
      <w:tr w14:paraId="3F63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57" w:type="dxa"/>
            <w:noWrap w:val="0"/>
            <w:vAlign w:val="top"/>
          </w:tcPr>
          <w:p w14:paraId="51A68DCE">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1800" w:type="dxa"/>
            <w:vMerge w:val="continue"/>
            <w:noWrap w:val="0"/>
            <w:vAlign w:val="top"/>
          </w:tcPr>
          <w:p w14:paraId="6F7EAC65">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688" w:type="dxa"/>
            <w:vMerge w:val="continue"/>
            <w:noWrap w:val="0"/>
            <w:vAlign w:val="top"/>
          </w:tcPr>
          <w:p w14:paraId="370755E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732" w:type="dxa"/>
            <w:vMerge w:val="continue"/>
            <w:noWrap w:val="0"/>
            <w:vAlign w:val="top"/>
          </w:tcPr>
          <w:p w14:paraId="37550DA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654" w:type="dxa"/>
            <w:vMerge w:val="continue"/>
            <w:noWrap w:val="0"/>
            <w:vAlign w:val="top"/>
          </w:tcPr>
          <w:p w14:paraId="22FD8BF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r w14:paraId="1076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14:paraId="660684DD">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1800" w:type="dxa"/>
            <w:vMerge w:val="restart"/>
            <w:noWrap w:val="0"/>
            <w:vAlign w:val="center"/>
          </w:tcPr>
          <w:p w14:paraId="2544EC59">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±0.4</w:t>
            </w:r>
          </w:p>
        </w:tc>
        <w:tc>
          <w:tcPr>
            <w:tcW w:w="1688" w:type="dxa"/>
            <w:vMerge w:val="restart"/>
            <w:noWrap w:val="0"/>
            <w:vAlign w:val="center"/>
          </w:tcPr>
          <w:p w14:paraId="16F8E10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732" w:type="dxa"/>
            <w:vMerge w:val="restart"/>
            <w:noWrap w:val="0"/>
            <w:vAlign w:val="center"/>
          </w:tcPr>
          <w:p w14:paraId="0B89182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654" w:type="dxa"/>
            <w:vMerge w:val="restart"/>
            <w:noWrap w:val="0"/>
            <w:vAlign w:val="center"/>
          </w:tcPr>
          <w:p w14:paraId="5EEB17D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r>
      <w:tr w14:paraId="3BD3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14:paraId="195383F1">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1800" w:type="dxa"/>
            <w:vMerge w:val="continue"/>
            <w:noWrap w:val="0"/>
            <w:vAlign w:val="top"/>
          </w:tcPr>
          <w:p w14:paraId="6188963A">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688" w:type="dxa"/>
            <w:vMerge w:val="continue"/>
            <w:noWrap w:val="0"/>
            <w:vAlign w:val="top"/>
          </w:tcPr>
          <w:p w14:paraId="034556FB">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732" w:type="dxa"/>
            <w:vMerge w:val="continue"/>
            <w:noWrap w:val="0"/>
            <w:vAlign w:val="top"/>
          </w:tcPr>
          <w:p w14:paraId="2B3B8C4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654" w:type="dxa"/>
            <w:vMerge w:val="continue"/>
            <w:noWrap w:val="0"/>
            <w:vAlign w:val="top"/>
          </w:tcPr>
          <w:p w14:paraId="1901A71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bl>
    <w:p w14:paraId="55E20972">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eastAsiaTheme="minorEastAsia"/>
          <w:kern w:val="0"/>
          <w:sz w:val="24"/>
          <w:szCs w:val="24"/>
          <w:lang w:val="en-US" w:eastAsia="zh-CN" w:bidi="ar-SA"/>
        </w:rPr>
        <w:t>3.</w:t>
      </w:r>
      <w:r>
        <w:rPr>
          <w:rFonts w:hint="eastAsia" w:ascii="宋体" w:hAnsi="宋体" w:cs="3"/>
          <w:kern w:val="0"/>
          <w:sz w:val="24"/>
          <w:szCs w:val="24"/>
          <w:lang w:val="en-US" w:eastAsia="zh-CN"/>
        </w:rPr>
        <w:t>盲孔的钻孔深度，其允许偏差规定如下：</w:t>
      </w:r>
    </w:p>
    <w:p w14:paraId="44F000A0">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3.1孔深不大于50mm的为0～+3mm；</w:t>
      </w:r>
    </w:p>
    <w:p w14:paraId="31C9EDD3">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3.2 孔深大于50mm的为0～+5mm。</w:t>
      </w:r>
    </w:p>
    <w:p w14:paraId="07316628">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4.凡锪平处以最低点测量，锪平深度的极限偏差为0～+5mm。</w:t>
      </w:r>
    </w:p>
    <w:p w14:paraId="27092DF4">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5.一面为加工面，一面为非加工面的未注尺寸公差的极限偏差应符合下列规定：</w:t>
      </w:r>
    </w:p>
    <w:p w14:paraId="0E335AB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5.1铸件、锻件及焊接件按相应的非加工未注尺寸公差的极限偏差的70%取±值。</w:t>
      </w:r>
    </w:p>
    <w:p w14:paraId="3B943D29">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5.2 铸件、锻件的凸缘或壁厚允许减薄，当壁厚≤10mm时，其减薄量不得大于壁厚的20%；当壁厚&gt;10mm时，其减薄量不得大于壁厚的15%.</w:t>
      </w:r>
    </w:p>
    <w:p w14:paraId="28DA95FD">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（四）未注形状公差</w:t>
      </w:r>
    </w:p>
    <w:p w14:paraId="58F0BDD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1.直线度和平面度</w:t>
      </w:r>
    </w:p>
    <w:p w14:paraId="28CA98C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图样上未标注的直线度和平面度的公差值按GB/T1184-1996-H级取值，具体公差值见表5。</w:t>
      </w:r>
    </w:p>
    <w:p w14:paraId="136CF8B5">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表5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083"/>
        <w:gridCol w:w="1080"/>
        <w:gridCol w:w="1080"/>
        <w:gridCol w:w="1260"/>
        <w:gridCol w:w="1260"/>
        <w:gridCol w:w="1440"/>
      </w:tblGrid>
      <w:tr w14:paraId="57D4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restart"/>
            <w:noWrap w:val="0"/>
            <w:vAlign w:val="center"/>
          </w:tcPr>
          <w:p w14:paraId="77AB89A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7203" w:type="dxa"/>
            <w:gridSpan w:val="6"/>
            <w:noWrap w:val="0"/>
            <w:vAlign w:val="top"/>
          </w:tcPr>
          <w:p w14:paraId="68D0568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14:paraId="6E89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noWrap w:val="0"/>
            <w:vAlign w:val="top"/>
          </w:tcPr>
          <w:p w14:paraId="2161220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083" w:type="dxa"/>
            <w:noWrap w:val="0"/>
            <w:vAlign w:val="top"/>
          </w:tcPr>
          <w:p w14:paraId="7F3E929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080" w:type="dxa"/>
            <w:noWrap w:val="0"/>
            <w:vAlign w:val="top"/>
          </w:tcPr>
          <w:p w14:paraId="3C50F0E6">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＞10～30</w:t>
            </w:r>
          </w:p>
        </w:tc>
        <w:tc>
          <w:tcPr>
            <w:tcW w:w="1080" w:type="dxa"/>
            <w:noWrap w:val="0"/>
            <w:vAlign w:val="top"/>
          </w:tcPr>
          <w:p w14:paraId="55508B3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＞30～100</w:t>
            </w:r>
          </w:p>
        </w:tc>
        <w:tc>
          <w:tcPr>
            <w:tcW w:w="1260" w:type="dxa"/>
            <w:noWrap w:val="0"/>
            <w:vAlign w:val="top"/>
          </w:tcPr>
          <w:p w14:paraId="3A21326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260" w:type="dxa"/>
            <w:noWrap w:val="0"/>
            <w:vAlign w:val="top"/>
          </w:tcPr>
          <w:p w14:paraId="68C318F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440" w:type="dxa"/>
            <w:noWrap w:val="0"/>
            <w:vAlign w:val="top"/>
          </w:tcPr>
          <w:p w14:paraId="4C17B4D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14:paraId="68FF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noWrap w:val="0"/>
            <w:vAlign w:val="top"/>
          </w:tcPr>
          <w:p w14:paraId="3A283071">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1083" w:type="dxa"/>
            <w:noWrap w:val="0"/>
            <w:vAlign w:val="top"/>
          </w:tcPr>
          <w:p w14:paraId="30EDE26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0.02</w:t>
            </w:r>
          </w:p>
        </w:tc>
        <w:tc>
          <w:tcPr>
            <w:tcW w:w="1080" w:type="dxa"/>
            <w:noWrap w:val="0"/>
            <w:vAlign w:val="top"/>
          </w:tcPr>
          <w:p w14:paraId="7B375FE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0.05</w:t>
            </w:r>
          </w:p>
        </w:tc>
        <w:tc>
          <w:tcPr>
            <w:tcW w:w="1080" w:type="dxa"/>
            <w:noWrap w:val="0"/>
            <w:vAlign w:val="top"/>
          </w:tcPr>
          <w:p w14:paraId="4BE4167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0.1</w:t>
            </w:r>
          </w:p>
        </w:tc>
        <w:tc>
          <w:tcPr>
            <w:tcW w:w="1260" w:type="dxa"/>
            <w:noWrap w:val="0"/>
            <w:vAlign w:val="top"/>
          </w:tcPr>
          <w:p w14:paraId="0ECE4B9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c>
          <w:tcPr>
            <w:tcW w:w="1260" w:type="dxa"/>
            <w:noWrap w:val="0"/>
            <w:vAlign w:val="top"/>
          </w:tcPr>
          <w:p w14:paraId="357A61E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0.3</w:t>
            </w:r>
          </w:p>
        </w:tc>
        <w:tc>
          <w:tcPr>
            <w:tcW w:w="1440" w:type="dxa"/>
            <w:noWrap w:val="0"/>
            <w:vAlign w:val="top"/>
          </w:tcPr>
          <w:p w14:paraId="6E2A132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0.4</w:t>
            </w:r>
          </w:p>
        </w:tc>
      </w:tr>
    </w:tbl>
    <w:p w14:paraId="0ABA927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2.圆度、圆柱度的未注公差值</w:t>
      </w:r>
    </w:p>
    <w:p w14:paraId="20207900">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圆度、圆柱度的未注公差值要求见GB/T1184-1996中相关规定。</w:t>
      </w:r>
    </w:p>
    <w:p w14:paraId="6AD0F642">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（五）未注位置公差</w:t>
      </w:r>
    </w:p>
    <w:p w14:paraId="11343A9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1.平行度</w:t>
      </w:r>
    </w:p>
    <w:p w14:paraId="0FAE843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平行度的未注公差值等于给出的尺寸公差值，或是直线度和平面度未注公差值中的相应公差值取较大者。应取两要素中较长者作为基准，若两要素的长度相等则可选取一要素为基准。</w:t>
      </w:r>
    </w:p>
    <w:p w14:paraId="6F5CEE27">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2.垂直度</w:t>
      </w:r>
    </w:p>
    <w:p w14:paraId="550766F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取形成直角的两边中较长的一边作为基准，较短的一边作为被测要素，若两边的长度相等则可取其中任意一边作为基准，按GB/T1184-1996-H级取值，垂直度的未注公差值见表6.</w:t>
      </w:r>
    </w:p>
    <w:p w14:paraId="752C74CF">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表6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420"/>
        <w:gridCol w:w="1640"/>
        <w:gridCol w:w="1440"/>
        <w:gridCol w:w="1720"/>
      </w:tblGrid>
      <w:tr w14:paraId="2C2B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noWrap w:val="0"/>
            <w:vAlign w:val="center"/>
          </w:tcPr>
          <w:p w14:paraId="63FF8B2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6220" w:type="dxa"/>
            <w:gridSpan w:val="4"/>
            <w:noWrap w:val="0"/>
            <w:vAlign w:val="top"/>
          </w:tcPr>
          <w:p w14:paraId="2311813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14:paraId="42B8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noWrap w:val="0"/>
            <w:vAlign w:val="top"/>
          </w:tcPr>
          <w:p w14:paraId="37E84274">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420" w:type="dxa"/>
            <w:noWrap w:val="0"/>
            <w:vAlign w:val="top"/>
          </w:tcPr>
          <w:p w14:paraId="57A16D8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w:t>
            </w:r>
          </w:p>
        </w:tc>
        <w:tc>
          <w:tcPr>
            <w:tcW w:w="1640" w:type="dxa"/>
            <w:noWrap w:val="0"/>
            <w:vAlign w:val="top"/>
          </w:tcPr>
          <w:p w14:paraId="422A7E8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440" w:type="dxa"/>
            <w:noWrap w:val="0"/>
            <w:vAlign w:val="top"/>
          </w:tcPr>
          <w:p w14:paraId="746BD7F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720" w:type="dxa"/>
            <w:noWrap w:val="0"/>
            <w:vAlign w:val="top"/>
          </w:tcPr>
          <w:p w14:paraId="7F633BA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14:paraId="58C5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14:paraId="357AD8C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1420" w:type="dxa"/>
            <w:noWrap w:val="0"/>
            <w:vAlign w:val="top"/>
          </w:tcPr>
          <w:p w14:paraId="156DFD7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c>
          <w:tcPr>
            <w:tcW w:w="1640" w:type="dxa"/>
            <w:noWrap w:val="0"/>
            <w:vAlign w:val="top"/>
          </w:tcPr>
          <w:p w14:paraId="7245E58B">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0.3</w:t>
            </w:r>
          </w:p>
        </w:tc>
        <w:tc>
          <w:tcPr>
            <w:tcW w:w="1440" w:type="dxa"/>
            <w:noWrap w:val="0"/>
            <w:vAlign w:val="top"/>
          </w:tcPr>
          <w:p w14:paraId="64EB943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0.4</w:t>
            </w:r>
          </w:p>
        </w:tc>
        <w:tc>
          <w:tcPr>
            <w:tcW w:w="1720" w:type="dxa"/>
            <w:noWrap w:val="0"/>
            <w:vAlign w:val="top"/>
          </w:tcPr>
          <w:p w14:paraId="3DBFC396">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bl>
    <w:p w14:paraId="7C1C3919">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 对称度</w:t>
      </w:r>
    </w:p>
    <w:p w14:paraId="0A9AE5E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应取两要素中较长的一边作为基准，较短的一边作为被测要素，若两要素的长度相等则可取其中任意一要素作为基准，按GB/T1184-1996-H级取值，对称度的未注公差值见表7.</w:t>
      </w:r>
    </w:p>
    <w:p w14:paraId="713D0F0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注：对称度的未注公差值用于至少两个要素中的一个是中心平面，或两个要素的轴线相互垂直。</w:t>
      </w:r>
    </w:p>
    <w:p w14:paraId="47ADA0CD">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表7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420"/>
        <w:gridCol w:w="1640"/>
        <w:gridCol w:w="1440"/>
        <w:gridCol w:w="1720"/>
      </w:tblGrid>
      <w:tr w14:paraId="02AB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noWrap w:val="0"/>
            <w:vAlign w:val="center"/>
          </w:tcPr>
          <w:p w14:paraId="11179C8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6220" w:type="dxa"/>
            <w:gridSpan w:val="4"/>
            <w:noWrap w:val="0"/>
            <w:vAlign w:val="top"/>
          </w:tcPr>
          <w:p w14:paraId="1E6056A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14:paraId="1B0C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noWrap w:val="0"/>
            <w:vAlign w:val="top"/>
          </w:tcPr>
          <w:p w14:paraId="79B310B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420" w:type="dxa"/>
            <w:noWrap w:val="0"/>
            <w:vAlign w:val="top"/>
          </w:tcPr>
          <w:p w14:paraId="33A423E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w:t>
            </w:r>
          </w:p>
        </w:tc>
        <w:tc>
          <w:tcPr>
            <w:tcW w:w="1640" w:type="dxa"/>
            <w:noWrap w:val="0"/>
            <w:vAlign w:val="top"/>
          </w:tcPr>
          <w:p w14:paraId="7B780AD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440" w:type="dxa"/>
            <w:noWrap w:val="0"/>
            <w:vAlign w:val="top"/>
          </w:tcPr>
          <w:p w14:paraId="6C8822C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720" w:type="dxa"/>
            <w:noWrap w:val="0"/>
            <w:vAlign w:val="top"/>
          </w:tcPr>
          <w:p w14:paraId="6A171CA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14:paraId="0717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14:paraId="167DFC7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6220" w:type="dxa"/>
            <w:gridSpan w:val="4"/>
            <w:noWrap w:val="0"/>
            <w:vAlign w:val="top"/>
          </w:tcPr>
          <w:p w14:paraId="1468FFC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r w14:paraId="29B7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14:paraId="63F33A20">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K</w:t>
            </w:r>
          </w:p>
        </w:tc>
        <w:tc>
          <w:tcPr>
            <w:tcW w:w="3060" w:type="dxa"/>
            <w:gridSpan w:val="2"/>
            <w:noWrap w:val="0"/>
            <w:vAlign w:val="top"/>
          </w:tcPr>
          <w:p w14:paraId="6A095A4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0.6</w:t>
            </w:r>
          </w:p>
        </w:tc>
        <w:tc>
          <w:tcPr>
            <w:tcW w:w="1440" w:type="dxa"/>
            <w:noWrap w:val="0"/>
            <w:vAlign w:val="top"/>
          </w:tcPr>
          <w:p w14:paraId="57AFB71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0.8</w:t>
            </w:r>
          </w:p>
        </w:tc>
        <w:tc>
          <w:tcPr>
            <w:tcW w:w="1720" w:type="dxa"/>
            <w:noWrap w:val="0"/>
            <w:vAlign w:val="top"/>
          </w:tcPr>
          <w:p w14:paraId="5008DE6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r>
      <w:tr w14:paraId="467F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14:paraId="7E1290DB">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L</w:t>
            </w:r>
          </w:p>
        </w:tc>
        <w:tc>
          <w:tcPr>
            <w:tcW w:w="1420" w:type="dxa"/>
            <w:noWrap w:val="0"/>
            <w:vAlign w:val="top"/>
          </w:tcPr>
          <w:p w14:paraId="3921403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0.6</w:t>
            </w:r>
          </w:p>
        </w:tc>
        <w:tc>
          <w:tcPr>
            <w:tcW w:w="1640" w:type="dxa"/>
            <w:noWrap w:val="0"/>
            <w:vAlign w:val="top"/>
          </w:tcPr>
          <w:p w14:paraId="1778A8C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440" w:type="dxa"/>
            <w:noWrap w:val="0"/>
            <w:vAlign w:val="top"/>
          </w:tcPr>
          <w:p w14:paraId="25B8C1F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1.5</w:t>
            </w:r>
          </w:p>
        </w:tc>
        <w:tc>
          <w:tcPr>
            <w:tcW w:w="1720" w:type="dxa"/>
            <w:noWrap w:val="0"/>
            <w:vAlign w:val="top"/>
          </w:tcPr>
          <w:p w14:paraId="3857291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2.0</w:t>
            </w:r>
          </w:p>
        </w:tc>
      </w:tr>
    </w:tbl>
    <w:p w14:paraId="2F81EE5F">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eastAsiaTheme="minorEastAsia"/>
          <w:kern w:val="0"/>
          <w:sz w:val="24"/>
          <w:szCs w:val="24"/>
          <w:lang w:val="en-US" w:eastAsia="zh-CN" w:bidi="ar-SA"/>
        </w:rPr>
        <w:t>4.</w:t>
      </w:r>
      <w:r>
        <w:rPr>
          <w:rFonts w:hint="eastAsia" w:ascii="宋体" w:hAnsi="宋体" w:cs="3"/>
          <w:kern w:val="0"/>
          <w:sz w:val="24"/>
          <w:szCs w:val="24"/>
        </w:rPr>
        <w:t>同轴度</w:t>
      </w:r>
    </w:p>
    <w:p w14:paraId="499A8BCB">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宋体" w:hAnsi="宋体" w:cs="3"/>
          <w:kern w:val="0"/>
          <w:sz w:val="24"/>
          <w:szCs w:val="24"/>
        </w:rPr>
      </w:pPr>
      <w:r>
        <w:rPr>
          <w:rFonts w:hint="eastAsia" w:ascii="宋体" w:hAnsi="宋体" w:cs="3"/>
          <w:kern w:val="0"/>
          <w:sz w:val="24"/>
          <w:szCs w:val="24"/>
        </w:rPr>
        <w:t>同轴度的未注公差值未作规定。</w:t>
      </w:r>
    </w:p>
    <w:p w14:paraId="799EF2D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kern w:val="0"/>
          <w:sz w:val="24"/>
          <w:szCs w:val="24"/>
        </w:rPr>
        <w:t xml:space="preserve"> 在几极限情况下，同轴度的未注公差值可以和表8中规定的径向圆跳动的未注公差值相等，应取两要素中较长的一边作为基准，若两要素的长度相等则可取其中任意一要素作为基准。</w:t>
      </w:r>
    </w:p>
    <w:p w14:paraId="7E8BEBB9">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kern w:val="0"/>
          <w:sz w:val="24"/>
          <w:szCs w:val="24"/>
          <w:lang w:val="en-US" w:eastAsia="zh-CN"/>
        </w:rPr>
        <w:t>5.</w:t>
      </w:r>
      <w:r>
        <w:rPr>
          <w:rFonts w:hint="eastAsia" w:ascii="宋体" w:hAnsi="宋体" w:cs="3"/>
          <w:kern w:val="0"/>
          <w:sz w:val="24"/>
          <w:szCs w:val="24"/>
        </w:rPr>
        <w:t>圆跳动</w:t>
      </w:r>
    </w:p>
    <w:p w14:paraId="0FB0444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对于圆跳动的未注公差值，应以设计或工艺给出的支撑面作为基准，否则应取两要素中较长的一边作为基准，若两要素的长度相等则可取其中任意一要素作为基准。按GB/T1184-1996-H级取值，圆跳动的未注公差值见表8.</w:t>
      </w:r>
    </w:p>
    <w:p w14:paraId="4430ECDA">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表8                            mm</w:t>
      </w:r>
    </w:p>
    <w:tbl>
      <w:tblPr>
        <w:tblStyle w:val="15"/>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8"/>
        <w:gridCol w:w="4021"/>
      </w:tblGrid>
      <w:tr w14:paraId="17B2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14:paraId="700D910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4021" w:type="dxa"/>
            <w:noWrap w:val="0"/>
            <w:vAlign w:val="top"/>
          </w:tcPr>
          <w:p w14:paraId="7CD8D07F">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圆跳动公差值</w:t>
            </w:r>
          </w:p>
        </w:tc>
      </w:tr>
      <w:tr w14:paraId="79AF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14:paraId="67FCDCB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4021" w:type="dxa"/>
            <w:noWrap w:val="0"/>
            <w:vAlign w:val="top"/>
          </w:tcPr>
          <w:p w14:paraId="3777B496">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0.1</w:t>
            </w:r>
          </w:p>
        </w:tc>
      </w:tr>
      <w:tr w14:paraId="7753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14:paraId="5D32B979">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K</w:t>
            </w:r>
          </w:p>
        </w:tc>
        <w:tc>
          <w:tcPr>
            <w:tcW w:w="4021" w:type="dxa"/>
            <w:noWrap w:val="0"/>
            <w:vAlign w:val="top"/>
          </w:tcPr>
          <w:p w14:paraId="1ADC15D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r>
      <w:tr w14:paraId="46A4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14:paraId="7561F1DE">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L</w:t>
            </w:r>
          </w:p>
        </w:tc>
        <w:tc>
          <w:tcPr>
            <w:tcW w:w="4021" w:type="dxa"/>
            <w:noWrap w:val="0"/>
            <w:vAlign w:val="top"/>
          </w:tcPr>
          <w:p w14:paraId="126EB99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bl>
    <w:p w14:paraId="22F35798">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6.垂直要素、倾斜要素由角度公差和直线度或平面度未注公差值分别控制。</w:t>
      </w:r>
    </w:p>
    <w:p w14:paraId="75D008C8">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7.圆跳动和全跳动的公差值不应大于该要素的形状和位置的未注公差的综合值。</w:t>
      </w:r>
    </w:p>
    <w:p w14:paraId="6F71D26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8.任意两螺钉、螺栓孔中心距的极限偏差当图样上未注明时，按表9的规定。</w:t>
      </w:r>
    </w:p>
    <w:p w14:paraId="11C7F8B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表9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836"/>
        <w:gridCol w:w="1123"/>
        <w:gridCol w:w="1126"/>
        <w:gridCol w:w="1126"/>
        <w:gridCol w:w="1126"/>
        <w:gridCol w:w="1130"/>
        <w:gridCol w:w="1182"/>
      </w:tblGrid>
      <w:tr w14:paraId="4362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14:paraId="36E871C0">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螺钉或螺栓中心距</w:t>
            </w:r>
          </w:p>
        </w:tc>
        <w:tc>
          <w:tcPr>
            <w:tcW w:w="836" w:type="dxa"/>
            <w:noWrap w:val="0"/>
            <w:vAlign w:val="center"/>
          </w:tcPr>
          <w:p w14:paraId="2151A7F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1123" w:type="dxa"/>
            <w:noWrap w:val="0"/>
            <w:vAlign w:val="center"/>
          </w:tcPr>
          <w:p w14:paraId="0314BD2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＞6～10</w:t>
            </w:r>
          </w:p>
        </w:tc>
        <w:tc>
          <w:tcPr>
            <w:tcW w:w="1126" w:type="dxa"/>
            <w:noWrap w:val="0"/>
            <w:vAlign w:val="center"/>
          </w:tcPr>
          <w:p w14:paraId="1CEBBC7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＞10～18</w:t>
            </w:r>
          </w:p>
        </w:tc>
        <w:tc>
          <w:tcPr>
            <w:tcW w:w="1126" w:type="dxa"/>
            <w:noWrap w:val="0"/>
            <w:vAlign w:val="center"/>
          </w:tcPr>
          <w:p w14:paraId="37529EA9">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＞18～30</w:t>
            </w:r>
          </w:p>
        </w:tc>
        <w:tc>
          <w:tcPr>
            <w:tcW w:w="1126" w:type="dxa"/>
            <w:noWrap w:val="0"/>
            <w:vAlign w:val="center"/>
          </w:tcPr>
          <w:p w14:paraId="5462659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＞30～100</w:t>
            </w:r>
          </w:p>
        </w:tc>
        <w:tc>
          <w:tcPr>
            <w:tcW w:w="1130" w:type="dxa"/>
            <w:noWrap w:val="0"/>
            <w:vAlign w:val="center"/>
          </w:tcPr>
          <w:p w14:paraId="378CB8B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＞100～200</w:t>
            </w:r>
          </w:p>
        </w:tc>
        <w:tc>
          <w:tcPr>
            <w:tcW w:w="1182" w:type="dxa"/>
            <w:noWrap w:val="0"/>
            <w:vAlign w:val="center"/>
          </w:tcPr>
          <w:p w14:paraId="3BAAB9FB">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＞200</w:t>
            </w:r>
          </w:p>
        </w:tc>
      </w:tr>
      <w:tr w14:paraId="20E8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14:paraId="2BA8E4DD">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任意两螺钉中心距极限偏差</w:t>
            </w:r>
          </w:p>
        </w:tc>
        <w:tc>
          <w:tcPr>
            <w:tcW w:w="836" w:type="dxa"/>
            <w:noWrap w:val="0"/>
            <w:vAlign w:val="center"/>
          </w:tcPr>
          <w:p w14:paraId="73B4403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±0.12</w:t>
            </w:r>
          </w:p>
        </w:tc>
        <w:tc>
          <w:tcPr>
            <w:tcW w:w="1123" w:type="dxa"/>
            <w:noWrap w:val="0"/>
            <w:vAlign w:val="center"/>
          </w:tcPr>
          <w:p w14:paraId="6D03FF1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±0.25</w:t>
            </w:r>
          </w:p>
        </w:tc>
        <w:tc>
          <w:tcPr>
            <w:tcW w:w="1126" w:type="dxa"/>
            <w:noWrap w:val="0"/>
            <w:vAlign w:val="center"/>
          </w:tcPr>
          <w:p w14:paraId="6807247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±0.30</w:t>
            </w:r>
          </w:p>
        </w:tc>
        <w:tc>
          <w:tcPr>
            <w:tcW w:w="1126" w:type="dxa"/>
            <w:noWrap w:val="0"/>
            <w:vAlign w:val="center"/>
          </w:tcPr>
          <w:p w14:paraId="30C44A8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±0.50</w:t>
            </w:r>
          </w:p>
        </w:tc>
        <w:tc>
          <w:tcPr>
            <w:tcW w:w="1126" w:type="dxa"/>
            <w:noWrap w:val="0"/>
            <w:vAlign w:val="center"/>
          </w:tcPr>
          <w:p w14:paraId="2EB8727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±0.75</w:t>
            </w:r>
          </w:p>
        </w:tc>
        <w:tc>
          <w:tcPr>
            <w:tcW w:w="1130" w:type="dxa"/>
            <w:noWrap w:val="0"/>
            <w:vAlign w:val="center"/>
          </w:tcPr>
          <w:p w14:paraId="0BFB20D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±1.25</w:t>
            </w:r>
          </w:p>
        </w:tc>
        <w:tc>
          <w:tcPr>
            <w:tcW w:w="1182" w:type="dxa"/>
            <w:noWrap w:val="0"/>
            <w:vAlign w:val="center"/>
          </w:tcPr>
          <w:p w14:paraId="05CFD6B0">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±1.50</w:t>
            </w:r>
          </w:p>
        </w:tc>
      </w:tr>
      <w:tr w14:paraId="7C8B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14:paraId="469814D6">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任意两螺栓中心距极限偏差</w:t>
            </w:r>
          </w:p>
        </w:tc>
        <w:tc>
          <w:tcPr>
            <w:tcW w:w="836" w:type="dxa"/>
            <w:noWrap w:val="0"/>
            <w:vAlign w:val="center"/>
          </w:tcPr>
          <w:p w14:paraId="7858AB98">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±0.25</w:t>
            </w:r>
          </w:p>
        </w:tc>
        <w:tc>
          <w:tcPr>
            <w:tcW w:w="1123" w:type="dxa"/>
            <w:noWrap w:val="0"/>
            <w:vAlign w:val="center"/>
          </w:tcPr>
          <w:p w14:paraId="726CCA7B">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±0.50</w:t>
            </w:r>
          </w:p>
        </w:tc>
        <w:tc>
          <w:tcPr>
            <w:tcW w:w="1126" w:type="dxa"/>
            <w:noWrap w:val="0"/>
            <w:vAlign w:val="center"/>
          </w:tcPr>
          <w:p w14:paraId="4AEC5314">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±0.75</w:t>
            </w:r>
          </w:p>
        </w:tc>
        <w:tc>
          <w:tcPr>
            <w:tcW w:w="1126" w:type="dxa"/>
            <w:noWrap w:val="0"/>
            <w:vAlign w:val="center"/>
          </w:tcPr>
          <w:p w14:paraId="748654C2">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±1.00</w:t>
            </w:r>
          </w:p>
        </w:tc>
        <w:tc>
          <w:tcPr>
            <w:tcW w:w="1126" w:type="dxa"/>
            <w:noWrap w:val="0"/>
            <w:vAlign w:val="center"/>
          </w:tcPr>
          <w:p w14:paraId="41FC074C">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±1.50</w:t>
            </w:r>
          </w:p>
        </w:tc>
        <w:tc>
          <w:tcPr>
            <w:tcW w:w="1130" w:type="dxa"/>
            <w:noWrap w:val="0"/>
            <w:vAlign w:val="center"/>
          </w:tcPr>
          <w:p w14:paraId="76892662">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±2.50</w:t>
            </w:r>
          </w:p>
        </w:tc>
        <w:tc>
          <w:tcPr>
            <w:tcW w:w="1182" w:type="dxa"/>
            <w:noWrap w:val="0"/>
            <w:vAlign w:val="center"/>
          </w:tcPr>
          <w:p w14:paraId="7907464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±3.00</w:t>
            </w:r>
          </w:p>
        </w:tc>
      </w:tr>
    </w:tbl>
    <w:p w14:paraId="6818443C">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（六）未注公差角度的极限偏差</w:t>
      </w:r>
    </w:p>
    <w:p w14:paraId="64B009A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角度尺寸的极限偏差数值按角度短边长度确定，对圆锥角按圆锥素线长度确定。角度尺寸的极限偏差数值按GB/T1804-2000-m级取值。角度尺寸的极限偏差数值见表10.</w:t>
      </w:r>
    </w:p>
    <w:p w14:paraId="1113BD3C">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表10</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300"/>
        <w:gridCol w:w="1220"/>
        <w:gridCol w:w="1260"/>
        <w:gridCol w:w="1300"/>
        <w:gridCol w:w="1224"/>
      </w:tblGrid>
      <w:tr w14:paraId="1990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noWrap w:val="0"/>
            <w:vAlign w:val="center"/>
          </w:tcPr>
          <w:p w14:paraId="7EEC2A0E">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公差等级</w:t>
            </w:r>
          </w:p>
        </w:tc>
        <w:tc>
          <w:tcPr>
            <w:tcW w:w="6304" w:type="dxa"/>
            <w:gridSpan w:val="5"/>
            <w:noWrap w:val="0"/>
            <w:vAlign w:val="center"/>
          </w:tcPr>
          <w:p w14:paraId="5E992B8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基本长度范围（mm）</w:t>
            </w:r>
          </w:p>
        </w:tc>
      </w:tr>
      <w:tr w14:paraId="58F3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noWrap w:val="0"/>
            <w:vAlign w:val="top"/>
          </w:tcPr>
          <w:p w14:paraId="37EC9A1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1300" w:type="dxa"/>
            <w:noWrap w:val="0"/>
            <w:vAlign w:val="top"/>
          </w:tcPr>
          <w:p w14:paraId="574BE4C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220" w:type="dxa"/>
            <w:noWrap w:val="0"/>
            <w:vAlign w:val="top"/>
          </w:tcPr>
          <w:p w14:paraId="304BC72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＞10～50</w:t>
            </w:r>
          </w:p>
        </w:tc>
        <w:tc>
          <w:tcPr>
            <w:tcW w:w="1260" w:type="dxa"/>
            <w:noWrap w:val="0"/>
            <w:vAlign w:val="top"/>
          </w:tcPr>
          <w:p w14:paraId="34EEA01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＞50～120</w:t>
            </w:r>
          </w:p>
        </w:tc>
        <w:tc>
          <w:tcPr>
            <w:tcW w:w="1300" w:type="dxa"/>
            <w:noWrap w:val="0"/>
            <w:vAlign w:val="top"/>
          </w:tcPr>
          <w:p w14:paraId="59AE83A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＞120～400</w:t>
            </w:r>
          </w:p>
        </w:tc>
        <w:tc>
          <w:tcPr>
            <w:tcW w:w="1224" w:type="dxa"/>
            <w:noWrap w:val="0"/>
            <w:vAlign w:val="top"/>
          </w:tcPr>
          <w:p w14:paraId="6B3E573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＞400</w:t>
            </w:r>
          </w:p>
        </w:tc>
      </w:tr>
      <w:tr w14:paraId="22E5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5D133B1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1300" w:type="dxa"/>
            <w:vMerge w:val="restart"/>
            <w:noWrap w:val="0"/>
            <w:vAlign w:val="center"/>
          </w:tcPr>
          <w:p w14:paraId="24AE1F3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20" w:type="dxa"/>
            <w:vMerge w:val="restart"/>
            <w:noWrap w:val="0"/>
            <w:vAlign w:val="center"/>
          </w:tcPr>
          <w:p w14:paraId="646F280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260" w:type="dxa"/>
            <w:vMerge w:val="restart"/>
            <w:noWrap w:val="0"/>
            <w:vAlign w:val="center"/>
          </w:tcPr>
          <w:p w14:paraId="2BF974A3">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c>
          <w:tcPr>
            <w:tcW w:w="1300" w:type="dxa"/>
            <w:vMerge w:val="restart"/>
            <w:noWrap w:val="0"/>
            <w:vAlign w:val="center"/>
          </w:tcPr>
          <w:p w14:paraId="7F4FA6DA">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224" w:type="dxa"/>
            <w:vMerge w:val="restart"/>
            <w:noWrap w:val="0"/>
            <w:vAlign w:val="center"/>
          </w:tcPr>
          <w:p w14:paraId="233BD6B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r>
      <w:tr w14:paraId="2D5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73FB8FFB">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1300" w:type="dxa"/>
            <w:vMerge w:val="continue"/>
            <w:noWrap w:val="0"/>
            <w:vAlign w:val="top"/>
          </w:tcPr>
          <w:p w14:paraId="54BE935D">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220" w:type="dxa"/>
            <w:vMerge w:val="continue"/>
            <w:noWrap w:val="0"/>
            <w:vAlign w:val="top"/>
          </w:tcPr>
          <w:p w14:paraId="5DE19F5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260" w:type="dxa"/>
            <w:vMerge w:val="continue"/>
            <w:noWrap w:val="0"/>
            <w:vAlign w:val="top"/>
          </w:tcPr>
          <w:p w14:paraId="35BCE8A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300" w:type="dxa"/>
            <w:vMerge w:val="continue"/>
            <w:noWrap w:val="0"/>
            <w:vAlign w:val="top"/>
          </w:tcPr>
          <w:p w14:paraId="730F719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224" w:type="dxa"/>
            <w:vMerge w:val="continue"/>
            <w:noWrap w:val="0"/>
            <w:vAlign w:val="top"/>
          </w:tcPr>
          <w:p w14:paraId="168E79B8">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r w14:paraId="4993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58AD33B2">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1300" w:type="dxa"/>
            <w:noWrap w:val="0"/>
            <w:vAlign w:val="top"/>
          </w:tcPr>
          <w:p w14:paraId="3A20352B">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±1°30′</w:t>
            </w:r>
          </w:p>
        </w:tc>
        <w:tc>
          <w:tcPr>
            <w:tcW w:w="1220" w:type="dxa"/>
            <w:noWrap w:val="0"/>
            <w:vAlign w:val="top"/>
          </w:tcPr>
          <w:p w14:paraId="0AE190E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60" w:type="dxa"/>
            <w:noWrap w:val="0"/>
            <w:vAlign w:val="top"/>
          </w:tcPr>
          <w:p w14:paraId="70AD307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300" w:type="dxa"/>
            <w:noWrap w:val="0"/>
            <w:vAlign w:val="top"/>
          </w:tcPr>
          <w:p w14:paraId="79C5C388">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224" w:type="dxa"/>
            <w:noWrap w:val="0"/>
            <w:vAlign w:val="top"/>
          </w:tcPr>
          <w:p w14:paraId="7716ED7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r>
      <w:tr w14:paraId="47A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5F16C7D9">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1300" w:type="dxa"/>
            <w:noWrap w:val="0"/>
            <w:vAlign w:val="top"/>
          </w:tcPr>
          <w:p w14:paraId="005B219A">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20" w:type="dxa"/>
            <w:noWrap w:val="0"/>
            <w:vAlign w:val="top"/>
          </w:tcPr>
          <w:p w14:paraId="0291FB7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60" w:type="dxa"/>
            <w:noWrap w:val="0"/>
            <w:vAlign w:val="top"/>
          </w:tcPr>
          <w:p w14:paraId="3D59617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300" w:type="dxa"/>
            <w:noWrap w:val="0"/>
            <w:vAlign w:val="top"/>
          </w:tcPr>
          <w:p w14:paraId="382AA02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224" w:type="dxa"/>
            <w:noWrap w:val="0"/>
            <w:vAlign w:val="top"/>
          </w:tcPr>
          <w:p w14:paraId="18000EB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r>
    </w:tbl>
    <w:p w14:paraId="10DE181D">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七</w:t>
      </w:r>
      <w:r>
        <w:rPr>
          <w:rFonts w:hint="eastAsia" w:ascii="宋体" w:hAnsi="宋体"/>
          <w:b/>
          <w:bCs w:val="0"/>
          <w:sz w:val="24"/>
          <w:szCs w:val="24"/>
          <w:lang w:eastAsia="zh-CN"/>
        </w:rPr>
        <w:t>）</w:t>
      </w:r>
      <w:r>
        <w:rPr>
          <w:rFonts w:hint="eastAsia" w:ascii="宋体" w:hAnsi="宋体"/>
          <w:b/>
          <w:bCs w:val="0"/>
          <w:sz w:val="24"/>
          <w:szCs w:val="24"/>
        </w:rPr>
        <w:t>螺纹</w:t>
      </w:r>
    </w:p>
    <w:p w14:paraId="69C9422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加工的螺纹表面不允许有黑皮、磕碰、乱扣和毛刺等缺陷。</w:t>
      </w:r>
    </w:p>
    <w:p w14:paraId="09D603D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螺纹的加工精度和表面粗糙度，当图样上未注明时应按下列规定：</w:t>
      </w:r>
    </w:p>
    <w:p w14:paraId="157C459E">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普通螺纹精度应按GB/T197-2003规定的6H、6g级。内螺纹表面粗糙度值为12.5µm；外螺纹表面粗糙度值为6.3µm。</w:t>
      </w:r>
    </w:p>
    <w:p w14:paraId="33AE941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梯形螺纹精度应按GB/T5796.4-2005的规定。内螺纹表面粗糙度值为6.3µm；外螺纹表面粗糙度值为3.2µm。</w:t>
      </w:r>
    </w:p>
    <w:p w14:paraId="0AFA0BD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sz w:val="24"/>
          <w:szCs w:val="24"/>
          <w:lang w:val="en-US" w:eastAsia="zh-CN"/>
        </w:rPr>
        <w:t>3.</w:t>
      </w:r>
      <w:r>
        <w:rPr>
          <w:rFonts w:hint="eastAsia" w:ascii="宋体" w:hAnsi="宋体"/>
          <w:sz w:val="24"/>
          <w:szCs w:val="24"/>
        </w:rPr>
        <w:t>外螺纹轴线对杆部轴线及内螺纹轴线对孔部轴线的同轴度，分别不大于外螺纹</w:t>
      </w:r>
      <w:r>
        <w:rPr>
          <w:rFonts w:hint="eastAsia" w:ascii="宋体" w:hAnsi="宋体" w:cs="3"/>
          <w:kern w:val="0"/>
          <w:sz w:val="24"/>
          <w:szCs w:val="24"/>
          <w:lang w:val="en-US" w:eastAsia="zh-CN"/>
        </w:rPr>
        <w:t>大径及内螺纹大径的尺寸公差1/2.</w:t>
      </w:r>
    </w:p>
    <w:p w14:paraId="2B06F45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4.螺纹收尾、肩距、退刀槽和倒角应符合GB/T 3-1997的规定。</w:t>
      </w:r>
    </w:p>
    <w:p w14:paraId="10C9DBD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5.攻制螺孔的轴线对端面的垂直度应按表11的规定。</w:t>
      </w:r>
    </w:p>
    <w:p w14:paraId="2878B28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表11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900"/>
        <w:gridCol w:w="1003"/>
        <w:gridCol w:w="1080"/>
        <w:gridCol w:w="1080"/>
        <w:gridCol w:w="1080"/>
        <w:gridCol w:w="1139"/>
        <w:gridCol w:w="1098"/>
      </w:tblGrid>
      <w:tr w14:paraId="2F4C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3" w:type="dxa"/>
            <w:gridSpan w:val="2"/>
            <w:noWrap w:val="0"/>
            <w:vAlign w:val="top"/>
          </w:tcPr>
          <w:p w14:paraId="242CA42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螺纹长度</w:t>
            </w:r>
          </w:p>
        </w:tc>
        <w:tc>
          <w:tcPr>
            <w:tcW w:w="1003" w:type="dxa"/>
            <w:noWrap w:val="0"/>
            <w:vAlign w:val="top"/>
          </w:tcPr>
          <w:p w14:paraId="228671A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080" w:type="dxa"/>
            <w:noWrap w:val="0"/>
            <w:vAlign w:val="top"/>
          </w:tcPr>
          <w:p w14:paraId="49641BD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＞10～16</w:t>
            </w:r>
          </w:p>
        </w:tc>
        <w:tc>
          <w:tcPr>
            <w:tcW w:w="1080" w:type="dxa"/>
            <w:noWrap w:val="0"/>
            <w:vAlign w:val="top"/>
          </w:tcPr>
          <w:p w14:paraId="4EED5C0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＞16～25</w:t>
            </w:r>
          </w:p>
        </w:tc>
        <w:tc>
          <w:tcPr>
            <w:tcW w:w="1080" w:type="dxa"/>
            <w:noWrap w:val="0"/>
            <w:vAlign w:val="top"/>
          </w:tcPr>
          <w:p w14:paraId="3E99CB91">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＞25～40</w:t>
            </w:r>
          </w:p>
        </w:tc>
        <w:tc>
          <w:tcPr>
            <w:tcW w:w="1139" w:type="dxa"/>
            <w:noWrap w:val="0"/>
            <w:vAlign w:val="top"/>
          </w:tcPr>
          <w:p w14:paraId="1B0238D9">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＞40～63</w:t>
            </w:r>
          </w:p>
        </w:tc>
        <w:tc>
          <w:tcPr>
            <w:tcW w:w="1098" w:type="dxa"/>
            <w:noWrap w:val="0"/>
            <w:vAlign w:val="top"/>
          </w:tcPr>
          <w:p w14:paraId="4459949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＞63～100</w:t>
            </w:r>
          </w:p>
        </w:tc>
      </w:tr>
      <w:tr w14:paraId="1CF9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restart"/>
            <w:noWrap w:val="0"/>
            <w:vAlign w:val="center"/>
          </w:tcPr>
          <w:p w14:paraId="5F0A949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公差值</w:t>
            </w:r>
          </w:p>
        </w:tc>
        <w:tc>
          <w:tcPr>
            <w:tcW w:w="900" w:type="dxa"/>
            <w:noWrap w:val="0"/>
            <w:vAlign w:val="top"/>
          </w:tcPr>
          <w:p w14:paraId="42B9051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手攻</w:t>
            </w:r>
          </w:p>
        </w:tc>
        <w:tc>
          <w:tcPr>
            <w:tcW w:w="1003" w:type="dxa"/>
            <w:noWrap w:val="0"/>
            <w:vAlign w:val="top"/>
          </w:tcPr>
          <w:p w14:paraId="2DD2D33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0.12</w:t>
            </w:r>
          </w:p>
        </w:tc>
        <w:tc>
          <w:tcPr>
            <w:tcW w:w="1080" w:type="dxa"/>
            <w:noWrap w:val="0"/>
            <w:vAlign w:val="top"/>
          </w:tcPr>
          <w:p w14:paraId="781E9C8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0.15</w:t>
            </w:r>
          </w:p>
        </w:tc>
        <w:tc>
          <w:tcPr>
            <w:tcW w:w="1080" w:type="dxa"/>
            <w:noWrap w:val="0"/>
            <w:vAlign w:val="top"/>
          </w:tcPr>
          <w:p w14:paraId="541D8DB4">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0.20</w:t>
            </w:r>
          </w:p>
        </w:tc>
        <w:tc>
          <w:tcPr>
            <w:tcW w:w="1080" w:type="dxa"/>
            <w:noWrap w:val="0"/>
            <w:vAlign w:val="top"/>
          </w:tcPr>
          <w:p w14:paraId="16A2A3F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0.25</w:t>
            </w:r>
          </w:p>
        </w:tc>
        <w:tc>
          <w:tcPr>
            <w:tcW w:w="1139" w:type="dxa"/>
            <w:noWrap w:val="0"/>
            <w:vAlign w:val="top"/>
          </w:tcPr>
          <w:p w14:paraId="655C53A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0.30</w:t>
            </w:r>
          </w:p>
        </w:tc>
        <w:tc>
          <w:tcPr>
            <w:tcW w:w="1098" w:type="dxa"/>
            <w:noWrap w:val="0"/>
            <w:vAlign w:val="top"/>
          </w:tcPr>
          <w:p w14:paraId="125B6470">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0.40</w:t>
            </w:r>
          </w:p>
        </w:tc>
      </w:tr>
      <w:tr w14:paraId="38D1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continue"/>
            <w:noWrap w:val="0"/>
            <w:vAlign w:val="top"/>
          </w:tcPr>
          <w:p w14:paraId="509E08CE">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900" w:type="dxa"/>
            <w:noWrap w:val="0"/>
            <w:vAlign w:val="top"/>
          </w:tcPr>
          <w:p w14:paraId="2E87748C">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机攻</w:t>
            </w:r>
          </w:p>
        </w:tc>
        <w:tc>
          <w:tcPr>
            <w:tcW w:w="1003" w:type="dxa"/>
            <w:noWrap w:val="0"/>
            <w:vAlign w:val="top"/>
          </w:tcPr>
          <w:p w14:paraId="293A5BF4">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0.08</w:t>
            </w:r>
          </w:p>
        </w:tc>
        <w:tc>
          <w:tcPr>
            <w:tcW w:w="1080" w:type="dxa"/>
            <w:noWrap w:val="0"/>
            <w:vAlign w:val="top"/>
          </w:tcPr>
          <w:p w14:paraId="0755C7C5">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0.10</w:t>
            </w:r>
          </w:p>
        </w:tc>
        <w:tc>
          <w:tcPr>
            <w:tcW w:w="1080" w:type="dxa"/>
            <w:noWrap w:val="0"/>
            <w:vAlign w:val="top"/>
          </w:tcPr>
          <w:p w14:paraId="4D5D070B">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0.12</w:t>
            </w:r>
          </w:p>
        </w:tc>
        <w:tc>
          <w:tcPr>
            <w:tcW w:w="1080" w:type="dxa"/>
            <w:noWrap w:val="0"/>
            <w:vAlign w:val="top"/>
          </w:tcPr>
          <w:p w14:paraId="783274C0">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0.15</w:t>
            </w:r>
          </w:p>
        </w:tc>
        <w:tc>
          <w:tcPr>
            <w:tcW w:w="1139" w:type="dxa"/>
            <w:noWrap w:val="0"/>
            <w:vAlign w:val="top"/>
          </w:tcPr>
          <w:p w14:paraId="24D3ACEC">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0.20</w:t>
            </w:r>
          </w:p>
        </w:tc>
        <w:tc>
          <w:tcPr>
            <w:tcW w:w="1098" w:type="dxa"/>
            <w:noWrap w:val="0"/>
            <w:vAlign w:val="top"/>
          </w:tcPr>
          <w:p w14:paraId="014C351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0.25</w:t>
            </w:r>
          </w:p>
        </w:tc>
      </w:tr>
    </w:tbl>
    <w:p w14:paraId="150A5CC7">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八</w:t>
      </w:r>
      <w:r>
        <w:rPr>
          <w:rFonts w:hint="eastAsia" w:ascii="宋体" w:hAnsi="宋体"/>
          <w:b/>
          <w:bCs/>
          <w:sz w:val="24"/>
          <w:szCs w:val="24"/>
          <w:lang w:eastAsia="zh-CN"/>
        </w:rPr>
        <w:t>）</w:t>
      </w:r>
      <w:r>
        <w:rPr>
          <w:rFonts w:hint="eastAsia" w:ascii="宋体" w:hAnsi="宋体"/>
          <w:b/>
          <w:bCs/>
          <w:sz w:val="24"/>
          <w:szCs w:val="24"/>
        </w:rPr>
        <w:t xml:space="preserve">螺纹、孔的检验： </w:t>
      </w:r>
    </w:p>
    <w:p w14:paraId="78A0409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 xml:space="preserve">采用牙规、塞规检验或用螺钉检验，螺纹的底孔不大于标准底孔的0.1mm。 </w:t>
      </w:r>
    </w:p>
    <w:p w14:paraId="198AEF43">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图样上未注精度等级的普通螺均按GB197规定：内螺纹按7H;外螺纹7g加工和检验;未注明粗糙度的螺纹的粗糙度均为Ra6.3 </w:t>
      </w:r>
    </w:p>
    <w:p w14:paraId="2643F1E7">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螺纹部分的长度公差按+1.5倍螺距执行 </w:t>
      </w:r>
    </w:p>
    <w:p w14:paraId="35F3A54D">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螺孔对端平面、螺栓外螺纹对</w:t>
      </w:r>
      <w:r>
        <w:rPr>
          <w:rFonts w:hint="eastAsia" w:ascii="宋体" w:hAnsi="宋体"/>
          <w:sz w:val="24"/>
          <w:szCs w:val="24"/>
          <w:lang w:eastAsia="zh-CN"/>
        </w:rPr>
        <w:t>支撑</w:t>
      </w:r>
      <w:r>
        <w:rPr>
          <w:rFonts w:hint="eastAsia" w:ascii="宋体" w:hAnsi="宋体"/>
          <w:sz w:val="24"/>
          <w:szCs w:val="24"/>
        </w:rPr>
        <w:t xml:space="preserve">平面垂直度匀差按1.2/100加工和检验 </w:t>
      </w:r>
    </w:p>
    <w:p w14:paraId="523DD2F0">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 xml:space="preserve">内螺纹孔口按90°~120°倒角，倒角外圆应大于螺纹直径；外螺纹端部按45°倒角，倒角后小径应小于螺纹小径。 </w:t>
      </w:r>
    </w:p>
    <w:p w14:paraId="5E80982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 xml:space="preserve">中心孔 </w:t>
      </w:r>
    </w:p>
    <w:p w14:paraId="28DAB22D">
      <w:pPr>
        <w:keepNext w:val="0"/>
        <w:keepLines w:val="0"/>
        <w:pageBreakBefore w:val="0"/>
        <w:kinsoku/>
        <w:wordWrap/>
        <w:overflowPunct/>
        <w:topLinePunct w:val="0"/>
        <w:bidi w:val="0"/>
        <w:snapToGrid/>
        <w:spacing w:line="360" w:lineRule="auto"/>
        <w:ind w:left="2" w:leftChars="1" w:firstLine="480" w:firstLineChars="200"/>
        <w:textAlignment w:val="auto"/>
        <w:rPr>
          <w:rFonts w:hint="eastAsia" w:ascii="宋体" w:hAnsi="宋体"/>
          <w:sz w:val="24"/>
          <w:szCs w:val="24"/>
        </w:rPr>
      </w:pPr>
      <w:r>
        <w:rPr>
          <w:rFonts w:hint="eastAsia" w:ascii="宋体" w:hAnsi="宋体"/>
          <w:sz w:val="24"/>
          <w:szCs w:val="24"/>
          <w:lang w:val="en-US" w:eastAsia="zh-CN"/>
        </w:rPr>
        <w:t>6.1</w:t>
      </w:r>
      <w:r>
        <w:rPr>
          <w:rFonts w:hint="eastAsia" w:ascii="宋体" w:hAnsi="宋体"/>
          <w:sz w:val="24"/>
          <w:szCs w:val="24"/>
        </w:rPr>
        <w:t xml:space="preserve">中心孔是否保留应在图样上注明，若未注明则认为有无均可，或按工艺规定。 </w:t>
      </w:r>
    </w:p>
    <w:p w14:paraId="30FA2820">
      <w:pPr>
        <w:keepNext w:val="0"/>
        <w:keepLines w:val="0"/>
        <w:pageBreakBefore w:val="0"/>
        <w:kinsoku/>
        <w:wordWrap/>
        <w:overflowPunct/>
        <w:topLinePunct w:val="0"/>
        <w:bidi w:val="0"/>
        <w:snapToGrid/>
        <w:spacing w:line="360" w:lineRule="auto"/>
        <w:ind w:left="2" w:leftChars="1" w:firstLine="480" w:firstLineChars="200"/>
        <w:textAlignment w:val="auto"/>
        <w:rPr>
          <w:rFonts w:hint="eastAsia" w:ascii="宋体" w:hAnsi="宋体" w:eastAsiaTheme="minorEastAsia"/>
          <w:sz w:val="24"/>
          <w:szCs w:val="24"/>
          <w:lang w:eastAsia="zh-CN"/>
        </w:rPr>
      </w:pPr>
      <w:r>
        <w:rPr>
          <w:rFonts w:hint="eastAsia" w:ascii="宋体" w:hAnsi="宋体"/>
          <w:sz w:val="24"/>
          <w:szCs w:val="24"/>
          <w:lang w:val="en-US" w:eastAsia="zh-CN"/>
        </w:rPr>
        <w:t>6.2</w:t>
      </w:r>
      <w:r>
        <w:rPr>
          <w:rFonts w:hint="eastAsia" w:ascii="宋体" w:hAnsi="宋体"/>
          <w:sz w:val="24"/>
          <w:szCs w:val="24"/>
        </w:rPr>
        <w:t>中心孔的规格图样上如未注明时按A型（不带护锥）加工和检验</w:t>
      </w:r>
      <w:r>
        <w:rPr>
          <w:rFonts w:hint="eastAsia" w:ascii="宋体" w:hAnsi="宋体"/>
          <w:sz w:val="24"/>
          <w:szCs w:val="24"/>
          <w:lang w:eastAsia="zh-CN"/>
        </w:rPr>
        <w:t>。</w:t>
      </w:r>
      <w:r>
        <w:rPr>
          <w:rFonts w:hint="eastAsia" w:ascii="宋体" w:hAnsi="宋体"/>
          <w:sz w:val="24"/>
          <w:szCs w:val="24"/>
        </w:rPr>
        <w:t>尺寸</w:t>
      </w:r>
      <w:r>
        <w:rPr>
          <w:rFonts w:hint="eastAsia" w:ascii="宋体" w:hAnsi="宋体"/>
          <w:sz w:val="24"/>
          <w:szCs w:val="24"/>
          <w:lang w:val="en-US" w:eastAsia="zh-CN"/>
        </w:rPr>
        <w:t>如下表（单位：mm）</w:t>
      </w:r>
    </w:p>
    <w:p w14:paraId="66343DC4">
      <w:pPr>
        <w:keepNext w:val="0"/>
        <w:keepLines w:val="0"/>
        <w:pageBreakBefore w:val="0"/>
        <w:widowControl/>
        <w:kinsoku/>
        <w:wordWrap/>
        <w:overflowPunct/>
        <w:topLinePunct w:val="0"/>
        <w:bidi w:val="0"/>
        <w:snapToGrid/>
        <w:spacing w:line="360" w:lineRule="auto"/>
        <w:jc w:val="left"/>
        <w:textAlignment w:val="auto"/>
        <w:rPr>
          <w:rFonts w:ascii="宋体" w:hAnsi="宋体" w:cs="宋体"/>
          <w:kern w:val="0"/>
          <w:sz w:val="24"/>
          <w:szCs w:val="24"/>
        </w:rPr>
      </w:pPr>
      <w:r>
        <w:rPr>
          <w:rFonts w:ascii="宋体" w:hAnsi="宋体" w:cs="宋体"/>
          <w:kern w:val="0"/>
          <w:sz w:val="24"/>
          <w:szCs w:val="24"/>
        </w:rPr>
        <w:drawing>
          <wp:inline distT="0" distB="0" distL="114300" distR="114300">
            <wp:extent cx="6036310" cy="967105"/>
            <wp:effectExtent l="0" t="0" r="13970" b="8255"/>
            <wp:docPr id="13" name="图片 13" descr="C:\Users\Administrator\AppData\Roaming\Tencent\Users\970567078\QQ\WinTemp\RichOle\@JFYK)YH~HW1BHFYPZ]EY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AppData\Roaming\Tencent\Users\970567078\QQ\WinTemp\RichOle\@JFYK)YH~HW1BHFYPZ]EYBI.png"/>
                    <pic:cNvPicPr>
                      <a:picLocks noChangeAspect="1"/>
                    </pic:cNvPicPr>
                  </pic:nvPicPr>
                  <pic:blipFill>
                    <a:blip r:embed="rId21"/>
                    <a:srcRect t="17183"/>
                    <a:stretch>
                      <a:fillRect/>
                    </a:stretch>
                  </pic:blipFill>
                  <pic:spPr>
                    <a:xfrm>
                      <a:off x="0" y="0"/>
                      <a:ext cx="6036310" cy="967105"/>
                    </a:xfrm>
                    <a:prstGeom prst="rect">
                      <a:avLst/>
                    </a:prstGeom>
                    <a:noFill/>
                    <a:ln>
                      <a:noFill/>
                    </a:ln>
                  </pic:spPr>
                </pic:pic>
              </a:graphicData>
            </a:graphic>
          </wp:inline>
        </w:drawing>
      </w:r>
    </w:p>
    <w:p w14:paraId="4C08AADE">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九</w:t>
      </w:r>
      <w:r>
        <w:rPr>
          <w:rFonts w:hint="eastAsia" w:ascii="宋体" w:hAnsi="宋体"/>
          <w:b/>
          <w:bCs w:val="0"/>
          <w:sz w:val="24"/>
          <w:szCs w:val="24"/>
          <w:lang w:eastAsia="zh-CN"/>
        </w:rPr>
        <w:t>）</w:t>
      </w:r>
      <w:r>
        <w:rPr>
          <w:rFonts w:hint="eastAsia" w:ascii="宋体" w:hAnsi="宋体"/>
          <w:b/>
          <w:bCs w:val="0"/>
          <w:sz w:val="24"/>
          <w:szCs w:val="24"/>
        </w:rPr>
        <w:t>键和键槽</w:t>
      </w:r>
    </w:p>
    <w:p w14:paraId="4285B32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键必须符合GB/T1568-2008的规定。</w:t>
      </w:r>
    </w:p>
    <w:p w14:paraId="516CDCD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当键长与键宽之比≥8时，键工作面在长度方向的平面度应符合下列规定:</w:t>
      </w:r>
    </w:p>
    <w:p w14:paraId="0610428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当键宽≤6mm时，公差等级按7级；</w:t>
      </w:r>
    </w:p>
    <w:p w14:paraId="40A4311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当键宽≥8～36mm时，公差等级按6级；</w:t>
      </w:r>
    </w:p>
    <w:p w14:paraId="6A1309F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2.3</w:t>
      </w:r>
      <w:r>
        <w:rPr>
          <w:rFonts w:hint="eastAsia" w:ascii="宋体" w:hAnsi="宋体"/>
          <w:sz w:val="24"/>
          <w:szCs w:val="24"/>
        </w:rPr>
        <w:t xml:space="preserve"> 当键宽≥40mm时，公差等级按5级；</w:t>
      </w:r>
    </w:p>
    <w:p w14:paraId="1DBC0AC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2.4 具体公差数值见表12。 </w:t>
      </w:r>
    </w:p>
    <w:p w14:paraId="43096181">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表12                               mm</w:t>
      </w:r>
    </w:p>
    <w:tbl>
      <w:tblPr>
        <w:tblStyle w:val="15"/>
        <w:tblW w:w="91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456"/>
        <w:gridCol w:w="480"/>
        <w:gridCol w:w="732"/>
        <w:gridCol w:w="960"/>
        <w:gridCol w:w="1068"/>
        <w:gridCol w:w="912"/>
        <w:gridCol w:w="1008"/>
        <w:gridCol w:w="1140"/>
        <w:gridCol w:w="1032"/>
        <w:gridCol w:w="880"/>
      </w:tblGrid>
      <w:tr w14:paraId="0A9F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right"/>
        </w:trPr>
        <w:tc>
          <w:tcPr>
            <w:tcW w:w="1368" w:type="dxa"/>
            <w:gridSpan w:val="3"/>
            <w:noWrap w:val="0"/>
            <w:vAlign w:val="top"/>
          </w:tcPr>
          <w:p w14:paraId="07DD4A91">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键、键槽长度</w:t>
            </w:r>
          </w:p>
        </w:tc>
        <w:tc>
          <w:tcPr>
            <w:tcW w:w="732" w:type="dxa"/>
            <w:noWrap w:val="0"/>
            <w:vAlign w:val="top"/>
          </w:tcPr>
          <w:p w14:paraId="302D696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960" w:type="dxa"/>
            <w:noWrap w:val="0"/>
            <w:vAlign w:val="top"/>
          </w:tcPr>
          <w:p w14:paraId="207F9A4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＞10～16</w:t>
            </w:r>
          </w:p>
        </w:tc>
        <w:tc>
          <w:tcPr>
            <w:tcW w:w="1068" w:type="dxa"/>
            <w:noWrap w:val="0"/>
            <w:vAlign w:val="top"/>
          </w:tcPr>
          <w:p w14:paraId="1B19CB64">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＞16～25</w:t>
            </w:r>
          </w:p>
        </w:tc>
        <w:tc>
          <w:tcPr>
            <w:tcW w:w="912" w:type="dxa"/>
            <w:noWrap w:val="0"/>
            <w:vAlign w:val="top"/>
          </w:tcPr>
          <w:p w14:paraId="3149A19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＞25～40</w:t>
            </w:r>
          </w:p>
        </w:tc>
        <w:tc>
          <w:tcPr>
            <w:tcW w:w="1008" w:type="dxa"/>
            <w:noWrap w:val="0"/>
            <w:vAlign w:val="top"/>
          </w:tcPr>
          <w:p w14:paraId="0FF1CB2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＞40～63</w:t>
            </w:r>
          </w:p>
        </w:tc>
        <w:tc>
          <w:tcPr>
            <w:tcW w:w="1140" w:type="dxa"/>
            <w:noWrap w:val="0"/>
            <w:vAlign w:val="top"/>
          </w:tcPr>
          <w:p w14:paraId="352349E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＞63～100</w:t>
            </w:r>
          </w:p>
        </w:tc>
        <w:tc>
          <w:tcPr>
            <w:tcW w:w="1032" w:type="dxa"/>
            <w:noWrap w:val="0"/>
            <w:vAlign w:val="top"/>
          </w:tcPr>
          <w:p w14:paraId="45FCC304">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＞100～160</w:t>
            </w:r>
          </w:p>
        </w:tc>
        <w:tc>
          <w:tcPr>
            <w:tcW w:w="880" w:type="dxa"/>
            <w:noWrap w:val="0"/>
            <w:vAlign w:val="top"/>
          </w:tcPr>
          <w:p w14:paraId="5A6F2504">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＞160～250</w:t>
            </w:r>
          </w:p>
        </w:tc>
      </w:tr>
      <w:tr w14:paraId="17CD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restart"/>
            <w:noWrap w:val="0"/>
            <w:vAlign w:val="center"/>
          </w:tcPr>
          <w:p w14:paraId="368BDA6B">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公差</w:t>
            </w:r>
          </w:p>
          <w:p w14:paraId="4667D57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等级</w:t>
            </w:r>
          </w:p>
        </w:tc>
        <w:tc>
          <w:tcPr>
            <w:tcW w:w="456" w:type="dxa"/>
            <w:noWrap w:val="0"/>
            <w:vAlign w:val="top"/>
          </w:tcPr>
          <w:p w14:paraId="7E6490F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5</w:t>
            </w:r>
          </w:p>
        </w:tc>
        <w:tc>
          <w:tcPr>
            <w:tcW w:w="480" w:type="dxa"/>
            <w:vMerge w:val="restart"/>
            <w:noWrap w:val="0"/>
            <w:vAlign w:val="top"/>
          </w:tcPr>
          <w:p w14:paraId="6AF159D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w:t>
            </w:r>
          </w:p>
          <w:p w14:paraId="2F212835">
            <w:pPr>
              <w:keepNext w:val="0"/>
              <w:keepLines w:val="0"/>
              <w:pageBreakBefore w:val="0"/>
              <w:kinsoku/>
              <w:wordWrap/>
              <w:overflowPunct/>
              <w:topLinePunct w:val="0"/>
              <w:bidi w:val="0"/>
              <w:snapToGrid/>
              <w:spacing w:line="360" w:lineRule="auto"/>
              <w:textAlignment w:val="auto"/>
              <w:rPr>
                <w:rFonts w:hint="eastAsia" w:ascii="宋体" w:hAnsi="宋体"/>
                <w:sz w:val="18"/>
                <w:szCs w:val="18"/>
              </w:rPr>
            </w:pPr>
            <w:r>
              <w:rPr>
                <w:rFonts w:hint="eastAsia" w:ascii="宋体" w:hAnsi="宋体"/>
                <w:sz w:val="18"/>
                <w:szCs w:val="18"/>
              </w:rPr>
              <w:t>差值</w:t>
            </w:r>
          </w:p>
        </w:tc>
        <w:tc>
          <w:tcPr>
            <w:tcW w:w="732" w:type="dxa"/>
            <w:noWrap w:val="0"/>
            <w:vAlign w:val="top"/>
          </w:tcPr>
          <w:p w14:paraId="7EDFB30E">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0.005</w:t>
            </w:r>
          </w:p>
        </w:tc>
        <w:tc>
          <w:tcPr>
            <w:tcW w:w="960" w:type="dxa"/>
            <w:noWrap w:val="0"/>
            <w:vAlign w:val="top"/>
          </w:tcPr>
          <w:p w14:paraId="5845BC4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0.006</w:t>
            </w:r>
          </w:p>
        </w:tc>
        <w:tc>
          <w:tcPr>
            <w:tcW w:w="1068" w:type="dxa"/>
            <w:noWrap w:val="0"/>
            <w:vAlign w:val="top"/>
          </w:tcPr>
          <w:p w14:paraId="1836710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0.008</w:t>
            </w:r>
          </w:p>
        </w:tc>
        <w:tc>
          <w:tcPr>
            <w:tcW w:w="912" w:type="dxa"/>
            <w:noWrap w:val="0"/>
            <w:vAlign w:val="top"/>
          </w:tcPr>
          <w:p w14:paraId="772FF59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0.010</w:t>
            </w:r>
          </w:p>
        </w:tc>
        <w:tc>
          <w:tcPr>
            <w:tcW w:w="1008" w:type="dxa"/>
            <w:noWrap w:val="0"/>
            <w:vAlign w:val="top"/>
          </w:tcPr>
          <w:p w14:paraId="7A3884D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1140" w:type="dxa"/>
            <w:noWrap w:val="0"/>
            <w:vAlign w:val="top"/>
          </w:tcPr>
          <w:p w14:paraId="55F3423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32" w:type="dxa"/>
            <w:noWrap w:val="0"/>
            <w:vAlign w:val="top"/>
          </w:tcPr>
          <w:p w14:paraId="3F41ADB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880" w:type="dxa"/>
            <w:noWrap w:val="0"/>
            <w:vAlign w:val="top"/>
          </w:tcPr>
          <w:p w14:paraId="3CECEE50">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r>
      <w:tr w14:paraId="5C88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continue"/>
            <w:noWrap w:val="0"/>
            <w:vAlign w:val="top"/>
          </w:tcPr>
          <w:p w14:paraId="52DE219E">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456" w:type="dxa"/>
            <w:noWrap w:val="0"/>
            <w:vAlign w:val="top"/>
          </w:tcPr>
          <w:p w14:paraId="59D52F74">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6</w:t>
            </w:r>
          </w:p>
        </w:tc>
        <w:tc>
          <w:tcPr>
            <w:tcW w:w="480" w:type="dxa"/>
            <w:vMerge w:val="continue"/>
            <w:noWrap w:val="0"/>
            <w:vAlign w:val="top"/>
          </w:tcPr>
          <w:p w14:paraId="76B6A3DA">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732" w:type="dxa"/>
            <w:noWrap w:val="0"/>
            <w:vAlign w:val="top"/>
          </w:tcPr>
          <w:p w14:paraId="3A03504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0.008</w:t>
            </w:r>
          </w:p>
        </w:tc>
        <w:tc>
          <w:tcPr>
            <w:tcW w:w="960" w:type="dxa"/>
            <w:noWrap w:val="0"/>
            <w:vAlign w:val="top"/>
          </w:tcPr>
          <w:p w14:paraId="639F062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0.010</w:t>
            </w:r>
          </w:p>
        </w:tc>
        <w:tc>
          <w:tcPr>
            <w:tcW w:w="1068" w:type="dxa"/>
            <w:noWrap w:val="0"/>
            <w:vAlign w:val="top"/>
          </w:tcPr>
          <w:p w14:paraId="7632744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912" w:type="dxa"/>
            <w:noWrap w:val="0"/>
            <w:vAlign w:val="top"/>
          </w:tcPr>
          <w:p w14:paraId="103C712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08" w:type="dxa"/>
            <w:noWrap w:val="0"/>
            <w:vAlign w:val="top"/>
          </w:tcPr>
          <w:p w14:paraId="01ED03B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1140" w:type="dxa"/>
            <w:noWrap w:val="0"/>
            <w:vAlign w:val="top"/>
          </w:tcPr>
          <w:p w14:paraId="081A4447">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c>
          <w:tcPr>
            <w:tcW w:w="1032" w:type="dxa"/>
            <w:noWrap w:val="0"/>
            <w:vAlign w:val="top"/>
          </w:tcPr>
          <w:p w14:paraId="4531E248">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0.030</w:t>
            </w:r>
          </w:p>
        </w:tc>
        <w:tc>
          <w:tcPr>
            <w:tcW w:w="880" w:type="dxa"/>
            <w:noWrap w:val="0"/>
            <w:vAlign w:val="top"/>
          </w:tcPr>
          <w:p w14:paraId="3E9B0A9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0.040</w:t>
            </w:r>
          </w:p>
        </w:tc>
      </w:tr>
      <w:tr w14:paraId="1D7C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continue"/>
            <w:noWrap w:val="0"/>
            <w:vAlign w:val="top"/>
          </w:tcPr>
          <w:p w14:paraId="5A497536">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456" w:type="dxa"/>
            <w:noWrap w:val="0"/>
            <w:vAlign w:val="top"/>
          </w:tcPr>
          <w:p w14:paraId="401492E2">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7</w:t>
            </w:r>
          </w:p>
        </w:tc>
        <w:tc>
          <w:tcPr>
            <w:tcW w:w="480" w:type="dxa"/>
            <w:vMerge w:val="continue"/>
            <w:noWrap w:val="0"/>
            <w:vAlign w:val="top"/>
          </w:tcPr>
          <w:p w14:paraId="5AB740DF">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732" w:type="dxa"/>
            <w:noWrap w:val="0"/>
            <w:vAlign w:val="top"/>
          </w:tcPr>
          <w:p w14:paraId="51B5996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960" w:type="dxa"/>
            <w:noWrap w:val="0"/>
            <w:vAlign w:val="top"/>
          </w:tcPr>
          <w:p w14:paraId="2391A03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68" w:type="dxa"/>
            <w:noWrap w:val="0"/>
            <w:vAlign w:val="top"/>
          </w:tcPr>
          <w:p w14:paraId="48F242A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912" w:type="dxa"/>
            <w:noWrap w:val="0"/>
            <w:vAlign w:val="top"/>
          </w:tcPr>
          <w:p w14:paraId="74521813">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c>
          <w:tcPr>
            <w:tcW w:w="1008" w:type="dxa"/>
            <w:noWrap w:val="0"/>
            <w:vAlign w:val="top"/>
          </w:tcPr>
          <w:p w14:paraId="7A99C60F">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0.030</w:t>
            </w:r>
          </w:p>
        </w:tc>
        <w:tc>
          <w:tcPr>
            <w:tcW w:w="1140" w:type="dxa"/>
            <w:noWrap w:val="0"/>
            <w:vAlign w:val="top"/>
          </w:tcPr>
          <w:p w14:paraId="0295C02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0.040</w:t>
            </w:r>
          </w:p>
        </w:tc>
        <w:tc>
          <w:tcPr>
            <w:tcW w:w="1032" w:type="dxa"/>
            <w:noWrap w:val="0"/>
            <w:vAlign w:val="top"/>
          </w:tcPr>
          <w:p w14:paraId="2BB7466A">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0.050</w:t>
            </w:r>
          </w:p>
        </w:tc>
        <w:tc>
          <w:tcPr>
            <w:tcW w:w="880" w:type="dxa"/>
            <w:noWrap w:val="0"/>
            <w:vAlign w:val="top"/>
          </w:tcPr>
          <w:p w14:paraId="0D8DA82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0.060</w:t>
            </w:r>
          </w:p>
        </w:tc>
      </w:tr>
    </w:tbl>
    <w:p w14:paraId="0A4FA25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未注键槽两工作面平行度的公差应按表12中公差等级7级取值。</w:t>
      </w:r>
    </w:p>
    <w:p w14:paraId="6E6F181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未注键槽的对称度按GB/T 1184-1996附录B中表B4中9级取值。</w:t>
      </w:r>
    </w:p>
    <w:p w14:paraId="11D13F7D">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lang w:val="en-US" w:eastAsia="zh-CN"/>
        </w:rPr>
        <w:t>（十）</w:t>
      </w:r>
      <w:r>
        <w:rPr>
          <w:rFonts w:hint="eastAsia" w:ascii="宋体" w:hAnsi="宋体"/>
          <w:b/>
          <w:bCs/>
          <w:sz w:val="24"/>
          <w:szCs w:val="24"/>
        </w:rPr>
        <w:t>中心孔</w:t>
      </w:r>
    </w:p>
    <w:p w14:paraId="77DA1CF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图样中未注明、加工中又需要中心孔的零件，在不影响使用和外观的情况下，加工后中心孔可以保留。</w:t>
      </w:r>
    </w:p>
    <w:p w14:paraId="1A1FD449">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 中心孔应符合GB/T 145-2001的规定。</w:t>
      </w:r>
    </w:p>
    <w:p w14:paraId="7650EAB8">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（十一）表面粗糙度</w:t>
      </w:r>
    </w:p>
    <w:p w14:paraId="7B04600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图样中未注明表面粗糙度应符合GB/T 1031-2009的规定。</w:t>
      </w:r>
    </w:p>
    <w:p w14:paraId="1C4BBEB7">
      <w:pPr>
        <w:keepNext w:val="0"/>
        <w:keepLines w:val="0"/>
        <w:pageBreakBefore w:val="0"/>
        <w:kinsoku/>
        <w:wordWrap/>
        <w:overflowPunct/>
        <w:topLinePunct w:val="0"/>
        <w:bidi w:val="0"/>
        <w:snapToGrid/>
        <w:spacing w:line="360" w:lineRule="auto"/>
        <w:ind w:firstLine="482" w:firstLineChars="200"/>
        <w:textAlignment w:val="auto"/>
        <w:outlineLvl w:val="0"/>
        <w:rPr>
          <w:rFonts w:hint="eastAsia" w:ascii="宋体" w:hAnsi="宋体"/>
          <w:b/>
          <w:bCs/>
          <w:sz w:val="28"/>
          <w:szCs w:val="28"/>
        </w:rPr>
      </w:pPr>
      <w:bookmarkStart w:id="23" w:name="_Toc24163"/>
      <w:r>
        <w:rPr>
          <w:rFonts w:hint="eastAsia" w:ascii="宋体" w:hAnsi="宋体"/>
          <w:b/>
          <w:bCs/>
          <w:sz w:val="24"/>
          <w:szCs w:val="24"/>
          <w:lang w:val="en-US" w:eastAsia="zh-CN"/>
        </w:rPr>
        <w:t>（十二）机加工的要求</w:t>
      </w:r>
      <w:bookmarkEnd w:id="23"/>
      <w:r>
        <w:rPr>
          <w:rFonts w:hint="eastAsia" w:ascii="宋体" w:hAnsi="宋体"/>
          <w:b/>
          <w:bCs/>
          <w:sz w:val="28"/>
          <w:szCs w:val="28"/>
        </w:rPr>
        <w:t xml:space="preserve"> </w:t>
      </w:r>
    </w:p>
    <w:p w14:paraId="5375EE1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 xml:space="preserve">机加工件材料要符合图纸，选用的材料符合国家标准。 </w:t>
      </w:r>
    </w:p>
    <w:p w14:paraId="116BC3EE">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机加工件图纸未注尺寸公差参考国家标准线性尺寸的未注公差GB/T1804-f要求进行检验。 </w:t>
      </w:r>
    </w:p>
    <w:p w14:paraId="1C0DDBD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机加工件图纸未注角度公差参考国家标准角度的未注公差GB/T11335-m要求进行</w:t>
      </w:r>
      <w:r>
        <w:rPr>
          <w:rFonts w:hint="eastAsia" w:ascii="宋体" w:hAnsi="宋体"/>
          <w:sz w:val="24"/>
          <w:szCs w:val="24"/>
          <w:lang w:eastAsia="zh-CN"/>
        </w:rPr>
        <w:t>检测</w:t>
      </w:r>
      <w:r>
        <w:rPr>
          <w:rFonts w:hint="eastAsia" w:ascii="宋体" w:hAnsi="宋体"/>
          <w:sz w:val="24"/>
          <w:szCs w:val="24"/>
        </w:rPr>
        <w:t xml:space="preserve">。 </w:t>
      </w:r>
    </w:p>
    <w:p w14:paraId="4DEAB57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机加工件图纸未注形位公差参考国家标准形位的未注公差GB/T1184-H要求进行检验。</w:t>
      </w:r>
    </w:p>
    <w:p w14:paraId="4919D7C2">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图纸中尺寸标注为配合形式加工的，采用间隙配合，具体要求为：外配合</w:t>
      </w:r>
      <w:r>
        <w:rPr>
          <w:rFonts w:hint="eastAsia" w:ascii="宋体" w:hAnsi="宋体"/>
          <w:sz w:val="24"/>
          <w:szCs w:val="24"/>
          <w:lang w:eastAsia="zh-CN"/>
        </w:rPr>
        <w:t>为配合</w:t>
      </w:r>
      <w:r>
        <w:rPr>
          <w:rFonts w:hint="eastAsia" w:ascii="宋体" w:hAnsi="宋体"/>
          <w:sz w:val="24"/>
          <w:szCs w:val="24"/>
        </w:rPr>
        <w:t>对象最大尺寸+0.01~+0.10mm：内配合为</w:t>
      </w:r>
      <w:r>
        <w:rPr>
          <w:rFonts w:hint="eastAsia" w:ascii="宋体" w:hAnsi="宋体"/>
          <w:sz w:val="24"/>
          <w:szCs w:val="24"/>
          <w:lang w:eastAsia="zh-CN"/>
        </w:rPr>
        <w:t>配合</w:t>
      </w:r>
      <w:r>
        <w:rPr>
          <w:rFonts w:hint="eastAsia" w:ascii="宋体" w:hAnsi="宋体"/>
          <w:sz w:val="24"/>
          <w:szCs w:val="24"/>
        </w:rPr>
        <w:t>对象最小尺寸-0.10~-0.01。</w:t>
      </w:r>
    </w:p>
    <w:p w14:paraId="65F40871">
      <w:pPr>
        <w:keepNext w:val="0"/>
        <w:keepLines w:val="0"/>
        <w:pageBreakBefore w:val="0"/>
        <w:kinsoku/>
        <w:wordWrap/>
        <w:overflowPunct/>
        <w:topLinePunct w:val="0"/>
        <w:bidi w:val="0"/>
        <w:snapToGrid/>
        <w:spacing w:line="360" w:lineRule="auto"/>
        <w:ind w:firstLine="482" w:firstLineChars="200"/>
        <w:textAlignment w:val="auto"/>
        <w:outlineLvl w:val="0"/>
        <w:rPr>
          <w:rFonts w:hint="eastAsia" w:ascii="宋体" w:hAnsi="宋体"/>
          <w:b/>
          <w:bCs/>
          <w:sz w:val="28"/>
          <w:szCs w:val="28"/>
        </w:rPr>
      </w:pPr>
      <w:bookmarkStart w:id="24" w:name="_Toc5889"/>
      <w:r>
        <w:rPr>
          <w:rFonts w:hint="eastAsia" w:ascii="宋体" w:hAnsi="宋体"/>
          <w:b/>
          <w:bCs/>
          <w:sz w:val="24"/>
          <w:szCs w:val="24"/>
          <w:lang w:val="en-US" w:eastAsia="zh-CN"/>
        </w:rPr>
        <w:t>（十三）质量控制</w:t>
      </w:r>
      <w:bookmarkEnd w:id="24"/>
      <w:r>
        <w:rPr>
          <w:rFonts w:hint="eastAsia" w:ascii="宋体" w:hAnsi="宋体"/>
          <w:b/>
          <w:bCs/>
          <w:sz w:val="28"/>
          <w:szCs w:val="28"/>
        </w:rPr>
        <w:t xml:space="preserve"> </w:t>
      </w:r>
    </w:p>
    <w:p w14:paraId="032254FD">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零件加工按照图纸加工，对图纸有</w:t>
      </w:r>
      <w:r>
        <w:rPr>
          <w:rFonts w:hint="eastAsia" w:ascii="宋体" w:hAnsi="宋体"/>
          <w:sz w:val="24"/>
          <w:szCs w:val="24"/>
          <w:lang w:eastAsia="zh-CN"/>
        </w:rPr>
        <w:t>标识</w:t>
      </w:r>
      <w:r>
        <w:rPr>
          <w:rFonts w:hint="eastAsia" w:ascii="宋体" w:hAnsi="宋体"/>
          <w:sz w:val="24"/>
          <w:szCs w:val="24"/>
        </w:rPr>
        <w:t xml:space="preserve">不清、模糊、错误和对图纸产生疑问的与公司工艺人员联系。 </w:t>
      </w:r>
    </w:p>
    <w:p w14:paraId="01172156">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零件加工按照工艺流程去做。 </w:t>
      </w:r>
    </w:p>
    <w:p w14:paraId="33CB0CB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 xml:space="preserve">零件加工过程中遇到加工错误或尺寸超出公差范围要与公司工艺人员联系，公司工艺人员将会确认零件可以采用或不可采用。 </w:t>
      </w:r>
    </w:p>
    <w:p w14:paraId="0FEDB50B">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 xml:space="preserve">需要划线加工的零件，加工后不允许有划线的痕迹。 </w:t>
      </w:r>
    </w:p>
    <w:p w14:paraId="558628A3">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所有机加工的零件要去毛刺、钻孔后要倒角、棱角要倒钝（特殊要求除外）。 6两加工面间</w:t>
      </w:r>
      <w:r>
        <w:rPr>
          <w:rFonts w:hint="eastAsia" w:ascii="宋体" w:hAnsi="宋体"/>
          <w:sz w:val="24"/>
          <w:szCs w:val="24"/>
          <w:lang w:eastAsia="zh-CN"/>
        </w:rPr>
        <w:t>过渡</w:t>
      </w:r>
      <w:r>
        <w:rPr>
          <w:rFonts w:hint="eastAsia" w:ascii="宋体" w:hAnsi="宋体"/>
          <w:sz w:val="24"/>
          <w:szCs w:val="24"/>
        </w:rPr>
        <w:t xml:space="preserve">圆角或倒角的粗糙度，按其中较低的执行。 5．7两加工面间的根部，未要求清根的，其圆角半径均不大于0.5。 </w:t>
      </w:r>
    </w:p>
    <w:p w14:paraId="2ECF1735">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8</w:t>
      </w:r>
      <w:r>
        <w:rPr>
          <w:rFonts w:hint="eastAsia" w:ascii="宋体" w:hAnsi="宋体"/>
          <w:sz w:val="24"/>
          <w:szCs w:val="24"/>
          <w:lang w:val="en-US" w:eastAsia="zh-CN"/>
        </w:rPr>
        <w:t>.</w:t>
      </w:r>
      <w:r>
        <w:rPr>
          <w:rFonts w:hint="eastAsia" w:ascii="宋体" w:hAnsi="宋体"/>
          <w:sz w:val="24"/>
          <w:szCs w:val="24"/>
        </w:rPr>
        <w:t xml:space="preserve">零件的配合表面上，除图样及技术文件有规定外，不得刻打印记或作其它不易清除的标记。 </w:t>
      </w:r>
    </w:p>
    <w:p w14:paraId="1A4251C9">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9</w:t>
      </w:r>
      <w:r>
        <w:rPr>
          <w:rFonts w:hint="eastAsia" w:ascii="宋体" w:hAnsi="宋体"/>
          <w:sz w:val="24"/>
          <w:szCs w:val="24"/>
          <w:lang w:val="en-US" w:eastAsia="zh-CN"/>
        </w:rPr>
        <w:t>.</w:t>
      </w:r>
      <w:r>
        <w:rPr>
          <w:rFonts w:hint="eastAsia" w:ascii="宋体" w:hAnsi="宋体"/>
          <w:sz w:val="24"/>
          <w:szCs w:val="24"/>
        </w:rPr>
        <w:t xml:space="preserve">图样上未注明锪平深度的，其深度尺寸不作检查，以锪平为限。 </w:t>
      </w:r>
    </w:p>
    <w:p w14:paraId="52DFCAF4">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rPr>
        <w:t>10</w:t>
      </w:r>
      <w:r>
        <w:rPr>
          <w:rFonts w:hint="eastAsia" w:ascii="宋体" w:hAnsi="宋体"/>
          <w:sz w:val="24"/>
          <w:szCs w:val="24"/>
          <w:lang w:val="en-US" w:eastAsia="zh-CN"/>
        </w:rPr>
        <w:t>.</w:t>
      </w:r>
      <w:r>
        <w:rPr>
          <w:rFonts w:hint="eastAsia" w:ascii="宋体" w:hAnsi="宋体"/>
          <w:sz w:val="24"/>
          <w:szCs w:val="24"/>
        </w:rPr>
        <w:t>碰到零件加工错误不应该</w:t>
      </w:r>
      <w:r>
        <w:rPr>
          <w:rFonts w:hint="eastAsia" w:ascii="宋体" w:hAnsi="宋体"/>
          <w:sz w:val="24"/>
          <w:szCs w:val="24"/>
          <w:lang w:eastAsia="zh-CN"/>
        </w:rPr>
        <w:t>自作主张</w:t>
      </w:r>
      <w:r>
        <w:rPr>
          <w:rFonts w:hint="eastAsia" w:ascii="宋体" w:hAnsi="宋体"/>
          <w:sz w:val="24"/>
          <w:szCs w:val="24"/>
        </w:rPr>
        <w:t>对零件进行修改，应与公司工艺人员联系获得技术支持。</w:t>
      </w:r>
    </w:p>
    <w:p w14:paraId="452546E7">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bookmarkStart w:id="25" w:name="_Toc20757"/>
      <w:r>
        <w:rPr>
          <w:rFonts w:hint="eastAsia" w:ascii="宋体" w:hAnsi="宋体"/>
          <w:b/>
          <w:bCs/>
          <w:sz w:val="24"/>
          <w:szCs w:val="24"/>
          <w:lang w:val="en-US" w:eastAsia="zh-CN"/>
        </w:rPr>
        <w:t>（十四）外观控制</w:t>
      </w:r>
      <w:bookmarkEnd w:id="25"/>
      <w:r>
        <w:rPr>
          <w:rFonts w:hint="eastAsia" w:ascii="宋体" w:hAnsi="宋体"/>
          <w:b/>
          <w:bCs/>
          <w:sz w:val="24"/>
          <w:szCs w:val="24"/>
          <w:lang w:val="en-US" w:eastAsia="zh-CN"/>
        </w:rPr>
        <w:t xml:space="preserve"> </w:t>
      </w:r>
    </w:p>
    <w:p w14:paraId="2F1BA2BB">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 xml:space="preserve">机加工中由于控制不力和操作不当造成机械碰伤、表面划伤的不允许存在A级表面，允许存在B,C 级表面.。 </w:t>
      </w:r>
    </w:p>
    <w:p w14:paraId="76898B7B">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变形、裂纹不允许存在A，B，C级表面。 </w:t>
      </w:r>
    </w:p>
    <w:p w14:paraId="6022AD46">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3.需要表面处理的零件表面不允许有氧化层、铁锈、凹凸不平的缺陷。 </w:t>
      </w:r>
    </w:p>
    <w:p w14:paraId="55663950">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bookmarkStart w:id="26" w:name="_Toc27395"/>
      <w:r>
        <w:rPr>
          <w:rFonts w:hint="eastAsia" w:ascii="宋体" w:hAnsi="宋体"/>
          <w:b/>
          <w:bCs/>
          <w:sz w:val="24"/>
          <w:szCs w:val="24"/>
          <w:lang w:val="en-US" w:eastAsia="zh-CN"/>
        </w:rPr>
        <w:t>（十五）质量检验</w:t>
      </w:r>
      <w:bookmarkEnd w:id="26"/>
      <w:r>
        <w:rPr>
          <w:rFonts w:hint="eastAsia" w:ascii="宋体" w:hAnsi="宋体"/>
          <w:b/>
          <w:bCs/>
          <w:sz w:val="24"/>
          <w:szCs w:val="24"/>
          <w:lang w:val="en-US" w:eastAsia="zh-CN"/>
        </w:rPr>
        <w:t xml:space="preserve"> </w:t>
      </w:r>
    </w:p>
    <w:p w14:paraId="70275D81">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1.外观检验：不允许有翘曲、变形、裂纹、划伤、碰伤、凹凸不平及表面粗糙度符合要求。 </w:t>
      </w:r>
    </w:p>
    <w:p w14:paraId="088BEF2F">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2.材料的检验：材料厚度符合国家标准。 </w:t>
      </w:r>
    </w:p>
    <w:p w14:paraId="0588084B">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3.尺寸及公差的检验：零件的尺寸和公差符合图纸的要求。</w:t>
      </w:r>
    </w:p>
    <w:p w14:paraId="2CB23191">
      <w:pPr>
        <w:tabs>
          <w:tab w:val="left" w:pos="567"/>
        </w:tabs>
        <w:spacing w:line="360" w:lineRule="auto"/>
        <w:ind w:firstLine="480" w:firstLineChars="200"/>
        <w:jc w:val="left"/>
        <w:rPr>
          <w:rFonts w:hint="eastAsia" w:ascii="宋体" w:hAnsi="宋体"/>
          <w:sz w:val="24"/>
          <w:szCs w:val="24"/>
        </w:rPr>
      </w:pPr>
      <w:bookmarkStart w:id="27" w:name="_Toc10472"/>
      <w:r>
        <w:rPr>
          <w:rFonts w:hint="eastAsia" w:ascii="宋体" w:hAnsi="宋体" w:cs="宋体"/>
          <w:sz w:val="24"/>
          <w:szCs w:val="24"/>
          <w:lang w:val="en-US" w:eastAsia="zh-CN"/>
        </w:rPr>
        <w:t>4.键槽对称度的检测方法按国家标准GB1958有关规定</w:t>
      </w:r>
      <w:bookmarkEnd w:id="27"/>
      <w:r>
        <w:rPr>
          <w:rFonts w:hint="eastAsia" w:ascii="宋体" w:hAnsi="宋体"/>
          <w:sz w:val="24"/>
          <w:szCs w:val="24"/>
        </w:rPr>
        <w:t xml:space="preserve"> </w:t>
      </w:r>
    </w:p>
    <w:p w14:paraId="78830AC6">
      <w:pPr>
        <w:keepNext w:val="0"/>
        <w:keepLines w:val="0"/>
        <w:pageBreakBefore w:val="0"/>
        <w:widowControl/>
        <w:kinsoku/>
        <w:wordWrap/>
        <w:overflowPunct/>
        <w:topLinePunct w:val="0"/>
        <w:bidi w:val="0"/>
        <w:snapToGrid/>
        <w:spacing w:line="360" w:lineRule="auto"/>
        <w:jc w:val="left"/>
        <w:textAlignment w:val="auto"/>
        <w:rPr>
          <w:rFonts w:hint="eastAsia" w:ascii="宋体" w:hAnsi="宋体" w:cs="宋体"/>
          <w:kern w:val="0"/>
          <w:sz w:val="24"/>
          <w:szCs w:val="24"/>
        </w:rPr>
      </w:pPr>
      <w:r>
        <w:rPr>
          <w:rFonts w:ascii="宋体" w:hAnsi="宋体" w:cs="宋体"/>
          <w:kern w:val="0"/>
          <w:sz w:val="24"/>
          <w:szCs w:val="24"/>
        </w:rPr>
        <w:drawing>
          <wp:inline distT="0" distB="0" distL="114300" distR="114300">
            <wp:extent cx="5951220" cy="2050415"/>
            <wp:effectExtent l="0" t="0" r="7620" b="6985"/>
            <wp:docPr id="15" name="图片 2" descr="C:\Users\Administrator\AppData\Roaming\Tencent\Users\970567078\QQ\WinTemp\RichOle\W~2O0Z3Z_CN3AUGAR4]BC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C:\Users\Administrator\AppData\Roaming\Tencent\Users\970567078\QQ\WinTemp\RichOle\W~2O0Z3Z_CN3AUGAR4]BCD5.png"/>
                    <pic:cNvPicPr>
                      <a:picLocks noChangeAspect="1"/>
                    </pic:cNvPicPr>
                  </pic:nvPicPr>
                  <pic:blipFill>
                    <a:blip r:embed="rId22"/>
                    <a:stretch>
                      <a:fillRect/>
                    </a:stretch>
                  </pic:blipFill>
                  <pic:spPr>
                    <a:xfrm>
                      <a:off x="0" y="0"/>
                      <a:ext cx="5951220" cy="2050415"/>
                    </a:xfrm>
                    <a:prstGeom prst="rect">
                      <a:avLst/>
                    </a:prstGeom>
                    <a:noFill/>
                    <a:ln>
                      <a:noFill/>
                    </a:ln>
                  </pic:spPr>
                </pic:pic>
              </a:graphicData>
            </a:graphic>
          </wp:inline>
        </w:drawing>
      </w:r>
    </w:p>
    <w:p w14:paraId="1175B79F">
      <w:pPr>
        <w:tabs>
          <w:tab w:val="left" w:pos="567"/>
        </w:tabs>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val="en-US" w:eastAsia="zh-CN"/>
        </w:rPr>
        <w:t>4.1</w:t>
      </w:r>
      <w:r>
        <w:rPr>
          <w:rFonts w:hint="eastAsia" w:ascii="宋体" w:hAnsi="宋体" w:cs="宋体"/>
          <w:sz w:val="24"/>
          <w:szCs w:val="24"/>
          <w:lang w:eastAsia="zh-CN"/>
        </w:rPr>
        <w:t xml:space="preserve">检测方法说明：基准轴线由V型块模拟，被测中心平面由定位块模拟，分两步测量。 </w:t>
      </w:r>
    </w:p>
    <w:p w14:paraId="70D561B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宋体"/>
          <w:sz w:val="24"/>
          <w:szCs w:val="24"/>
          <w:lang w:val="en-US" w:eastAsia="zh-CN"/>
        </w:rPr>
        <w:t>4.1.1</w:t>
      </w:r>
      <w:r>
        <w:rPr>
          <w:rFonts w:hint="eastAsia" w:ascii="宋体" w:hAnsi="宋体" w:cs="宋体"/>
          <w:sz w:val="24"/>
          <w:szCs w:val="24"/>
          <w:lang w:eastAsia="zh-CN"/>
        </w:rPr>
        <w:t>截面测量，调整被测件使定位块沿径向与平板平行，测量定位块与平板的距离。</w:t>
      </w:r>
      <w:r>
        <w:rPr>
          <w:rFonts w:hint="eastAsia" w:ascii="宋体" w:hAnsi="宋体" w:cs="3"/>
          <w:kern w:val="0"/>
          <w:sz w:val="24"/>
          <w:szCs w:val="24"/>
          <w:lang w:val="en-US" w:eastAsia="zh-CN"/>
        </w:rPr>
        <w:t>再将被测件旋转180度后，重复上述测量，得到该截面上下两对应点的读数差a,则该截面的对称度误差 f截=ah/(2-h) ；</w:t>
      </w:r>
    </w:p>
    <w:p w14:paraId="78756E2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4.1.2长向测量，沿键槽长度方向测量，长向两点的最大读数差即该键槽的斜度。 取以上两个方向误差的最大值作为该零件的对称度误差。</w:t>
      </w:r>
    </w:p>
    <w:p w14:paraId="7054735D">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4.2按本规定键槽轴线偏移量换算成对称度误差如下表：</w:t>
      </w:r>
    </w:p>
    <w:p w14:paraId="3270AB9B">
      <w:pPr>
        <w:keepNext w:val="0"/>
        <w:keepLines w:val="0"/>
        <w:pageBreakBefore w:val="0"/>
        <w:widowControl/>
        <w:kinsoku/>
        <w:wordWrap/>
        <w:overflowPunct/>
        <w:topLinePunct w:val="0"/>
        <w:bidi w:val="0"/>
        <w:snapToGrid/>
        <w:spacing w:line="360" w:lineRule="auto"/>
        <w:jc w:val="left"/>
        <w:textAlignment w:val="auto"/>
        <w:rPr>
          <w:rFonts w:ascii="宋体" w:hAnsi="宋体" w:cs="宋体"/>
          <w:kern w:val="0"/>
          <w:sz w:val="24"/>
          <w:szCs w:val="24"/>
        </w:rPr>
      </w:pPr>
      <w:r>
        <w:rPr>
          <w:rFonts w:ascii="宋体" w:hAnsi="宋体" w:cs="宋体"/>
          <w:kern w:val="0"/>
          <w:sz w:val="24"/>
          <w:szCs w:val="24"/>
        </w:rPr>
        <w:drawing>
          <wp:inline distT="0" distB="0" distL="114300" distR="114300">
            <wp:extent cx="5874385" cy="1533525"/>
            <wp:effectExtent l="0" t="0" r="8255" b="5715"/>
            <wp:docPr id="16" name="图片 3" descr="C:\Users\Administrator\AppData\Roaming\Tencent\Users\970567078\QQ\WinTemp\RichOle\TZ){CPX0JY5QG)C}1_B$X0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C:\Users\Administrator\AppData\Roaming\Tencent\Users\970567078\QQ\WinTemp\RichOle\TZ){CPX0JY5QG)C}1_B$X0Z.png"/>
                    <pic:cNvPicPr>
                      <a:picLocks noChangeAspect="1"/>
                    </pic:cNvPicPr>
                  </pic:nvPicPr>
                  <pic:blipFill>
                    <a:blip r:embed="rId23"/>
                    <a:srcRect t="7728"/>
                    <a:stretch>
                      <a:fillRect/>
                    </a:stretch>
                  </pic:blipFill>
                  <pic:spPr>
                    <a:xfrm>
                      <a:off x="0" y="0"/>
                      <a:ext cx="5874385" cy="1533525"/>
                    </a:xfrm>
                    <a:prstGeom prst="rect">
                      <a:avLst/>
                    </a:prstGeom>
                    <a:noFill/>
                    <a:ln>
                      <a:noFill/>
                    </a:ln>
                  </pic:spPr>
                </pic:pic>
              </a:graphicData>
            </a:graphic>
          </wp:inline>
        </w:drawing>
      </w:r>
    </w:p>
    <w:p w14:paraId="2A7D0B1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8" w:name="_Toc24477"/>
      <w:r>
        <w:rPr>
          <w:rFonts w:hint="eastAsia" w:ascii="宋体" w:hAnsi="宋体" w:cs="3"/>
          <w:kern w:val="0"/>
          <w:sz w:val="24"/>
          <w:szCs w:val="24"/>
          <w:lang w:val="en-US" w:eastAsia="zh-CN"/>
        </w:rPr>
        <w:t>5.检验要求</w:t>
      </w:r>
      <w:bookmarkEnd w:id="28"/>
    </w:p>
    <w:p w14:paraId="37287D0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9" w:name="_Toc28670"/>
      <w:r>
        <w:rPr>
          <w:rFonts w:hint="eastAsia" w:ascii="宋体" w:hAnsi="宋体" w:cs="3"/>
          <w:kern w:val="0"/>
          <w:sz w:val="24"/>
          <w:szCs w:val="24"/>
          <w:lang w:val="en-US" w:eastAsia="zh-CN"/>
        </w:rPr>
        <w:t>5.1凡经机械加工件，由质管部按图样、有关技术文件和本标准进行检验和验收。零件按工序检查合格后，方可转入下道工序。</w:t>
      </w:r>
      <w:bookmarkEnd w:id="29"/>
    </w:p>
    <w:p w14:paraId="3270EB2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5.2批量生产或用工装加工的零件必须进行首件检查，主要零件应逐件检查几何形状与尺寸精度。</w:t>
      </w:r>
    </w:p>
    <w:p w14:paraId="428A6728">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30" w:name="_Toc20559"/>
      <w:r>
        <w:rPr>
          <w:rFonts w:hint="eastAsia" w:ascii="宋体" w:hAnsi="宋体" w:cs="3"/>
          <w:kern w:val="0"/>
          <w:sz w:val="24"/>
          <w:szCs w:val="24"/>
          <w:lang w:val="en-US" w:eastAsia="zh-CN"/>
        </w:rPr>
        <w:t>5.3机械加工件的外观按要求进行检验。</w:t>
      </w:r>
      <w:bookmarkEnd w:id="30"/>
    </w:p>
    <w:p w14:paraId="2BEB1621">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31" w:name="_Toc11827"/>
      <w:r>
        <w:rPr>
          <w:rFonts w:hint="eastAsia" w:ascii="宋体" w:hAnsi="宋体" w:cs="3"/>
          <w:kern w:val="0"/>
          <w:sz w:val="24"/>
          <w:szCs w:val="24"/>
          <w:lang w:val="en-US" w:eastAsia="zh-CN"/>
        </w:rPr>
        <w:t>5.4机械加工件的未注尺寸公差和角度公差要求进行检验。</w:t>
      </w:r>
      <w:bookmarkEnd w:id="31"/>
    </w:p>
    <w:p w14:paraId="4205793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5.5机械加工件的未注形状和位置公差的要求进行检验。</w:t>
      </w:r>
    </w:p>
    <w:p w14:paraId="11D0D9EE">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5.6机械加工件螺纹的外观、尺寸精度、形位公差、表面粗糙度按要求进行检验。</w:t>
      </w:r>
    </w:p>
    <w:p w14:paraId="78F1DAF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5.7键和键槽的尺寸精度、形位公差按要求进行检验。</w:t>
      </w:r>
    </w:p>
    <w:p w14:paraId="47D3AB30">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5.8机械加工件成品经检查合格后，应在明显位置标出质管部的验收标记。</w:t>
      </w:r>
    </w:p>
    <w:p w14:paraId="21CBAAE1">
      <w:pPr>
        <w:keepNext w:val="0"/>
        <w:keepLines w:val="0"/>
        <w:pageBreakBefore w:val="0"/>
        <w:kinsoku/>
        <w:wordWrap/>
        <w:overflowPunct/>
        <w:topLinePunct w:val="0"/>
        <w:bidi w:val="0"/>
        <w:snapToGrid/>
        <w:spacing w:line="360" w:lineRule="auto"/>
        <w:ind w:firstLine="360" w:firstLineChars="150"/>
        <w:textAlignment w:val="auto"/>
        <w:rPr>
          <w:rFonts w:hint="eastAsia"/>
          <w:b/>
          <w:bCs/>
          <w:color w:val="auto"/>
          <w:lang w:val="en-US" w:eastAsia="zh-CN"/>
        </w:rPr>
      </w:pPr>
      <w:r>
        <w:rPr>
          <w:rFonts w:hint="eastAsia" w:ascii="宋体" w:hAnsi="宋体" w:cs="3"/>
          <w:kern w:val="0"/>
          <w:sz w:val="24"/>
          <w:szCs w:val="24"/>
          <w:lang w:val="en-US" w:eastAsia="zh-CN"/>
        </w:rPr>
        <w:t>5.9机械加工件检验合格后才能入库</w:t>
      </w:r>
      <w:r>
        <w:rPr>
          <w:rFonts w:hint="eastAsia" w:ascii="宋体" w:hAnsi="宋体"/>
          <w:sz w:val="24"/>
          <w:szCs w:val="24"/>
        </w:rPr>
        <w:t>。</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03E7E13D">
      <w:pPr>
        <w:tabs>
          <w:tab w:val="left" w:pos="567"/>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lang w:eastAsia="zh-CN"/>
        </w:rPr>
        <w:t>供应商</w:t>
      </w:r>
      <w:r>
        <w:rPr>
          <w:rFonts w:hint="eastAsia" w:ascii="宋体" w:hAnsi="宋体" w:cs="宋体"/>
          <w:sz w:val="24"/>
          <w:szCs w:val="24"/>
        </w:rPr>
        <w:t>在依照</w:t>
      </w:r>
      <w:r>
        <w:rPr>
          <w:rFonts w:hint="eastAsia" w:ascii="宋体" w:hAnsi="宋体" w:cs="宋体"/>
          <w:sz w:val="24"/>
          <w:szCs w:val="24"/>
          <w:lang w:eastAsia="zh-CN"/>
        </w:rPr>
        <w:t>采购人</w:t>
      </w:r>
      <w:r>
        <w:rPr>
          <w:rFonts w:hint="eastAsia" w:ascii="宋体" w:hAnsi="宋体" w:cs="宋体"/>
          <w:sz w:val="24"/>
          <w:szCs w:val="24"/>
        </w:rPr>
        <w:t>的要求进行</w:t>
      </w:r>
      <w:r>
        <w:rPr>
          <w:rFonts w:hint="eastAsia" w:ascii="宋体" w:hAnsi="宋体" w:cs="宋体"/>
          <w:sz w:val="24"/>
          <w:szCs w:val="24"/>
          <w:lang w:val="en-US" w:eastAsia="zh-CN"/>
        </w:rPr>
        <w:t>机加</w:t>
      </w:r>
      <w:r>
        <w:rPr>
          <w:rFonts w:hint="eastAsia" w:ascii="宋体" w:hAnsi="宋体" w:cs="宋体"/>
          <w:sz w:val="24"/>
          <w:szCs w:val="24"/>
        </w:rPr>
        <w:t>工期间，发现</w:t>
      </w:r>
      <w:r>
        <w:rPr>
          <w:rFonts w:hint="eastAsia" w:ascii="宋体" w:hAnsi="宋体" w:cs="宋体"/>
          <w:sz w:val="24"/>
          <w:szCs w:val="24"/>
          <w:lang w:eastAsia="zh-CN"/>
        </w:rPr>
        <w:t>采购人</w:t>
      </w:r>
      <w:r>
        <w:rPr>
          <w:rFonts w:hint="eastAsia" w:ascii="宋体" w:hAnsi="宋体" w:cs="宋体"/>
          <w:sz w:val="24"/>
          <w:szCs w:val="24"/>
        </w:rPr>
        <w:t>提供的技术资料、图纸等不合理，应当及时通知</w:t>
      </w:r>
      <w:r>
        <w:rPr>
          <w:rFonts w:hint="eastAsia" w:ascii="宋体" w:hAnsi="宋体" w:cs="宋体"/>
          <w:sz w:val="24"/>
          <w:szCs w:val="24"/>
          <w:lang w:eastAsia="zh-CN"/>
        </w:rPr>
        <w:t>采购人，采购人</w:t>
      </w:r>
      <w:r>
        <w:rPr>
          <w:rFonts w:hint="eastAsia" w:ascii="宋体" w:hAnsi="宋体" w:cs="宋体"/>
          <w:sz w:val="24"/>
          <w:szCs w:val="24"/>
        </w:rPr>
        <w:t>应当在规定的时间内回复，提出修改意见。</w:t>
      </w:r>
    </w:p>
    <w:p w14:paraId="01CF83C3">
      <w:pPr>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lang w:eastAsia="zh-CN"/>
        </w:rPr>
        <w:t>供应商</w:t>
      </w:r>
      <w:r>
        <w:rPr>
          <w:rFonts w:hint="eastAsia" w:ascii="宋体" w:hAnsi="宋体" w:cs="宋体"/>
          <w:sz w:val="24"/>
          <w:szCs w:val="24"/>
        </w:rPr>
        <w:t>向</w:t>
      </w:r>
      <w:r>
        <w:rPr>
          <w:rFonts w:hint="eastAsia" w:ascii="宋体" w:hAnsi="宋体" w:cs="宋体"/>
          <w:sz w:val="24"/>
          <w:szCs w:val="24"/>
          <w:lang w:eastAsia="zh-CN"/>
        </w:rPr>
        <w:t>采购人</w:t>
      </w:r>
      <w:r>
        <w:rPr>
          <w:rFonts w:hint="eastAsia" w:ascii="宋体" w:hAnsi="宋体" w:cs="宋体"/>
          <w:sz w:val="24"/>
          <w:szCs w:val="24"/>
        </w:rPr>
        <w:t>提供的产品必须是经</w:t>
      </w:r>
      <w:r>
        <w:rPr>
          <w:rFonts w:hint="eastAsia" w:ascii="宋体" w:hAnsi="宋体" w:cs="宋体"/>
          <w:sz w:val="24"/>
          <w:szCs w:val="24"/>
          <w:lang w:eastAsia="zh-CN"/>
        </w:rPr>
        <w:t>供应商</w:t>
      </w:r>
      <w:r>
        <w:rPr>
          <w:rFonts w:hint="eastAsia" w:ascii="宋体" w:hAnsi="宋体" w:cs="宋体"/>
          <w:sz w:val="24"/>
          <w:szCs w:val="24"/>
        </w:rPr>
        <w:t>检验合格</w:t>
      </w:r>
      <w:r>
        <w:rPr>
          <w:rFonts w:hint="eastAsia" w:ascii="宋体" w:hAnsi="宋体" w:cs="宋体"/>
          <w:sz w:val="24"/>
          <w:szCs w:val="24"/>
          <w:lang w:eastAsia="zh-CN"/>
        </w:rPr>
        <w:t>且</w:t>
      </w:r>
      <w:r>
        <w:rPr>
          <w:rFonts w:hint="eastAsia" w:ascii="宋体" w:hAnsi="宋体" w:cs="宋体"/>
          <w:sz w:val="24"/>
          <w:szCs w:val="24"/>
        </w:rPr>
        <w:t>满足</w:t>
      </w:r>
      <w:r>
        <w:rPr>
          <w:rFonts w:hint="eastAsia" w:ascii="宋体" w:hAnsi="宋体" w:cs="宋体"/>
          <w:sz w:val="24"/>
          <w:szCs w:val="24"/>
          <w:lang w:eastAsia="zh-CN"/>
        </w:rPr>
        <w:t>采购人</w:t>
      </w:r>
      <w:r>
        <w:rPr>
          <w:rFonts w:hint="eastAsia" w:ascii="宋体" w:hAnsi="宋体" w:cs="宋体"/>
          <w:sz w:val="24"/>
          <w:szCs w:val="24"/>
        </w:rPr>
        <w:t>的品质要求的产品。</w:t>
      </w:r>
    </w:p>
    <w:p w14:paraId="4465F1EC">
      <w:pPr>
        <w:numPr>
          <w:ilvl w:val="0"/>
          <w:numId w:val="0"/>
        </w:numPr>
        <w:tabs>
          <w:tab w:val="left" w:pos="840"/>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lang w:eastAsia="zh-CN"/>
        </w:rPr>
        <w:t>采购人</w:t>
      </w:r>
      <w:r>
        <w:rPr>
          <w:rFonts w:hint="eastAsia" w:ascii="宋体" w:hAnsi="宋体" w:cs="宋体"/>
          <w:sz w:val="24"/>
          <w:szCs w:val="24"/>
        </w:rPr>
        <w:t>如对</w:t>
      </w:r>
      <w:r>
        <w:rPr>
          <w:rFonts w:hint="eastAsia" w:ascii="宋体" w:hAnsi="宋体" w:cs="宋体"/>
          <w:sz w:val="24"/>
          <w:szCs w:val="24"/>
          <w:lang w:eastAsia="zh-CN"/>
        </w:rPr>
        <w:t>供应商</w:t>
      </w:r>
      <w:r>
        <w:rPr>
          <w:rFonts w:hint="eastAsia" w:ascii="宋体" w:hAnsi="宋体" w:cs="宋体"/>
          <w:sz w:val="24"/>
          <w:szCs w:val="24"/>
        </w:rPr>
        <w:t>产品质量提出问题，</w:t>
      </w:r>
      <w:r>
        <w:rPr>
          <w:rFonts w:hint="eastAsia" w:ascii="宋体" w:hAnsi="宋体" w:cs="宋体"/>
          <w:sz w:val="24"/>
          <w:szCs w:val="24"/>
          <w:lang w:eastAsia="zh-CN"/>
        </w:rPr>
        <w:t>供应商</w:t>
      </w:r>
      <w:r>
        <w:rPr>
          <w:rFonts w:hint="eastAsia" w:ascii="宋体" w:hAnsi="宋体" w:cs="宋体"/>
          <w:sz w:val="24"/>
          <w:szCs w:val="24"/>
        </w:rPr>
        <w:t>必须第一时间协助处理，如因处理不当或处理周期较长，导致影响生产，</w:t>
      </w:r>
      <w:r>
        <w:rPr>
          <w:rFonts w:hint="eastAsia" w:ascii="宋体" w:hAnsi="宋体" w:cs="宋体"/>
          <w:sz w:val="24"/>
          <w:szCs w:val="24"/>
          <w:lang w:eastAsia="zh-CN"/>
        </w:rPr>
        <w:t>采购人</w:t>
      </w:r>
      <w:r>
        <w:rPr>
          <w:rFonts w:hint="eastAsia" w:ascii="宋体" w:hAnsi="宋体" w:cs="宋体"/>
          <w:sz w:val="24"/>
          <w:szCs w:val="24"/>
        </w:rPr>
        <w:t>有权按照公司规定予以考核及追偿。</w:t>
      </w:r>
    </w:p>
    <w:p w14:paraId="7F7C790A">
      <w:pPr>
        <w:numPr>
          <w:ilvl w:val="0"/>
          <w:numId w:val="0"/>
        </w:numPr>
        <w:tabs>
          <w:tab w:val="left" w:pos="840"/>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按照甲乙双方签认的样品、图纸、质量要求作为验收标准。</w:t>
      </w:r>
    </w:p>
    <w:p w14:paraId="123E7746">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lang w:val="en-US" w:eastAsia="zh-CN"/>
        </w:rPr>
        <w:t>5</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供应商</w:t>
      </w:r>
      <w:r>
        <w:rPr>
          <w:rFonts w:hint="eastAsia" w:ascii="宋体" w:hAnsi="宋体" w:cs="宋体"/>
          <w:sz w:val="24"/>
          <w:szCs w:val="24"/>
          <w:highlight w:val="none"/>
        </w:rPr>
        <w:t>为</w:t>
      </w:r>
      <w:r>
        <w:rPr>
          <w:rFonts w:hint="eastAsia" w:ascii="宋体" w:hAnsi="宋体" w:cs="宋体"/>
          <w:sz w:val="24"/>
          <w:szCs w:val="24"/>
          <w:highlight w:val="none"/>
          <w:lang w:eastAsia="zh-CN"/>
        </w:rPr>
        <w:t>采购人</w:t>
      </w:r>
      <w:r>
        <w:rPr>
          <w:rFonts w:hint="eastAsia" w:ascii="宋体" w:hAnsi="宋体" w:cs="宋体"/>
          <w:sz w:val="24"/>
          <w:szCs w:val="24"/>
          <w:highlight w:val="none"/>
          <w:lang w:val="en-US" w:eastAsia="zh-CN"/>
        </w:rPr>
        <w:t>加工</w:t>
      </w:r>
      <w:r>
        <w:rPr>
          <w:rFonts w:hint="eastAsia" w:ascii="宋体" w:hAnsi="宋体" w:cs="宋体"/>
          <w:sz w:val="24"/>
          <w:szCs w:val="24"/>
          <w:highlight w:val="none"/>
        </w:rPr>
        <w:t>的产品在</w:t>
      </w:r>
      <w:r>
        <w:rPr>
          <w:rFonts w:hint="eastAsia" w:ascii="宋体" w:hAnsi="宋体" w:cs="宋体"/>
          <w:b/>
          <w:bCs/>
          <w:sz w:val="24"/>
          <w:szCs w:val="24"/>
          <w:highlight w:val="none"/>
        </w:rPr>
        <w:t>质量保证期</w:t>
      </w:r>
      <w:r>
        <w:rPr>
          <w:rFonts w:hint="eastAsia" w:ascii="宋体" w:hAnsi="宋体" w:cs="宋体"/>
          <w:b/>
          <w:bCs/>
          <w:sz w:val="24"/>
          <w:szCs w:val="24"/>
          <w:highlight w:val="none"/>
          <w:lang w:val="en-US" w:eastAsia="zh-CN"/>
        </w:rPr>
        <w:t>六个月</w:t>
      </w:r>
      <w:r>
        <w:rPr>
          <w:rFonts w:hint="eastAsia" w:ascii="宋体" w:hAnsi="宋体" w:cs="宋体"/>
          <w:b/>
          <w:bCs/>
          <w:sz w:val="24"/>
          <w:szCs w:val="24"/>
          <w:highlight w:val="none"/>
        </w:rPr>
        <w:t>内</w:t>
      </w:r>
      <w:r>
        <w:rPr>
          <w:rFonts w:hint="eastAsia" w:ascii="宋体" w:hAnsi="宋体" w:cs="宋体"/>
          <w:sz w:val="24"/>
          <w:szCs w:val="24"/>
          <w:highlight w:val="none"/>
        </w:rPr>
        <w:t>出现质量问题，并经确认是</w:t>
      </w:r>
      <w:r>
        <w:rPr>
          <w:rFonts w:hint="eastAsia" w:ascii="宋体" w:hAnsi="宋体" w:cs="宋体"/>
          <w:sz w:val="24"/>
          <w:szCs w:val="24"/>
          <w:highlight w:val="none"/>
          <w:lang w:eastAsia="zh-CN"/>
        </w:rPr>
        <w:t>供应商</w:t>
      </w:r>
      <w:r>
        <w:rPr>
          <w:rFonts w:hint="eastAsia" w:ascii="宋体" w:hAnsi="宋体" w:cs="宋体"/>
          <w:sz w:val="24"/>
          <w:szCs w:val="24"/>
          <w:highlight w:val="none"/>
        </w:rPr>
        <w:t>造成</w:t>
      </w:r>
      <w:r>
        <w:rPr>
          <w:rFonts w:hint="eastAsia" w:ascii="宋体" w:hAnsi="宋体" w:cs="宋体"/>
          <w:sz w:val="24"/>
          <w:szCs w:val="24"/>
          <w:highlight w:val="none"/>
          <w:lang w:eastAsia="zh-CN"/>
        </w:rPr>
        <w:t>供应商</w:t>
      </w:r>
      <w:r>
        <w:rPr>
          <w:rFonts w:hint="eastAsia" w:ascii="宋体" w:hAnsi="宋体" w:cs="宋体"/>
          <w:sz w:val="24"/>
          <w:szCs w:val="24"/>
          <w:highlight w:val="none"/>
        </w:rPr>
        <w:t>应给予维修、重</w:t>
      </w:r>
      <w:r>
        <w:rPr>
          <w:rFonts w:hint="eastAsia" w:ascii="宋体" w:hAnsi="宋体" w:cs="宋体"/>
          <w:sz w:val="24"/>
          <w:szCs w:val="24"/>
          <w:highlight w:val="none"/>
          <w:lang w:eastAsia="zh-CN"/>
        </w:rPr>
        <w:t>做</w:t>
      </w:r>
      <w:r>
        <w:rPr>
          <w:rFonts w:hint="eastAsia" w:ascii="宋体" w:hAnsi="宋体" w:cs="宋体"/>
          <w:sz w:val="24"/>
          <w:szCs w:val="24"/>
          <w:highlight w:val="none"/>
        </w:rPr>
        <w:t>或退换。</w:t>
      </w:r>
    </w:p>
    <w:p w14:paraId="609FF473">
      <w:pPr>
        <w:numPr>
          <w:ilvl w:val="0"/>
          <w:numId w:val="0"/>
        </w:numPr>
        <w:tabs>
          <w:tab w:val="left" w:pos="840"/>
        </w:tabs>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sz w:val="24"/>
          <w:szCs w:val="24"/>
          <w:highlight w:val="none"/>
          <w:lang w:val="en-US" w:eastAsia="zh-CN"/>
        </w:rPr>
        <w:t>6.正常情况下，供应商应在3天完成机械加工并送至采购人指定地点；紧急情况下</w:t>
      </w:r>
      <w:r>
        <w:rPr>
          <w:rFonts w:hint="eastAsia" w:ascii="宋体" w:hAnsi="宋体" w:cs="宋体"/>
          <w:sz w:val="24"/>
          <w:szCs w:val="24"/>
          <w:highlight w:val="none"/>
        </w:rPr>
        <w:t>，</w:t>
      </w:r>
      <w:r>
        <w:rPr>
          <w:rFonts w:hint="eastAsia" w:ascii="宋体" w:hAnsi="宋体" w:cs="宋体"/>
          <w:sz w:val="24"/>
          <w:szCs w:val="24"/>
          <w:highlight w:val="none"/>
          <w:lang w:val="en-US" w:eastAsia="zh-CN"/>
        </w:rPr>
        <w:t>供应商需在</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小时内</w:t>
      </w:r>
      <w:r>
        <w:rPr>
          <w:rFonts w:hint="eastAsia" w:ascii="宋体" w:hAnsi="宋体" w:cs="宋体"/>
          <w:sz w:val="24"/>
          <w:szCs w:val="24"/>
          <w:highlight w:val="none"/>
        </w:rPr>
        <w:t>赶到现场协助处理，并出</w:t>
      </w:r>
      <w:r>
        <w:rPr>
          <w:rFonts w:hint="eastAsia" w:ascii="宋体" w:hAnsi="宋体" w:cs="宋体"/>
          <w:color w:val="auto"/>
          <w:sz w:val="24"/>
          <w:szCs w:val="24"/>
          <w:highlight w:val="none"/>
        </w:rPr>
        <w:t>具处理办法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采购人不额外支付费用，包含在合同金额范围内</w:t>
      </w:r>
      <w:r>
        <w:rPr>
          <w:rFonts w:hint="eastAsia" w:ascii="宋体" w:hAnsi="宋体" w:cs="宋体"/>
          <w:color w:val="auto"/>
          <w:sz w:val="24"/>
          <w:szCs w:val="24"/>
          <w:highlight w:val="none"/>
        </w:rPr>
        <w:t>。</w:t>
      </w:r>
    </w:p>
    <w:p w14:paraId="41E38B9F">
      <w:pPr>
        <w:numPr>
          <w:ilvl w:val="0"/>
          <w:numId w:val="0"/>
        </w:numPr>
        <w:tabs>
          <w:tab w:val="left" w:pos="840"/>
        </w:tabs>
        <w:spacing w:line="360" w:lineRule="auto"/>
        <w:ind w:firstLine="480" w:firstLineChars="200"/>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6.供应商对采购人提供的样品或图纸理解不全面的情况下，需要供应商现场测绘或查看的，采购人不额外支付费用，包含在合同金额范围内</w:t>
      </w:r>
      <w:r>
        <w:rPr>
          <w:rFonts w:hint="eastAsia" w:ascii="宋体" w:hAnsi="宋体" w:cs="宋体"/>
          <w:color w:val="auto"/>
          <w:sz w:val="24"/>
          <w:szCs w:val="24"/>
          <w:highlight w:val="none"/>
        </w:rPr>
        <w:t>。</w:t>
      </w:r>
    </w:p>
    <w:p w14:paraId="3D15018C">
      <w:pPr>
        <w:numPr>
          <w:ilvl w:val="0"/>
          <w:numId w:val="0"/>
        </w:numPr>
        <w:tabs>
          <w:tab w:val="left" w:pos="84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7.加工好的产品由供应商负责运输到采购人厂内指定地点，卸货由采购人负责</w:t>
      </w:r>
      <w:r>
        <w:rPr>
          <w:rFonts w:hint="eastAsia" w:ascii="宋体" w:hAnsi="宋体" w:cs="宋体"/>
          <w:color w:val="auto"/>
          <w:sz w:val="24"/>
          <w:szCs w:val="24"/>
          <w:highlight w:val="none"/>
        </w:rPr>
        <w:t>。</w:t>
      </w:r>
    </w:p>
    <w:p w14:paraId="312C2F1D">
      <w:pPr>
        <w:numPr>
          <w:ilvl w:val="0"/>
          <w:numId w:val="0"/>
        </w:numPr>
        <w:tabs>
          <w:tab w:val="left" w:pos="84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9.供应商对采购人提供的图纸及技术资料有保密责任，不得向第三方透露。</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五、结算方式</w:t>
      </w:r>
    </w:p>
    <w:p w14:paraId="1D13DF5E">
      <w:pPr>
        <w:pStyle w:val="14"/>
        <w:ind w:left="0" w:leftChars="0" w:firstLine="480" w:firstLineChars="200"/>
        <w:rPr>
          <w:rFonts w:hint="default"/>
          <w:b w:val="0"/>
          <w:bCs w:val="0"/>
          <w:color w:val="auto"/>
          <w:lang w:val="en-US" w:eastAsia="zh-CN"/>
        </w:rPr>
      </w:pPr>
      <w:r>
        <w:rPr>
          <w:rFonts w:hint="eastAsia"/>
          <w:b w:val="0"/>
          <w:bCs w:val="0"/>
          <w:color w:val="auto"/>
          <w:lang w:val="en-US" w:eastAsia="zh-CN"/>
        </w:rPr>
        <w:t>1.计价方式：</w:t>
      </w:r>
      <w:r>
        <w:rPr>
          <w:rFonts w:hint="eastAsia" w:ascii="宋体" w:hAnsi="宋体"/>
          <w:color w:val="auto"/>
          <w:sz w:val="24"/>
          <w:u w:val="single"/>
          <w:lang w:val="en-US" w:eastAsia="zh-CN"/>
        </w:rPr>
        <w:t>结算金额=加工服务费（单价*数量）+材料费用（单价*数量）+</w:t>
      </w:r>
      <w:r>
        <w:rPr>
          <w:rFonts w:hint="eastAsia" w:hAnsi="宋体"/>
          <w:color w:val="auto"/>
          <w:sz w:val="24"/>
          <w:u w:val="single"/>
          <w:lang w:val="en-US" w:eastAsia="zh-CN"/>
        </w:rPr>
        <w:t>送货服务费用</w:t>
      </w:r>
      <w:r>
        <w:rPr>
          <w:rFonts w:hint="eastAsia" w:ascii="宋体" w:hAnsi="宋体"/>
          <w:color w:val="auto"/>
          <w:sz w:val="24"/>
          <w:u w:val="single"/>
          <w:lang w:val="en-US" w:eastAsia="zh-CN"/>
        </w:rPr>
        <w:t>（单价*数量）</w:t>
      </w:r>
      <w:r>
        <w:rPr>
          <w:rFonts w:hint="eastAsia" w:hAnsi="宋体"/>
          <w:color w:val="auto"/>
          <w:sz w:val="24"/>
          <w:u w:val="single"/>
          <w:lang w:val="en-US" w:eastAsia="zh-CN"/>
        </w:rPr>
        <w:t>。</w:t>
      </w:r>
      <w:r>
        <w:rPr>
          <w:rFonts w:hint="eastAsia"/>
          <w:b/>
          <w:bCs/>
          <w:color w:val="auto"/>
          <w:u w:val="single"/>
          <w:lang w:val="en-US" w:eastAsia="zh-CN"/>
        </w:rPr>
        <w:t>发票要求材料费开具货物类增值税专用发票，加工和送货服务费开具服务类增值税专用发票。</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2.其他以本询价采购文件中的合同条款为准。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color w:val="auto"/>
          <w:lang w:val="en-US"/>
        </w:rPr>
        <w:t>1.</w:t>
      </w:r>
      <w:r>
        <w:rPr>
          <w:rFonts w:hint="eastAsia"/>
          <w:color w:val="auto"/>
          <w:lang w:val="en-US" w:eastAsia="zh-CN"/>
        </w:rPr>
        <w:t>供应商</w:t>
      </w:r>
      <w:r>
        <w:rPr>
          <w:rFonts w:hint="eastAsia"/>
          <w:color w:val="auto"/>
          <w:lang w:val="en-US"/>
        </w:rPr>
        <w:t>必须满足采购人售后服务</w:t>
      </w:r>
      <w:r>
        <w:rPr>
          <w:rFonts w:hint="eastAsia"/>
          <w:color w:val="auto"/>
          <w:highlight w:val="none"/>
          <w:lang w:val="en-US"/>
        </w:rPr>
        <w:t>要求。</w:t>
      </w:r>
      <w:r>
        <w:rPr>
          <w:rFonts w:hint="eastAsia"/>
          <w:color w:val="auto"/>
          <w:highlight w:val="none"/>
          <w:lang w:val="en-US" w:eastAsia="zh-CN"/>
        </w:rPr>
        <w:t>若供应商提供的货</w:t>
      </w:r>
      <w:r>
        <w:rPr>
          <w:rFonts w:hint="eastAsia"/>
          <w:highlight w:val="none"/>
          <w:lang w:val="en-US" w:eastAsia="zh-CN"/>
        </w:rPr>
        <w:t>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F29822">
      <w:pPr>
        <w:pStyle w:val="6"/>
        <w:numPr>
          <w:ilvl w:val="0"/>
          <w:numId w:val="0"/>
        </w:numPr>
        <w:ind w:firstLine="480" w:firstLineChars="200"/>
        <w:rPr>
          <w:rFonts w:hint="eastAsia"/>
          <w:color w:val="auto"/>
          <w:lang w:val="en-US" w:eastAsia="zh-CN"/>
        </w:rPr>
      </w:pPr>
      <w:r>
        <w:rPr>
          <w:rFonts w:hint="eastAsia"/>
          <w:color w:val="auto"/>
          <w:lang w:val="en-US" w:eastAsia="zh-CN"/>
        </w:rPr>
        <w:t>3.供应商提供的货物或者服务在使用过程中，因质量问题给他机械设备造成故障或货物损坏，由供应商承担采购人的一切损失，包括直接和间接损失。</w:t>
      </w:r>
    </w:p>
    <w:p w14:paraId="3ABDA1E9">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32" w:name="_Toc184312124"/>
      <w:bookmarkEnd w:id="32"/>
      <w:bookmarkStart w:id="33" w:name="_Toc184308071"/>
      <w:bookmarkEnd w:id="33"/>
      <w:bookmarkStart w:id="34" w:name="_Toc184314445"/>
      <w:bookmarkEnd w:id="34"/>
      <w:bookmarkStart w:id="35" w:name="_Toc184308093"/>
      <w:bookmarkEnd w:id="35"/>
      <w:bookmarkStart w:id="36" w:name="_Toc184312095"/>
      <w:bookmarkEnd w:id="36"/>
      <w:bookmarkStart w:id="37" w:name="_Toc184310330"/>
      <w:bookmarkEnd w:id="37"/>
      <w:bookmarkStart w:id="38" w:name="_Toc184313309"/>
      <w:bookmarkEnd w:id="38"/>
      <w:bookmarkStart w:id="39" w:name="_Toc184310329"/>
      <w:bookmarkEnd w:id="39"/>
      <w:bookmarkStart w:id="40" w:name="_Toc184313266"/>
      <w:bookmarkEnd w:id="40"/>
      <w:bookmarkStart w:id="41" w:name="_Toc184310293"/>
      <w:bookmarkEnd w:id="41"/>
      <w:bookmarkStart w:id="42" w:name="_Toc184312118"/>
      <w:bookmarkEnd w:id="42"/>
      <w:bookmarkStart w:id="43" w:name="_Toc184308059"/>
      <w:bookmarkEnd w:id="43"/>
      <w:bookmarkStart w:id="44" w:name="_Toc184314418"/>
      <w:bookmarkEnd w:id="44"/>
      <w:bookmarkStart w:id="45" w:name="_Toc184312100"/>
      <w:bookmarkEnd w:id="45"/>
      <w:bookmarkStart w:id="46" w:name="_Toc184308106"/>
      <w:bookmarkEnd w:id="46"/>
      <w:bookmarkStart w:id="47" w:name="_Toc184312097"/>
      <w:bookmarkEnd w:id="47"/>
      <w:bookmarkStart w:id="48" w:name="_Toc184314442"/>
      <w:bookmarkEnd w:id="48"/>
      <w:bookmarkStart w:id="49" w:name="_Toc184310309"/>
      <w:bookmarkEnd w:id="49"/>
      <w:bookmarkStart w:id="50" w:name="_Toc184312131"/>
      <w:bookmarkEnd w:id="50"/>
      <w:bookmarkStart w:id="51" w:name="_Toc184308068"/>
      <w:bookmarkEnd w:id="51"/>
      <w:bookmarkStart w:id="52" w:name="_Toc184313253"/>
      <w:bookmarkEnd w:id="52"/>
      <w:bookmarkStart w:id="53" w:name="_Toc184310281"/>
      <w:bookmarkEnd w:id="53"/>
      <w:bookmarkStart w:id="54" w:name="_Toc184314448"/>
      <w:bookmarkEnd w:id="54"/>
      <w:bookmarkStart w:id="55" w:name="_Toc184313295"/>
      <w:bookmarkEnd w:id="55"/>
      <w:bookmarkStart w:id="56" w:name="_Toc184308069"/>
      <w:bookmarkEnd w:id="56"/>
      <w:bookmarkStart w:id="57" w:name="_Toc184310304"/>
      <w:bookmarkEnd w:id="57"/>
      <w:bookmarkStart w:id="58" w:name="_Toc184314436"/>
      <w:bookmarkEnd w:id="58"/>
      <w:bookmarkStart w:id="59" w:name="_Toc184313310"/>
      <w:bookmarkEnd w:id="59"/>
      <w:bookmarkStart w:id="60" w:name="_Toc184313308"/>
      <w:bookmarkEnd w:id="60"/>
      <w:bookmarkStart w:id="61" w:name="_Toc184313245"/>
      <w:bookmarkEnd w:id="61"/>
      <w:bookmarkStart w:id="62" w:name="_Toc184308050"/>
      <w:bookmarkEnd w:id="62"/>
      <w:bookmarkStart w:id="63" w:name="_Toc184314481"/>
      <w:bookmarkEnd w:id="63"/>
      <w:bookmarkStart w:id="64" w:name="_Toc184308044"/>
      <w:bookmarkEnd w:id="64"/>
      <w:bookmarkStart w:id="65" w:name="_Toc184314414"/>
      <w:bookmarkEnd w:id="65"/>
      <w:bookmarkStart w:id="66" w:name="_Toc184312109"/>
      <w:bookmarkEnd w:id="66"/>
      <w:bookmarkStart w:id="67" w:name="_Toc184310280"/>
      <w:bookmarkEnd w:id="67"/>
      <w:bookmarkStart w:id="68" w:name="_Toc184310332"/>
      <w:bookmarkEnd w:id="68"/>
      <w:bookmarkStart w:id="69" w:name="_Toc184313292"/>
      <w:bookmarkEnd w:id="69"/>
      <w:bookmarkStart w:id="70" w:name="_Toc184312108"/>
      <w:bookmarkEnd w:id="70"/>
      <w:bookmarkStart w:id="71" w:name="_Toc184314456"/>
      <w:bookmarkEnd w:id="71"/>
      <w:bookmarkStart w:id="72" w:name="_Toc184313304"/>
      <w:bookmarkEnd w:id="72"/>
      <w:bookmarkStart w:id="73" w:name="_Toc184310305"/>
      <w:bookmarkEnd w:id="73"/>
      <w:bookmarkStart w:id="74" w:name="_Toc184314424"/>
      <w:bookmarkEnd w:id="74"/>
      <w:bookmarkStart w:id="75" w:name="_Toc184312085"/>
      <w:bookmarkEnd w:id="75"/>
      <w:bookmarkStart w:id="76" w:name="_Toc184313301"/>
      <w:bookmarkEnd w:id="76"/>
      <w:bookmarkStart w:id="77" w:name="_Toc184314423"/>
      <w:bookmarkEnd w:id="77"/>
      <w:bookmarkStart w:id="78" w:name="_Toc184312087"/>
      <w:bookmarkEnd w:id="78"/>
      <w:bookmarkStart w:id="79" w:name="_Toc184308083"/>
      <w:bookmarkEnd w:id="79"/>
      <w:bookmarkStart w:id="80" w:name="_Toc184308096"/>
      <w:bookmarkEnd w:id="80"/>
      <w:bookmarkStart w:id="81" w:name="_Toc184308084"/>
      <w:bookmarkEnd w:id="81"/>
      <w:bookmarkStart w:id="82" w:name="_Toc184313242"/>
      <w:bookmarkEnd w:id="82"/>
      <w:bookmarkStart w:id="83" w:name="_Toc184312113"/>
      <w:bookmarkEnd w:id="83"/>
      <w:bookmarkStart w:id="84" w:name="_Toc184310313"/>
      <w:bookmarkEnd w:id="84"/>
      <w:bookmarkStart w:id="85" w:name="_Toc184314462"/>
      <w:bookmarkEnd w:id="85"/>
      <w:bookmarkStart w:id="86" w:name="_Toc184312104"/>
      <w:bookmarkEnd w:id="86"/>
      <w:bookmarkStart w:id="87" w:name="_Toc184312088"/>
      <w:bookmarkEnd w:id="87"/>
      <w:bookmarkStart w:id="88" w:name="_Toc184310319"/>
      <w:bookmarkEnd w:id="88"/>
      <w:bookmarkStart w:id="89" w:name="_Toc184310275"/>
      <w:bookmarkEnd w:id="89"/>
      <w:bookmarkStart w:id="90" w:name="_Toc184312096"/>
      <w:bookmarkEnd w:id="90"/>
      <w:bookmarkStart w:id="91" w:name="_Toc184314453"/>
      <w:bookmarkEnd w:id="91"/>
      <w:bookmarkStart w:id="92" w:name="_Toc184308077"/>
      <w:bookmarkEnd w:id="92"/>
      <w:bookmarkStart w:id="93" w:name="_Toc184312102"/>
      <w:bookmarkEnd w:id="93"/>
      <w:bookmarkStart w:id="94" w:name="_Toc184312078"/>
      <w:bookmarkEnd w:id="94"/>
      <w:bookmarkStart w:id="95" w:name="_Toc184314437"/>
      <w:bookmarkEnd w:id="95"/>
      <w:bookmarkStart w:id="96" w:name="_Toc184314450"/>
      <w:bookmarkEnd w:id="96"/>
      <w:bookmarkStart w:id="97" w:name="_Toc184314451"/>
      <w:bookmarkEnd w:id="97"/>
      <w:bookmarkStart w:id="98" w:name="_Toc184312137"/>
      <w:bookmarkEnd w:id="98"/>
      <w:bookmarkStart w:id="99" w:name="_Toc184312071"/>
      <w:bookmarkEnd w:id="99"/>
      <w:bookmarkStart w:id="100" w:name="_Toc184314469"/>
      <w:bookmarkEnd w:id="100"/>
      <w:bookmarkStart w:id="101" w:name="_Toc184314473"/>
      <w:bookmarkEnd w:id="101"/>
      <w:bookmarkStart w:id="102" w:name="_Toc184314432"/>
      <w:bookmarkEnd w:id="102"/>
      <w:bookmarkStart w:id="103" w:name="_Toc184308042"/>
      <w:bookmarkEnd w:id="103"/>
      <w:bookmarkStart w:id="104" w:name="_Toc184310286"/>
      <w:bookmarkEnd w:id="104"/>
      <w:bookmarkStart w:id="105" w:name="_Toc184313249"/>
      <w:bookmarkEnd w:id="105"/>
      <w:bookmarkStart w:id="106" w:name="_Toc184312119"/>
      <w:bookmarkEnd w:id="106"/>
      <w:bookmarkStart w:id="107" w:name="_Toc184312068"/>
      <w:bookmarkEnd w:id="107"/>
      <w:bookmarkStart w:id="108" w:name="_Toc184313260"/>
      <w:bookmarkEnd w:id="108"/>
      <w:bookmarkStart w:id="109" w:name="_Toc184314416"/>
      <w:bookmarkEnd w:id="109"/>
      <w:bookmarkStart w:id="110" w:name="_Toc184314444"/>
      <w:bookmarkEnd w:id="110"/>
      <w:bookmarkStart w:id="111" w:name="_Toc184310321"/>
      <w:bookmarkEnd w:id="111"/>
      <w:bookmarkStart w:id="112" w:name="_Toc184312134"/>
      <w:bookmarkEnd w:id="112"/>
      <w:bookmarkStart w:id="113" w:name="_Toc184314464"/>
      <w:bookmarkEnd w:id="113"/>
      <w:bookmarkStart w:id="114" w:name="_Toc184308094"/>
      <w:bookmarkEnd w:id="114"/>
      <w:bookmarkStart w:id="115" w:name="_Toc184310299"/>
      <w:bookmarkEnd w:id="115"/>
      <w:bookmarkStart w:id="116" w:name="_Toc184314465"/>
      <w:bookmarkEnd w:id="116"/>
      <w:bookmarkStart w:id="117" w:name="_Toc184310335"/>
      <w:bookmarkEnd w:id="117"/>
      <w:bookmarkStart w:id="118" w:name="_Toc184308039"/>
      <w:bookmarkEnd w:id="118"/>
      <w:bookmarkStart w:id="119" w:name="_Toc184310282"/>
      <w:bookmarkEnd w:id="119"/>
      <w:bookmarkStart w:id="120" w:name="_Toc184312121"/>
      <w:bookmarkEnd w:id="120"/>
      <w:bookmarkStart w:id="121" w:name="_Toc184310279"/>
      <w:bookmarkEnd w:id="121"/>
      <w:bookmarkStart w:id="122" w:name="_Toc184310339"/>
      <w:bookmarkEnd w:id="122"/>
      <w:bookmarkStart w:id="123" w:name="_Toc184312067"/>
      <w:bookmarkEnd w:id="123"/>
      <w:bookmarkStart w:id="124" w:name="_Toc184308067"/>
      <w:bookmarkEnd w:id="124"/>
      <w:bookmarkStart w:id="125" w:name="_Toc184308072"/>
      <w:bookmarkEnd w:id="125"/>
      <w:bookmarkStart w:id="126" w:name="_Toc184314439"/>
      <w:bookmarkEnd w:id="126"/>
      <w:bookmarkStart w:id="127" w:name="_Toc184312132"/>
      <w:bookmarkEnd w:id="127"/>
      <w:bookmarkStart w:id="128" w:name="_Toc184308063"/>
      <w:bookmarkEnd w:id="128"/>
      <w:bookmarkStart w:id="129" w:name="_Toc184312133"/>
      <w:bookmarkEnd w:id="129"/>
      <w:bookmarkStart w:id="130" w:name="_Toc184310295"/>
      <w:bookmarkEnd w:id="130"/>
      <w:bookmarkStart w:id="131" w:name="_Toc184312083"/>
      <w:bookmarkEnd w:id="131"/>
      <w:bookmarkStart w:id="132" w:name="_Toc184308095"/>
      <w:bookmarkEnd w:id="132"/>
      <w:bookmarkStart w:id="133" w:name="_Toc184308047"/>
      <w:bookmarkEnd w:id="133"/>
      <w:bookmarkStart w:id="134" w:name="_Toc184310297"/>
      <w:bookmarkEnd w:id="134"/>
      <w:bookmarkStart w:id="135" w:name="_Toc184312128"/>
      <w:bookmarkEnd w:id="135"/>
      <w:bookmarkStart w:id="136" w:name="_Toc184313303"/>
      <w:bookmarkEnd w:id="136"/>
      <w:bookmarkStart w:id="137" w:name="_Toc184313269"/>
      <w:bookmarkEnd w:id="137"/>
      <w:bookmarkStart w:id="138" w:name="_Toc184312073"/>
      <w:bookmarkEnd w:id="138"/>
      <w:bookmarkStart w:id="139" w:name="_Toc184308073"/>
      <w:bookmarkEnd w:id="139"/>
      <w:bookmarkStart w:id="140" w:name="_Toc184308049"/>
      <w:bookmarkEnd w:id="140"/>
      <w:bookmarkStart w:id="141" w:name="_Toc184312123"/>
      <w:bookmarkEnd w:id="141"/>
      <w:bookmarkStart w:id="142" w:name="_Toc184314420"/>
      <w:bookmarkEnd w:id="142"/>
      <w:bookmarkStart w:id="143" w:name="_Toc184314431"/>
      <w:bookmarkEnd w:id="143"/>
      <w:bookmarkStart w:id="144" w:name="_Toc184310334"/>
      <w:bookmarkEnd w:id="144"/>
      <w:bookmarkStart w:id="145" w:name="_Toc184310333"/>
      <w:bookmarkEnd w:id="145"/>
      <w:bookmarkStart w:id="146" w:name="_Toc184314440"/>
      <w:bookmarkEnd w:id="146"/>
      <w:bookmarkStart w:id="147" w:name="_Toc184312089"/>
      <w:bookmarkEnd w:id="147"/>
      <w:bookmarkStart w:id="148" w:name="_Toc184308041"/>
      <w:bookmarkEnd w:id="148"/>
      <w:bookmarkStart w:id="149" w:name="_Toc184308076"/>
      <w:bookmarkEnd w:id="149"/>
      <w:bookmarkStart w:id="150" w:name="_Toc184310306"/>
      <w:bookmarkEnd w:id="150"/>
      <w:bookmarkStart w:id="151" w:name="_Toc184308060"/>
      <w:bookmarkEnd w:id="151"/>
      <w:bookmarkStart w:id="152" w:name="_Toc184312074"/>
      <w:bookmarkEnd w:id="152"/>
      <w:bookmarkStart w:id="153" w:name="_Toc184310289"/>
      <w:bookmarkEnd w:id="153"/>
      <w:bookmarkStart w:id="154" w:name="_Toc184310331"/>
      <w:bookmarkEnd w:id="154"/>
      <w:bookmarkStart w:id="155" w:name="_Toc184310285"/>
      <w:bookmarkEnd w:id="155"/>
      <w:bookmarkStart w:id="156" w:name="_Toc184312079"/>
      <w:bookmarkEnd w:id="156"/>
      <w:bookmarkStart w:id="157" w:name="_Toc184310272"/>
      <w:bookmarkEnd w:id="157"/>
      <w:bookmarkStart w:id="158" w:name="_Toc184314433"/>
      <w:bookmarkEnd w:id="158"/>
      <w:bookmarkStart w:id="159" w:name="_Toc184314457"/>
      <w:bookmarkEnd w:id="159"/>
      <w:bookmarkStart w:id="160" w:name="_Toc184313297"/>
      <w:bookmarkEnd w:id="160"/>
      <w:bookmarkStart w:id="161" w:name="_Toc184312138"/>
      <w:bookmarkEnd w:id="161"/>
      <w:bookmarkStart w:id="162" w:name="_Toc184314427"/>
      <w:bookmarkEnd w:id="162"/>
      <w:bookmarkStart w:id="163" w:name="_Toc184308054"/>
      <w:bookmarkEnd w:id="163"/>
      <w:bookmarkStart w:id="164" w:name="_Toc184310311"/>
      <w:bookmarkEnd w:id="164"/>
      <w:bookmarkStart w:id="165" w:name="_Toc184310325"/>
      <w:bookmarkEnd w:id="165"/>
      <w:bookmarkStart w:id="166" w:name="_Toc184312120"/>
      <w:bookmarkEnd w:id="166"/>
      <w:bookmarkStart w:id="167" w:name="_Toc184310274"/>
      <w:bookmarkEnd w:id="167"/>
      <w:bookmarkStart w:id="168" w:name="_Toc184308053"/>
      <w:bookmarkEnd w:id="168"/>
      <w:bookmarkStart w:id="169" w:name="_Toc184312072"/>
      <w:bookmarkEnd w:id="169"/>
      <w:bookmarkStart w:id="170" w:name="_Toc184310308"/>
      <w:bookmarkEnd w:id="170"/>
      <w:bookmarkStart w:id="171" w:name="_Toc184313255"/>
      <w:bookmarkEnd w:id="171"/>
      <w:bookmarkStart w:id="172" w:name="_Toc184314460"/>
      <w:bookmarkEnd w:id="172"/>
      <w:bookmarkStart w:id="173" w:name="_Toc184313275"/>
      <w:bookmarkEnd w:id="173"/>
      <w:bookmarkStart w:id="174" w:name="_Toc184314446"/>
      <w:bookmarkEnd w:id="174"/>
      <w:bookmarkStart w:id="175" w:name="_Toc184312122"/>
      <w:bookmarkEnd w:id="175"/>
      <w:bookmarkStart w:id="176" w:name="_Toc184313246"/>
      <w:bookmarkEnd w:id="176"/>
      <w:bookmarkStart w:id="177" w:name="_Toc184312105"/>
      <w:bookmarkEnd w:id="177"/>
      <w:bookmarkStart w:id="178" w:name="_Toc184310288"/>
      <w:bookmarkEnd w:id="178"/>
      <w:bookmarkStart w:id="179" w:name="_Toc184313280"/>
      <w:bookmarkEnd w:id="179"/>
      <w:bookmarkStart w:id="180" w:name="_Toc184310294"/>
      <w:bookmarkEnd w:id="180"/>
      <w:bookmarkStart w:id="181" w:name="_Toc184310284"/>
      <w:bookmarkEnd w:id="181"/>
      <w:bookmarkStart w:id="182" w:name="_Toc184310277"/>
      <w:bookmarkEnd w:id="182"/>
      <w:bookmarkStart w:id="183" w:name="_Toc184313283"/>
      <w:bookmarkEnd w:id="183"/>
      <w:bookmarkStart w:id="184" w:name="_Toc184314471"/>
      <w:bookmarkEnd w:id="184"/>
      <w:bookmarkStart w:id="185" w:name="_Toc184310318"/>
      <w:bookmarkEnd w:id="185"/>
      <w:bookmarkStart w:id="186" w:name="_Toc184313285"/>
      <w:bookmarkEnd w:id="186"/>
      <w:bookmarkStart w:id="187" w:name="_Toc184312111"/>
      <w:bookmarkEnd w:id="187"/>
      <w:bookmarkStart w:id="188" w:name="_Toc184310341"/>
      <w:bookmarkEnd w:id="188"/>
      <w:bookmarkStart w:id="189" w:name="_Toc184310302"/>
      <w:bookmarkEnd w:id="189"/>
      <w:bookmarkStart w:id="190" w:name="_Toc184308066"/>
      <w:bookmarkEnd w:id="190"/>
      <w:bookmarkStart w:id="191" w:name="_Toc184314447"/>
      <w:bookmarkEnd w:id="191"/>
      <w:bookmarkStart w:id="192" w:name="_Toc184313259"/>
      <w:bookmarkEnd w:id="192"/>
      <w:bookmarkStart w:id="193" w:name="_Toc184312084"/>
      <w:bookmarkEnd w:id="193"/>
      <w:bookmarkStart w:id="194" w:name="_Toc184313262"/>
      <w:bookmarkEnd w:id="194"/>
      <w:bookmarkStart w:id="195" w:name="_Toc184308048"/>
      <w:bookmarkEnd w:id="195"/>
      <w:bookmarkStart w:id="196" w:name="_Toc184313244"/>
      <w:bookmarkEnd w:id="196"/>
      <w:bookmarkStart w:id="197" w:name="_Toc184308085"/>
      <w:bookmarkEnd w:id="197"/>
      <w:bookmarkStart w:id="198" w:name="_Toc184313254"/>
      <w:bookmarkEnd w:id="198"/>
      <w:bookmarkStart w:id="199" w:name="_Toc184312094"/>
      <w:bookmarkEnd w:id="199"/>
      <w:bookmarkStart w:id="200" w:name="_Toc184312136"/>
      <w:bookmarkEnd w:id="200"/>
      <w:bookmarkStart w:id="201" w:name="_Toc184313257"/>
      <w:bookmarkEnd w:id="201"/>
      <w:bookmarkStart w:id="202" w:name="_Toc184313241"/>
      <w:bookmarkEnd w:id="202"/>
      <w:bookmarkStart w:id="203" w:name="_Toc184310328"/>
      <w:bookmarkEnd w:id="203"/>
      <w:bookmarkStart w:id="204" w:name="_Toc184314480"/>
      <w:bookmarkEnd w:id="204"/>
      <w:bookmarkStart w:id="205" w:name="_Toc184308101"/>
      <w:bookmarkEnd w:id="205"/>
      <w:bookmarkStart w:id="206" w:name="_Toc184310323"/>
      <w:bookmarkEnd w:id="206"/>
      <w:bookmarkStart w:id="207" w:name="_Toc184308091"/>
      <w:bookmarkEnd w:id="207"/>
      <w:bookmarkStart w:id="208" w:name="_Toc184312139"/>
      <w:bookmarkEnd w:id="208"/>
      <w:bookmarkStart w:id="209" w:name="_Toc184313238"/>
      <w:bookmarkEnd w:id="209"/>
      <w:bookmarkStart w:id="210" w:name="_Toc184313296"/>
      <w:bookmarkEnd w:id="210"/>
      <w:bookmarkStart w:id="211" w:name="_Toc184308074"/>
      <w:bookmarkEnd w:id="211"/>
      <w:bookmarkStart w:id="212" w:name="_Toc184313294"/>
      <w:bookmarkEnd w:id="212"/>
      <w:bookmarkStart w:id="213" w:name="_Toc184310320"/>
      <w:bookmarkEnd w:id="213"/>
      <w:bookmarkStart w:id="214" w:name="_Toc184314472"/>
      <w:bookmarkEnd w:id="214"/>
      <w:bookmarkStart w:id="215" w:name="_Toc184312076"/>
      <w:bookmarkEnd w:id="215"/>
      <w:bookmarkStart w:id="216" w:name="_Toc184314475"/>
      <w:bookmarkEnd w:id="216"/>
      <w:bookmarkStart w:id="217" w:name="_Toc184314422"/>
      <w:bookmarkEnd w:id="217"/>
      <w:bookmarkStart w:id="218" w:name="_Toc184314461"/>
      <w:bookmarkEnd w:id="218"/>
      <w:bookmarkStart w:id="219" w:name="_Toc184310324"/>
      <w:bookmarkEnd w:id="219"/>
      <w:bookmarkStart w:id="220" w:name="_Toc184310337"/>
      <w:bookmarkEnd w:id="220"/>
      <w:bookmarkStart w:id="221" w:name="_Toc184314429"/>
      <w:bookmarkEnd w:id="221"/>
      <w:bookmarkStart w:id="222" w:name="_Toc184308107"/>
      <w:bookmarkEnd w:id="222"/>
      <w:bookmarkStart w:id="223" w:name="_Toc184310343"/>
      <w:bookmarkEnd w:id="223"/>
      <w:bookmarkStart w:id="224" w:name="_Toc184313289"/>
      <w:bookmarkEnd w:id="224"/>
      <w:bookmarkStart w:id="225" w:name="_Toc184313300"/>
      <w:bookmarkEnd w:id="225"/>
      <w:bookmarkStart w:id="226" w:name="_Toc184314421"/>
      <w:bookmarkEnd w:id="226"/>
      <w:bookmarkStart w:id="227" w:name="_Toc184312125"/>
      <w:bookmarkEnd w:id="227"/>
      <w:bookmarkStart w:id="228" w:name="_Toc184313291"/>
      <w:bookmarkEnd w:id="228"/>
      <w:bookmarkStart w:id="229" w:name="_Toc184313240"/>
      <w:bookmarkEnd w:id="229"/>
      <w:bookmarkStart w:id="230" w:name="_Toc184310296"/>
      <w:bookmarkEnd w:id="230"/>
      <w:bookmarkStart w:id="231" w:name="_Toc184308081"/>
      <w:bookmarkEnd w:id="231"/>
      <w:bookmarkStart w:id="232" w:name="_Toc184308097"/>
      <w:bookmarkEnd w:id="232"/>
      <w:bookmarkStart w:id="233" w:name="_Toc184314419"/>
      <w:bookmarkEnd w:id="233"/>
      <w:bookmarkStart w:id="234" w:name="_Toc184308040"/>
      <w:bookmarkEnd w:id="234"/>
      <w:bookmarkStart w:id="235" w:name="_Toc184313305"/>
      <w:bookmarkEnd w:id="235"/>
      <w:bookmarkStart w:id="236" w:name="_Toc184314458"/>
      <w:bookmarkEnd w:id="236"/>
      <w:bookmarkStart w:id="237" w:name="_Toc184312115"/>
      <w:bookmarkEnd w:id="237"/>
      <w:bookmarkStart w:id="238" w:name="_Toc184313282"/>
      <w:bookmarkEnd w:id="238"/>
      <w:bookmarkStart w:id="239" w:name="_Toc184308036"/>
      <w:bookmarkEnd w:id="239"/>
      <w:bookmarkStart w:id="240" w:name="_Toc184310292"/>
      <w:bookmarkEnd w:id="240"/>
      <w:bookmarkStart w:id="241" w:name="_Toc184314443"/>
      <w:bookmarkEnd w:id="241"/>
      <w:bookmarkStart w:id="242" w:name="_Toc184312091"/>
      <w:bookmarkEnd w:id="242"/>
      <w:bookmarkStart w:id="243" w:name="_Toc184314468"/>
      <w:bookmarkEnd w:id="243"/>
      <w:bookmarkStart w:id="244" w:name="_Toc184314459"/>
      <w:bookmarkEnd w:id="244"/>
      <w:bookmarkStart w:id="245" w:name="_Toc184314413"/>
      <w:bookmarkEnd w:id="245"/>
      <w:bookmarkStart w:id="246" w:name="_Toc184314411"/>
      <w:bookmarkEnd w:id="246"/>
      <w:bookmarkStart w:id="247" w:name="_Toc184308102"/>
      <w:bookmarkEnd w:id="247"/>
      <w:bookmarkStart w:id="248" w:name="_Toc184312116"/>
      <w:bookmarkEnd w:id="248"/>
      <w:bookmarkStart w:id="249" w:name="_Toc184310322"/>
      <w:bookmarkEnd w:id="249"/>
      <w:bookmarkStart w:id="250" w:name="_Toc184313268"/>
      <w:bookmarkEnd w:id="250"/>
      <w:bookmarkStart w:id="251" w:name="_Toc184308098"/>
      <w:bookmarkEnd w:id="251"/>
      <w:bookmarkStart w:id="252" w:name="_Toc184310312"/>
      <w:bookmarkEnd w:id="252"/>
      <w:bookmarkStart w:id="253" w:name="_Toc184312130"/>
      <w:bookmarkEnd w:id="253"/>
      <w:bookmarkStart w:id="254" w:name="_Toc184308088"/>
      <w:bookmarkEnd w:id="254"/>
      <w:bookmarkStart w:id="255" w:name="_Toc184314466"/>
      <w:bookmarkEnd w:id="255"/>
      <w:bookmarkStart w:id="256" w:name="_Toc184312075"/>
      <w:bookmarkEnd w:id="256"/>
      <w:bookmarkStart w:id="257" w:name="_Toc184312092"/>
      <w:bookmarkEnd w:id="257"/>
      <w:bookmarkStart w:id="258" w:name="_Toc184312082"/>
      <w:bookmarkEnd w:id="258"/>
      <w:bookmarkStart w:id="259" w:name="_Toc184313302"/>
      <w:bookmarkEnd w:id="259"/>
      <w:bookmarkStart w:id="260" w:name="_Toc184314479"/>
      <w:bookmarkEnd w:id="260"/>
      <w:bookmarkStart w:id="261" w:name="_Toc184314435"/>
      <w:bookmarkEnd w:id="261"/>
      <w:bookmarkStart w:id="262" w:name="_Toc184313267"/>
      <w:bookmarkEnd w:id="262"/>
      <w:bookmarkStart w:id="263" w:name="_Toc184312110"/>
      <w:bookmarkEnd w:id="263"/>
      <w:bookmarkStart w:id="264" w:name="_Toc184312107"/>
      <w:bookmarkEnd w:id="264"/>
      <w:bookmarkStart w:id="265" w:name="_Toc184308058"/>
      <w:bookmarkEnd w:id="265"/>
      <w:bookmarkStart w:id="266" w:name="_Toc184308043"/>
      <w:bookmarkEnd w:id="266"/>
      <w:bookmarkStart w:id="267" w:name="_Toc184314449"/>
      <w:bookmarkEnd w:id="267"/>
      <w:bookmarkStart w:id="268" w:name="_Toc184312077"/>
      <w:bookmarkEnd w:id="268"/>
      <w:bookmarkStart w:id="269" w:name="_Toc184312098"/>
      <w:bookmarkEnd w:id="269"/>
      <w:bookmarkStart w:id="270" w:name="_Toc184314438"/>
      <w:bookmarkEnd w:id="270"/>
      <w:bookmarkStart w:id="271" w:name="_Toc184310338"/>
      <w:bookmarkEnd w:id="271"/>
      <w:bookmarkStart w:id="272" w:name="_Toc184308052"/>
      <w:bookmarkEnd w:id="272"/>
      <w:bookmarkStart w:id="273" w:name="_Toc184312081"/>
      <w:bookmarkEnd w:id="273"/>
      <w:bookmarkStart w:id="274" w:name="_Toc184313299"/>
      <w:bookmarkEnd w:id="274"/>
      <w:bookmarkStart w:id="275" w:name="_Toc184313252"/>
      <w:bookmarkEnd w:id="275"/>
      <w:bookmarkStart w:id="276" w:name="_Toc184313273"/>
      <w:bookmarkEnd w:id="276"/>
      <w:bookmarkStart w:id="277" w:name="_Toc184310301"/>
      <w:bookmarkEnd w:id="277"/>
      <w:bookmarkStart w:id="278" w:name="_Toc184312080"/>
      <w:bookmarkEnd w:id="278"/>
      <w:bookmarkStart w:id="279" w:name="_Toc184312086"/>
      <w:bookmarkEnd w:id="279"/>
      <w:bookmarkStart w:id="280" w:name="_Toc184308087"/>
      <w:bookmarkEnd w:id="280"/>
      <w:bookmarkStart w:id="281" w:name="_Toc184313261"/>
      <w:bookmarkEnd w:id="281"/>
      <w:bookmarkStart w:id="282" w:name="_Toc184314415"/>
      <w:bookmarkEnd w:id="282"/>
      <w:bookmarkStart w:id="283" w:name="_Toc184308062"/>
      <w:bookmarkEnd w:id="283"/>
      <w:bookmarkStart w:id="284" w:name="_Toc184313286"/>
      <w:bookmarkEnd w:id="284"/>
      <w:bookmarkStart w:id="285" w:name="_Toc184312117"/>
      <w:bookmarkEnd w:id="285"/>
      <w:bookmarkStart w:id="286" w:name="_Toc184312114"/>
      <w:bookmarkEnd w:id="286"/>
      <w:bookmarkStart w:id="287" w:name="_Toc184314477"/>
      <w:bookmarkEnd w:id="287"/>
      <w:bookmarkStart w:id="288" w:name="_Toc184312129"/>
      <w:bookmarkEnd w:id="288"/>
      <w:bookmarkStart w:id="289" w:name="_Toc184310278"/>
      <w:bookmarkEnd w:id="289"/>
      <w:bookmarkStart w:id="290" w:name="_Toc184308104"/>
      <w:bookmarkEnd w:id="290"/>
      <w:bookmarkStart w:id="291" w:name="_Toc184313272"/>
      <w:bookmarkEnd w:id="291"/>
      <w:bookmarkStart w:id="292" w:name="_Toc184308090"/>
      <w:bookmarkEnd w:id="292"/>
      <w:bookmarkStart w:id="293" w:name="_Toc184314426"/>
      <w:bookmarkEnd w:id="293"/>
      <w:bookmarkStart w:id="294" w:name="_Toc184308100"/>
      <w:bookmarkEnd w:id="294"/>
      <w:bookmarkStart w:id="295" w:name="_Toc184314455"/>
      <w:bookmarkEnd w:id="295"/>
      <w:bookmarkStart w:id="296" w:name="_Toc184313250"/>
      <w:bookmarkEnd w:id="296"/>
      <w:bookmarkStart w:id="297" w:name="_Toc184308061"/>
      <w:bookmarkEnd w:id="297"/>
      <w:bookmarkStart w:id="298" w:name="_Toc184308080"/>
      <w:bookmarkEnd w:id="298"/>
      <w:bookmarkStart w:id="299" w:name="_Toc184308089"/>
      <w:bookmarkEnd w:id="299"/>
      <w:bookmarkStart w:id="300" w:name="_Toc184313258"/>
      <w:bookmarkEnd w:id="300"/>
      <w:bookmarkStart w:id="301" w:name="_Toc184310307"/>
      <w:bookmarkEnd w:id="301"/>
      <w:bookmarkStart w:id="302" w:name="_Toc184308037"/>
      <w:bookmarkEnd w:id="302"/>
      <w:bookmarkStart w:id="303" w:name="_Toc184312090"/>
      <w:bookmarkEnd w:id="303"/>
      <w:bookmarkStart w:id="304" w:name="_Toc184314478"/>
      <w:bookmarkEnd w:id="304"/>
      <w:bookmarkStart w:id="305" w:name="_Toc184313278"/>
      <w:bookmarkEnd w:id="305"/>
      <w:bookmarkStart w:id="306" w:name="_Toc184314482"/>
      <w:bookmarkEnd w:id="306"/>
      <w:bookmarkStart w:id="307" w:name="_Toc184312106"/>
      <w:bookmarkEnd w:id="307"/>
      <w:bookmarkStart w:id="308" w:name="_Toc184314452"/>
      <w:bookmarkEnd w:id="308"/>
      <w:bookmarkStart w:id="309" w:name="_Toc184310314"/>
      <w:bookmarkEnd w:id="309"/>
      <w:bookmarkStart w:id="310" w:name="_Toc184308055"/>
      <w:bookmarkEnd w:id="310"/>
      <w:bookmarkStart w:id="311" w:name="_Toc184313277"/>
      <w:bookmarkEnd w:id="311"/>
      <w:bookmarkStart w:id="312" w:name="_Toc184314434"/>
      <w:bookmarkEnd w:id="312"/>
      <w:bookmarkStart w:id="313" w:name="_Toc184314441"/>
      <w:bookmarkEnd w:id="313"/>
      <w:bookmarkStart w:id="314" w:name="_Toc184312135"/>
      <w:bookmarkEnd w:id="314"/>
      <w:bookmarkStart w:id="315" w:name="_Toc184313264"/>
      <w:bookmarkEnd w:id="315"/>
      <w:bookmarkStart w:id="316" w:name="_Toc184308108"/>
      <w:bookmarkEnd w:id="316"/>
      <w:bookmarkStart w:id="317" w:name="_Toc184310303"/>
      <w:bookmarkEnd w:id="317"/>
      <w:bookmarkStart w:id="318" w:name="_Toc184312070"/>
      <w:bookmarkEnd w:id="318"/>
      <w:bookmarkStart w:id="319" w:name="_Toc184310342"/>
      <w:bookmarkEnd w:id="319"/>
      <w:bookmarkStart w:id="320" w:name="_Toc184312112"/>
      <w:bookmarkEnd w:id="320"/>
      <w:bookmarkStart w:id="321" w:name="_Toc184310287"/>
      <w:bookmarkEnd w:id="321"/>
      <w:bookmarkStart w:id="322" w:name="_Toc184312103"/>
      <w:bookmarkEnd w:id="322"/>
      <w:bookmarkStart w:id="323" w:name="_Toc184314412"/>
      <w:bookmarkEnd w:id="323"/>
      <w:bookmarkStart w:id="324" w:name="_Toc184313288"/>
      <w:bookmarkEnd w:id="324"/>
      <w:bookmarkStart w:id="325" w:name="_Toc184310317"/>
      <w:bookmarkEnd w:id="325"/>
      <w:bookmarkStart w:id="326" w:name="_Toc184310290"/>
      <w:bookmarkEnd w:id="326"/>
      <w:bookmarkStart w:id="327" w:name="_Toc184308057"/>
      <w:bookmarkEnd w:id="327"/>
      <w:bookmarkStart w:id="328" w:name="_Toc184308092"/>
      <w:bookmarkEnd w:id="328"/>
      <w:bookmarkStart w:id="329" w:name="_Toc184314428"/>
      <w:bookmarkEnd w:id="329"/>
      <w:bookmarkStart w:id="330" w:name="_Toc184313293"/>
      <w:bookmarkEnd w:id="330"/>
      <w:bookmarkStart w:id="331" w:name="_Toc184314454"/>
      <w:bookmarkEnd w:id="331"/>
      <w:bookmarkStart w:id="332" w:name="_Toc184313247"/>
      <w:bookmarkEnd w:id="332"/>
      <w:bookmarkStart w:id="333" w:name="_Toc184308065"/>
      <w:bookmarkEnd w:id="333"/>
      <w:bookmarkStart w:id="334" w:name="_Toc184312126"/>
      <w:bookmarkEnd w:id="334"/>
      <w:bookmarkStart w:id="335" w:name="_Toc184313256"/>
      <w:bookmarkEnd w:id="335"/>
      <w:bookmarkStart w:id="336" w:name="_Toc184308064"/>
      <w:bookmarkEnd w:id="336"/>
      <w:bookmarkStart w:id="337" w:name="_Toc184310326"/>
      <w:bookmarkEnd w:id="337"/>
      <w:bookmarkStart w:id="338" w:name="_Toc184310336"/>
      <w:bookmarkEnd w:id="338"/>
      <w:bookmarkStart w:id="339" w:name="_Toc184310300"/>
      <w:bookmarkEnd w:id="339"/>
      <w:bookmarkStart w:id="340" w:name="_Toc184310327"/>
      <w:bookmarkEnd w:id="340"/>
      <w:bookmarkStart w:id="341" w:name="_Toc184310315"/>
      <w:bookmarkEnd w:id="341"/>
      <w:bookmarkStart w:id="342" w:name="_Toc184310276"/>
      <w:bookmarkEnd w:id="342"/>
      <w:bookmarkStart w:id="343" w:name="_Toc184314430"/>
      <w:bookmarkEnd w:id="343"/>
      <w:bookmarkStart w:id="344" w:name="_Toc184313279"/>
      <w:bookmarkEnd w:id="344"/>
      <w:bookmarkStart w:id="345" w:name="_Toc184308082"/>
      <w:bookmarkEnd w:id="345"/>
      <w:bookmarkStart w:id="346" w:name="_Toc184308038"/>
      <w:bookmarkEnd w:id="346"/>
      <w:bookmarkStart w:id="347" w:name="_Toc184313243"/>
      <w:bookmarkEnd w:id="347"/>
      <w:bookmarkStart w:id="348" w:name="_Toc184313276"/>
      <w:bookmarkEnd w:id="348"/>
      <w:bookmarkStart w:id="349" w:name="_Toc184312127"/>
      <w:bookmarkEnd w:id="349"/>
      <w:bookmarkStart w:id="350" w:name="_Toc184310344"/>
      <w:bookmarkEnd w:id="350"/>
      <w:bookmarkStart w:id="351" w:name="_Toc184314467"/>
      <w:bookmarkEnd w:id="351"/>
      <w:bookmarkStart w:id="352" w:name="_Toc184313270"/>
      <w:bookmarkEnd w:id="352"/>
      <w:bookmarkStart w:id="353" w:name="_Toc184310273"/>
      <w:bookmarkEnd w:id="353"/>
      <w:bookmarkStart w:id="354" w:name="_Toc184314417"/>
      <w:bookmarkEnd w:id="354"/>
      <w:bookmarkStart w:id="355" w:name="_Toc184314410"/>
      <w:bookmarkEnd w:id="355"/>
      <w:bookmarkStart w:id="356" w:name="_Toc184310340"/>
      <w:bookmarkEnd w:id="356"/>
      <w:bookmarkStart w:id="357" w:name="_Toc184313239"/>
      <w:bookmarkEnd w:id="357"/>
      <w:bookmarkStart w:id="358" w:name="_Toc184313251"/>
      <w:bookmarkEnd w:id="358"/>
      <w:bookmarkStart w:id="359" w:name="_Toc184308105"/>
      <w:bookmarkEnd w:id="359"/>
      <w:bookmarkStart w:id="360" w:name="_Toc184314474"/>
      <w:bookmarkEnd w:id="360"/>
      <w:bookmarkStart w:id="361" w:name="_Toc184312101"/>
      <w:bookmarkEnd w:id="361"/>
      <w:bookmarkStart w:id="362" w:name="_Toc184308051"/>
      <w:bookmarkEnd w:id="362"/>
      <w:bookmarkStart w:id="363" w:name="_Toc184310298"/>
      <w:bookmarkEnd w:id="363"/>
      <w:bookmarkStart w:id="364" w:name="_Toc184308078"/>
      <w:bookmarkEnd w:id="364"/>
      <w:bookmarkStart w:id="365" w:name="_Toc184312099"/>
      <w:bookmarkEnd w:id="365"/>
      <w:bookmarkStart w:id="366" w:name="_Toc184313287"/>
      <w:bookmarkEnd w:id="366"/>
      <w:bookmarkStart w:id="367" w:name="_Toc184313265"/>
      <w:bookmarkEnd w:id="367"/>
      <w:bookmarkStart w:id="368" w:name="_Toc184310316"/>
      <w:bookmarkEnd w:id="368"/>
      <w:bookmarkStart w:id="369" w:name="_Toc184313248"/>
      <w:bookmarkEnd w:id="369"/>
      <w:bookmarkStart w:id="370" w:name="_Toc184313307"/>
      <w:bookmarkEnd w:id="370"/>
      <w:bookmarkStart w:id="371" w:name="_Toc184314425"/>
      <w:bookmarkEnd w:id="371"/>
      <w:bookmarkStart w:id="372" w:name="_Toc184308075"/>
      <w:bookmarkEnd w:id="372"/>
      <w:bookmarkStart w:id="373" w:name="_Toc184310291"/>
      <w:bookmarkEnd w:id="373"/>
      <w:bookmarkStart w:id="374" w:name="_Toc184313284"/>
      <w:bookmarkEnd w:id="374"/>
      <w:bookmarkStart w:id="375" w:name="_Toc184313274"/>
      <w:bookmarkEnd w:id="375"/>
      <w:bookmarkStart w:id="376" w:name="_Toc184314463"/>
      <w:bookmarkEnd w:id="376"/>
      <w:bookmarkStart w:id="377" w:name="_Toc184308046"/>
      <w:bookmarkEnd w:id="377"/>
      <w:bookmarkStart w:id="378" w:name="_Toc184313306"/>
      <w:bookmarkEnd w:id="378"/>
      <w:bookmarkStart w:id="379" w:name="_Toc184308070"/>
      <w:bookmarkEnd w:id="379"/>
      <w:bookmarkStart w:id="380" w:name="_Toc184310283"/>
      <w:bookmarkEnd w:id="380"/>
      <w:bookmarkStart w:id="381" w:name="_Toc184314470"/>
      <w:bookmarkEnd w:id="381"/>
      <w:bookmarkStart w:id="382" w:name="_Toc184313263"/>
      <w:bookmarkEnd w:id="382"/>
      <w:bookmarkStart w:id="383" w:name="_Toc184310310"/>
      <w:bookmarkEnd w:id="383"/>
      <w:bookmarkStart w:id="384" w:name="_Toc184308056"/>
      <w:bookmarkEnd w:id="384"/>
      <w:bookmarkStart w:id="385" w:name="_Toc184312069"/>
      <w:bookmarkEnd w:id="385"/>
      <w:bookmarkStart w:id="386" w:name="_Toc184308086"/>
      <w:bookmarkEnd w:id="386"/>
      <w:bookmarkStart w:id="387" w:name="_Toc184313290"/>
      <w:bookmarkEnd w:id="387"/>
      <w:bookmarkStart w:id="388" w:name="_Toc184313281"/>
      <w:bookmarkEnd w:id="388"/>
      <w:bookmarkStart w:id="389" w:name="_Toc184308079"/>
      <w:bookmarkEnd w:id="389"/>
      <w:bookmarkStart w:id="390" w:name="_Toc184308045"/>
      <w:bookmarkEnd w:id="390"/>
      <w:bookmarkStart w:id="391" w:name="_Toc184313298"/>
      <w:bookmarkEnd w:id="391"/>
      <w:bookmarkStart w:id="392" w:name="_Toc184308103"/>
      <w:bookmarkEnd w:id="392"/>
      <w:bookmarkStart w:id="393" w:name="_Toc184312093"/>
      <w:bookmarkEnd w:id="393"/>
      <w:bookmarkStart w:id="394" w:name="_Toc184308099"/>
      <w:bookmarkEnd w:id="394"/>
      <w:bookmarkStart w:id="395" w:name="_Toc184313271"/>
      <w:bookmarkEnd w:id="395"/>
      <w:bookmarkStart w:id="396" w:name="_Toc184314476"/>
      <w:bookmarkEnd w:id="396"/>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w:t>
      </w:r>
      <w:r>
        <w:rPr>
          <w:rFonts w:hint="eastAsia" w:ascii="宋体" w:hAnsi="宋体" w:cs="宋体"/>
          <w:color w:val="auto"/>
          <w:kern w:val="0"/>
          <w:sz w:val="24"/>
          <w:lang w:eastAsia="zh-CN"/>
        </w:rPr>
        <w:t>（</w:t>
      </w:r>
      <w:r>
        <w:rPr>
          <w:rFonts w:hint="eastAsia" w:ascii="宋体" w:hAnsi="宋体" w:cs="宋体"/>
          <w:b/>
          <w:bCs/>
          <w:color w:val="auto"/>
          <w:kern w:val="0"/>
          <w:sz w:val="24"/>
          <w:lang w:val="en-US" w:eastAsia="zh-CN"/>
        </w:rPr>
        <w:t>单价和总价</w:t>
      </w:r>
      <w:r>
        <w:rPr>
          <w:rFonts w:hint="eastAsia" w:ascii="宋体" w:hAnsi="宋体" w:cs="宋体"/>
          <w:color w:val="auto"/>
          <w:kern w:val="0"/>
          <w:sz w:val="24"/>
          <w:lang w:eastAsia="zh-CN"/>
        </w:rPr>
        <w:t>）</w:t>
      </w:r>
      <w:r>
        <w:rPr>
          <w:rFonts w:hint="eastAsia" w:ascii="宋体" w:hAnsi="宋体" w:cs="宋体"/>
          <w:color w:val="auto"/>
          <w:kern w:val="0"/>
          <w:sz w:val="24"/>
        </w:rPr>
        <w:t>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w:t>
      </w:r>
      <w:r>
        <w:rPr>
          <w:rFonts w:hint="eastAsia" w:ascii="宋体" w:hAnsi="宋体" w:cs="宋体"/>
          <w:color w:val="auto"/>
          <w:kern w:val="0"/>
          <w:sz w:val="24"/>
          <w:highlight w:val="none"/>
        </w:rPr>
        <w:t>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w:t>
      </w:r>
      <w:r>
        <w:rPr>
          <w:rFonts w:hint="eastAsia" w:cs="仿宋" w:asciiTheme="minorEastAsia" w:hAnsiTheme="minorEastAsia"/>
          <w:color w:val="auto"/>
          <w:sz w:val="24"/>
        </w:rPr>
        <w:t>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64006271">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688EBC88">
      <w:pPr>
        <w:spacing w:line="480" w:lineRule="auto"/>
        <w:jc w:val="center"/>
        <w:rPr>
          <w:rFonts w:ascii="宋体" w:hAnsi="宋体" w:cs="宋体"/>
          <w:b/>
          <w:sz w:val="28"/>
          <w:szCs w:val="28"/>
        </w:rPr>
      </w:pPr>
    </w:p>
    <w:p w14:paraId="59ED4371">
      <w:pPr>
        <w:spacing w:line="480" w:lineRule="auto"/>
        <w:jc w:val="center"/>
        <w:rPr>
          <w:rFonts w:ascii="宋体" w:hAnsi="宋体" w:cs="宋体"/>
          <w:b/>
          <w:sz w:val="24"/>
        </w:rPr>
      </w:pPr>
    </w:p>
    <w:p w14:paraId="7C8A6ED3">
      <w:pPr>
        <w:spacing w:line="480" w:lineRule="auto"/>
        <w:jc w:val="center"/>
        <w:rPr>
          <w:rFonts w:ascii="宋体" w:hAnsi="宋体" w:cs="宋体"/>
          <w:b/>
          <w:sz w:val="24"/>
        </w:rPr>
      </w:pPr>
    </w:p>
    <w:p w14:paraId="4FF75C28">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10CAC1F">
      <w:pPr>
        <w:spacing w:before="120" w:line="22" w:lineRule="atLeast"/>
        <w:rPr>
          <w:rFonts w:ascii="宋体" w:hAnsi="宋体" w:cs="宋体"/>
          <w:sz w:val="24"/>
        </w:rPr>
      </w:pPr>
    </w:p>
    <w:p w14:paraId="1FE2EA58">
      <w:pPr>
        <w:pStyle w:val="3"/>
        <w:tabs>
          <w:tab w:val="left" w:pos="432"/>
        </w:tabs>
        <w:rPr>
          <w:rFonts w:hint="default" w:eastAsia="黑体"/>
          <w:lang w:val="en-US" w:eastAsia="zh-CN"/>
        </w:rPr>
      </w:pPr>
      <w:r>
        <w:rPr>
          <w:rFonts w:hint="eastAsia"/>
          <w:lang w:val="en-US" w:eastAsia="zh-CN"/>
        </w:rPr>
        <w:t xml:space="preserve">              </w:t>
      </w:r>
    </w:p>
    <w:p w14:paraId="2B1EE14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2025年-2026年机械非标件委外加工服务（第二次重新询价）采购项目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DD6DB85">
      <w:pPr>
        <w:rPr>
          <w:rFonts w:ascii="宋体" w:hAnsi="宋体" w:cs="宋体"/>
          <w:sz w:val="24"/>
        </w:rPr>
      </w:pPr>
    </w:p>
    <w:p w14:paraId="191D219A">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53827B46">
      <w:pPr>
        <w:spacing w:before="120" w:line="22" w:lineRule="atLeast"/>
        <w:rPr>
          <w:rFonts w:ascii="宋体" w:hAnsi="宋体" w:cs="宋体"/>
          <w:sz w:val="24"/>
        </w:rPr>
      </w:pPr>
    </w:p>
    <w:p w14:paraId="03BC288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DE2EC9">
      <w:pPr>
        <w:spacing w:before="120" w:line="22" w:lineRule="atLeast"/>
        <w:rPr>
          <w:rFonts w:ascii="宋体" w:hAnsi="宋体" w:cs="宋体"/>
          <w:sz w:val="24"/>
        </w:rPr>
      </w:pPr>
    </w:p>
    <w:p w14:paraId="1DC962B2">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B18405F">
      <w:pPr>
        <w:spacing w:before="120" w:line="22" w:lineRule="atLeast"/>
        <w:rPr>
          <w:rFonts w:ascii="宋体" w:hAnsi="宋体" w:cs="宋体"/>
          <w:sz w:val="24"/>
        </w:rPr>
      </w:pPr>
    </w:p>
    <w:p w14:paraId="3D837869">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2D239EF">
      <w:pPr>
        <w:pStyle w:val="14"/>
        <w:ind w:firstLine="214"/>
        <w:jc w:val="center"/>
        <w:rPr>
          <w:rFonts w:hint="eastAsia"/>
          <w:b/>
          <w:bCs/>
        </w:rPr>
      </w:pPr>
      <w:r>
        <w:rPr>
          <w:rFonts w:hint="eastAsia"/>
          <w:b/>
          <w:bCs/>
        </w:rPr>
        <w:t>目录</w:t>
      </w:r>
    </w:p>
    <w:p w14:paraId="7F8F76DA">
      <w:pPr>
        <w:pStyle w:val="7"/>
        <w:spacing w:line="360" w:lineRule="auto"/>
        <w:ind w:firstLine="240" w:firstLineChars="100"/>
      </w:pPr>
      <w:r>
        <w:rPr>
          <w:rFonts w:hint="eastAsia"/>
        </w:rPr>
        <w:t>第一章 合同书  …………………………………………………………（页码）</w:t>
      </w:r>
    </w:p>
    <w:p w14:paraId="34D3ADCE">
      <w:pPr>
        <w:pStyle w:val="7"/>
        <w:spacing w:line="360" w:lineRule="auto"/>
        <w:ind w:firstLine="240" w:firstLineChars="100"/>
        <w:rPr>
          <w:rFonts w:hint="eastAsia"/>
        </w:rPr>
      </w:pPr>
      <w:r>
        <w:rPr>
          <w:rFonts w:hint="eastAsia"/>
        </w:rPr>
        <w:t>第二章 合同一般条款……………………………………………………（页码）</w:t>
      </w:r>
    </w:p>
    <w:p w14:paraId="4D8B25E8">
      <w:pPr>
        <w:pStyle w:val="7"/>
        <w:spacing w:line="360" w:lineRule="auto"/>
        <w:ind w:firstLine="240" w:firstLineChars="100"/>
        <w:rPr>
          <w:rFonts w:hint="eastAsia"/>
        </w:rPr>
      </w:pPr>
      <w:r>
        <w:rPr>
          <w:rFonts w:hint="eastAsia"/>
        </w:rPr>
        <w:t>第三章 安全协议…………………………………………………………（页码）</w:t>
      </w:r>
    </w:p>
    <w:p w14:paraId="6693706A">
      <w:pPr>
        <w:pStyle w:val="7"/>
        <w:spacing w:line="360" w:lineRule="auto"/>
        <w:ind w:firstLine="240" w:firstLineChars="100"/>
      </w:pPr>
      <w:r>
        <w:rPr>
          <w:rFonts w:hint="eastAsia"/>
        </w:rPr>
        <w:t>第四章 廉洁协议…………………………………………………………（页码）</w:t>
      </w:r>
    </w:p>
    <w:p w14:paraId="562F961E">
      <w:pPr>
        <w:pStyle w:val="7"/>
        <w:spacing w:line="360" w:lineRule="auto"/>
        <w:ind w:firstLine="240" w:firstLineChars="100"/>
      </w:pPr>
      <w:r>
        <w:rPr>
          <w:rFonts w:hint="eastAsia"/>
        </w:rPr>
        <w:t>第</w:t>
      </w:r>
      <w:r>
        <w:rPr>
          <w:rFonts w:hint="eastAsia"/>
          <w:lang w:val="en-US" w:eastAsia="zh-CN"/>
        </w:rPr>
        <w:t>五</w:t>
      </w:r>
      <w:r>
        <w:rPr>
          <w:rFonts w:hint="eastAsia"/>
        </w:rPr>
        <w:t xml:space="preserve">章 </w:t>
      </w:r>
      <w:r>
        <w:rPr>
          <w:rFonts w:hint="eastAsia"/>
          <w:lang w:val="en-US" w:eastAsia="zh-CN"/>
        </w:rPr>
        <w:t>技术要求</w:t>
      </w:r>
      <w:r>
        <w:rPr>
          <w:rFonts w:hint="eastAsia"/>
        </w:rPr>
        <w:t>…………………………………………………………（页码）</w:t>
      </w:r>
    </w:p>
    <w:p w14:paraId="3E4F84C8">
      <w:pPr>
        <w:spacing w:line="360" w:lineRule="auto"/>
        <w:ind w:firstLine="480" w:firstLineChars="200"/>
        <w:rPr>
          <w:rFonts w:ascii="宋体" w:hAnsi="宋体"/>
          <w:sz w:val="24"/>
          <w:u w:val="single"/>
          <w:lang w:val="zh-CN"/>
        </w:rPr>
      </w:pPr>
    </w:p>
    <w:p w14:paraId="43BA84B2">
      <w:pPr>
        <w:spacing w:line="360" w:lineRule="auto"/>
        <w:ind w:firstLine="480" w:firstLineChars="200"/>
        <w:rPr>
          <w:rFonts w:ascii="宋体" w:hAnsi="宋体"/>
          <w:sz w:val="24"/>
          <w:u w:val="single"/>
          <w:lang w:val="zh-CN"/>
        </w:rPr>
      </w:pPr>
    </w:p>
    <w:p w14:paraId="1E9D664D">
      <w:pPr>
        <w:spacing w:line="360" w:lineRule="auto"/>
        <w:ind w:firstLine="480" w:firstLineChars="200"/>
        <w:rPr>
          <w:rFonts w:ascii="宋体" w:hAnsi="宋体"/>
          <w:sz w:val="24"/>
          <w:u w:val="single"/>
          <w:lang w:val="zh-CN"/>
        </w:rPr>
      </w:pPr>
    </w:p>
    <w:p w14:paraId="7523D679">
      <w:pPr>
        <w:spacing w:line="360" w:lineRule="auto"/>
        <w:ind w:firstLine="480" w:firstLineChars="200"/>
        <w:rPr>
          <w:rFonts w:ascii="宋体" w:hAnsi="宋体"/>
          <w:sz w:val="24"/>
          <w:u w:val="single"/>
          <w:lang w:val="zh-CN"/>
        </w:rPr>
      </w:pPr>
    </w:p>
    <w:p w14:paraId="29DD57E3">
      <w:pPr>
        <w:spacing w:line="360" w:lineRule="auto"/>
        <w:ind w:firstLine="480" w:firstLineChars="200"/>
        <w:rPr>
          <w:rFonts w:ascii="宋体" w:hAnsi="宋体"/>
          <w:sz w:val="24"/>
          <w:u w:val="single"/>
          <w:lang w:val="zh-CN"/>
        </w:rPr>
      </w:pPr>
    </w:p>
    <w:p w14:paraId="6E188E92">
      <w:pPr>
        <w:spacing w:line="360" w:lineRule="auto"/>
        <w:ind w:firstLine="480" w:firstLineChars="200"/>
        <w:rPr>
          <w:rFonts w:ascii="宋体" w:hAnsi="宋体"/>
          <w:sz w:val="24"/>
          <w:u w:val="single"/>
          <w:lang w:val="zh-CN"/>
        </w:rPr>
      </w:pPr>
    </w:p>
    <w:p w14:paraId="541401DF">
      <w:pPr>
        <w:spacing w:line="360" w:lineRule="auto"/>
        <w:ind w:firstLine="480" w:firstLineChars="200"/>
        <w:rPr>
          <w:rFonts w:ascii="宋体" w:hAnsi="宋体"/>
          <w:sz w:val="24"/>
          <w:u w:val="single"/>
          <w:lang w:val="zh-CN"/>
        </w:rPr>
      </w:pPr>
    </w:p>
    <w:p w14:paraId="40F2DDFF">
      <w:pPr>
        <w:spacing w:line="360" w:lineRule="auto"/>
        <w:ind w:firstLine="480" w:firstLineChars="200"/>
        <w:rPr>
          <w:rFonts w:ascii="宋体" w:hAnsi="宋体"/>
          <w:sz w:val="24"/>
          <w:u w:val="single"/>
          <w:lang w:val="zh-CN"/>
        </w:rPr>
      </w:pPr>
    </w:p>
    <w:p w14:paraId="5D0BF714">
      <w:pPr>
        <w:spacing w:line="360" w:lineRule="auto"/>
        <w:ind w:firstLine="480" w:firstLineChars="200"/>
        <w:rPr>
          <w:rFonts w:ascii="宋体" w:hAnsi="宋体"/>
          <w:sz w:val="24"/>
          <w:u w:val="single"/>
          <w:lang w:val="zh-CN"/>
        </w:rPr>
      </w:pPr>
    </w:p>
    <w:p w14:paraId="1BA052A2">
      <w:pPr>
        <w:spacing w:line="360" w:lineRule="auto"/>
        <w:ind w:firstLine="480" w:firstLineChars="200"/>
        <w:rPr>
          <w:rFonts w:ascii="宋体" w:hAnsi="宋体"/>
          <w:sz w:val="24"/>
          <w:u w:val="single"/>
          <w:lang w:val="zh-CN"/>
        </w:rPr>
      </w:pPr>
    </w:p>
    <w:p w14:paraId="2DA26C78">
      <w:pPr>
        <w:spacing w:line="360" w:lineRule="auto"/>
        <w:ind w:firstLine="480" w:firstLineChars="200"/>
        <w:rPr>
          <w:rFonts w:ascii="宋体" w:hAnsi="宋体"/>
          <w:sz w:val="24"/>
          <w:u w:val="single"/>
          <w:lang w:val="zh-CN"/>
        </w:rPr>
      </w:pPr>
    </w:p>
    <w:p w14:paraId="6A43B703">
      <w:pPr>
        <w:spacing w:line="360" w:lineRule="auto"/>
        <w:ind w:firstLine="480" w:firstLineChars="200"/>
        <w:rPr>
          <w:rFonts w:ascii="宋体" w:hAnsi="宋体"/>
          <w:sz w:val="24"/>
          <w:u w:val="single"/>
          <w:lang w:val="zh-CN"/>
        </w:rPr>
      </w:pPr>
    </w:p>
    <w:p w14:paraId="1A0280E6">
      <w:pPr>
        <w:spacing w:line="360" w:lineRule="auto"/>
        <w:ind w:firstLine="480" w:firstLineChars="200"/>
        <w:rPr>
          <w:rFonts w:ascii="宋体" w:hAnsi="宋体"/>
          <w:sz w:val="24"/>
          <w:u w:val="single"/>
          <w:lang w:val="zh-CN"/>
        </w:rPr>
      </w:pPr>
    </w:p>
    <w:p w14:paraId="5028225A">
      <w:pPr>
        <w:spacing w:line="360" w:lineRule="auto"/>
        <w:ind w:firstLine="480" w:firstLineChars="200"/>
        <w:rPr>
          <w:rFonts w:ascii="宋体" w:hAnsi="宋体"/>
          <w:sz w:val="24"/>
          <w:u w:val="single"/>
          <w:lang w:val="zh-CN"/>
        </w:rPr>
      </w:pPr>
    </w:p>
    <w:p w14:paraId="634F2604">
      <w:pPr>
        <w:spacing w:line="360" w:lineRule="auto"/>
        <w:ind w:firstLine="480" w:firstLineChars="200"/>
        <w:rPr>
          <w:rFonts w:ascii="宋体" w:hAnsi="宋体"/>
          <w:sz w:val="24"/>
          <w:u w:val="single"/>
          <w:lang w:val="zh-CN"/>
        </w:rPr>
      </w:pPr>
    </w:p>
    <w:p w14:paraId="0CEA81BF">
      <w:pPr>
        <w:spacing w:line="360" w:lineRule="auto"/>
        <w:ind w:firstLine="480" w:firstLineChars="200"/>
        <w:rPr>
          <w:rFonts w:ascii="宋体" w:hAnsi="宋体"/>
          <w:sz w:val="24"/>
          <w:u w:val="single"/>
          <w:lang w:val="zh-CN"/>
        </w:rPr>
      </w:pPr>
    </w:p>
    <w:p w14:paraId="1C2B3F85">
      <w:pPr>
        <w:spacing w:line="360" w:lineRule="auto"/>
        <w:ind w:firstLine="480" w:firstLineChars="200"/>
        <w:rPr>
          <w:rFonts w:ascii="宋体" w:hAnsi="宋体"/>
          <w:sz w:val="24"/>
          <w:u w:val="single"/>
          <w:lang w:val="zh-CN"/>
        </w:rPr>
      </w:pPr>
    </w:p>
    <w:p w14:paraId="78E95967">
      <w:pPr>
        <w:spacing w:line="360" w:lineRule="auto"/>
        <w:ind w:firstLine="480" w:firstLineChars="200"/>
        <w:rPr>
          <w:rFonts w:ascii="宋体" w:hAnsi="宋体"/>
          <w:sz w:val="24"/>
          <w:u w:val="single"/>
          <w:lang w:val="zh-CN"/>
        </w:rPr>
      </w:pPr>
    </w:p>
    <w:p w14:paraId="093EFC6D">
      <w:pPr>
        <w:spacing w:line="360" w:lineRule="auto"/>
        <w:ind w:firstLine="480" w:firstLineChars="200"/>
        <w:rPr>
          <w:rFonts w:ascii="宋体" w:hAnsi="宋体"/>
          <w:sz w:val="24"/>
          <w:u w:val="single"/>
          <w:lang w:val="zh-CN"/>
        </w:rPr>
      </w:pPr>
    </w:p>
    <w:p w14:paraId="7C3271D7">
      <w:pPr>
        <w:spacing w:line="360" w:lineRule="auto"/>
        <w:ind w:firstLine="480" w:firstLineChars="200"/>
        <w:rPr>
          <w:rFonts w:ascii="宋体" w:hAnsi="宋体"/>
          <w:sz w:val="24"/>
          <w:u w:val="single"/>
          <w:lang w:val="zh-CN"/>
        </w:rPr>
      </w:pPr>
    </w:p>
    <w:p w14:paraId="48C4DB8D">
      <w:pPr>
        <w:spacing w:line="360" w:lineRule="auto"/>
        <w:ind w:firstLine="480" w:firstLineChars="200"/>
        <w:rPr>
          <w:rFonts w:ascii="宋体" w:hAnsi="宋体"/>
          <w:sz w:val="24"/>
          <w:u w:val="single"/>
          <w:lang w:val="zh-CN"/>
        </w:rPr>
      </w:pPr>
    </w:p>
    <w:p w14:paraId="61A73440">
      <w:pPr>
        <w:spacing w:line="360" w:lineRule="auto"/>
        <w:ind w:firstLine="480" w:firstLineChars="200"/>
        <w:rPr>
          <w:rFonts w:ascii="宋体" w:hAnsi="宋体"/>
          <w:sz w:val="24"/>
          <w:u w:val="single"/>
          <w:lang w:val="zh-CN"/>
        </w:rPr>
      </w:pPr>
    </w:p>
    <w:p w14:paraId="75B2A770">
      <w:pPr>
        <w:pStyle w:val="6"/>
        <w:rPr>
          <w:lang w:val="zh-CN"/>
        </w:rPr>
      </w:pPr>
    </w:p>
    <w:p w14:paraId="01E7EDD4">
      <w:pPr>
        <w:spacing w:line="360" w:lineRule="auto"/>
        <w:ind w:firstLine="480" w:firstLineChars="200"/>
        <w:rPr>
          <w:rFonts w:ascii="宋体" w:hAnsi="宋体"/>
          <w:sz w:val="24"/>
          <w:u w:val="single"/>
          <w:lang w:val="zh-CN"/>
        </w:rPr>
      </w:pPr>
    </w:p>
    <w:p w14:paraId="5A8F8C30">
      <w:pPr>
        <w:spacing w:line="360" w:lineRule="auto"/>
        <w:ind w:firstLine="480" w:firstLineChars="200"/>
        <w:rPr>
          <w:rFonts w:ascii="宋体" w:hAnsi="宋体"/>
          <w:sz w:val="24"/>
          <w:u w:val="single"/>
          <w:lang w:val="zh-CN"/>
        </w:rPr>
      </w:pPr>
    </w:p>
    <w:p w14:paraId="0025133F">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125FF4B2">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2023</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rPr>
        <w:t>12</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rPr>
        <w:t>12</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lang w:eastAsia="zh-CN"/>
        </w:rPr>
        <w:t xml:space="preserve"> 2025年-2026年机械非标件委外加工服务（第二次重新询价）采购项目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C65041E">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14:paraId="445B35FC">
      <w:pPr>
        <w:spacing w:line="360" w:lineRule="auto"/>
        <w:ind w:firstLine="482" w:firstLineChars="200"/>
        <w:outlineLvl w:val="0"/>
        <w:rPr>
          <w:rFonts w:ascii="宋体" w:hAnsi="宋体"/>
          <w:sz w:val="24"/>
        </w:rPr>
      </w:pPr>
      <w:bookmarkStart w:id="397" w:name="_Toc22967"/>
      <w:bookmarkStart w:id="398" w:name="_Toc28855"/>
      <w:bookmarkStart w:id="399" w:name="_Toc15367"/>
      <w:bookmarkStart w:id="400" w:name="_Toc19273"/>
      <w:bookmarkStart w:id="401"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97"/>
      <w:bookmarkEnd w:id="398"/>
      <w:bookmarkEnd w:id="399"/>
      <w:bookmarkEnd w:id="400"/>
      <w:bookmarkEnd w:id="401"/>
    </w:p>
    <w:p w14:paraId="32CABDAA">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F8C834A">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14947246">
      <w:pPr>
        <w:spacing w:line="360" w:lineRule="auto"/>
        <w:ind w:firstLine="480" w:firstLineChars="200"/>
        <w:rPr>
          <w:rFonts w:ascii="宋体" w:hAnsi="宋体"/>
          <w:sz w:val="24"/>
        </w:rPr>
      </w:pPr>
      <w:r>
        <w:rPr>
          <w:rFonts w:hint="eastAsia" w:ascii="宋体" w:hAnsi="宋体"/>
          <w:sz w:val="24"/>
        </w:rPr>
        <w:t>2.中标或者成交通知书；</w:t>
      </w:r>
    </w:p>
    <w:p w14:paraId="0BBD5A2C">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26C674A4">
      <w:pPr>
        <w:spacing w:line="360" w:lineRule="auto"/>
        <w:ind w:firstLine="480" w:firstLineChars="200"/>
        <w:rPr>
          <w:rFonts w:ascii="宋体" w:hAnsi="宋体"/>
          <w:sz w:val="24"/>
        </w:rPr>
      </w:pPr>
      <w:r>
        <w:rPr>
          <w:rFonts w:hint="eastAsia" w:ascii="宋体" w:hAnsi="宋体"/>
          <w:sz w:val="24"/>
        </w:rPr>
        <w:t>4.采购文件（含澄清或者修改文件）；</w:t>
      </w:r>
    </w:p>
    <w:p w14:paraId="336932E0">
      <w:pPr>
        <w:spacing w:line="360" w:lineRule="auto"/>
        <w:ind w:firstLine="480" w:firstLineChars="200"/>
        <w:rPr>
          <w:rFonts w:ascii="宋体" w:hAnsi="宋体"/>
          <w:sz w:val="24"/>
        </w:rPr>
      </w:pPr>
      <w:r>
        <w:rPr>
          <w:rFonts w:hint="eastAsia" w:ascii="宋体" w:hAnsi="宋体"/>
          <w:sz w:val="24"/>
        </w:rPr>
        <w:t>5.其他相关采购文件。</w:t>
      </w:r>
    </w:p>
    <w:p w14:paraId="789AF45B">
      <w:pPr>
        <w:spacing w:line="360" w:lineRule="auto"/>
        <w:ind w:firstLine="482" w:firstLineChars="200"/>
        <w:outlineLvl w:val="0"/>
        <w:rPr>
          <w:rFonts w:hint="eastAsia" w:ascii="宋体" w:hAnsi="宋体"/>
          <w:b/>
          <w:sz w:val="24"/>
        </w:rPr>
      </w:pPr>
      <w:bookmarkStart w:id="402" w:name="_Toc2918"/>
      <w:bookmarkStart w:id="403" w:name="_Toc6773"/>
      <w:bookmarkStart w:id="404" w:name="_Toc18585"/>
      <w:bookmarkStart w:id="405" w:name="_Toc22185"/>
      <w:bookmarkStart w:id="406" w:name="_Toc6311"/>
      <w:r>
        <w:rPr>
          <w:rFonts w:hint="eastAsia" w:ascii="宋体" w:hAnsi="宋体"/>
          <w:b/>
          <w:sz w:val="24"/>
        </w:rPr>
        <w:t>二、合同标的</w:t>
      </w:r>
      <w:bookmarkEnd w:id="402"/>
      <w:bookmarkEnd w:id="403"/>
      <w:bookmarkEnd w:id="404"/>
      <w:bookmarkEnd w:id="405"/>
      <w:bookmarkEnd w:id="406"/>
      <w:r>
        <w:rPr>
          <w:rFonts w:hint="eastAsia" w:ascii="宋体" w:hAnsi="宋体"/>
          <w:b/>
          <w:sz w:val="24"/>
        </w:rPr>
        <w:t>及价款</w:t>
      </w:r>
    </w:p>
    <w:p w14:paraId="3CCC1345">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材料费</w:t>
      </w:r>
      <w:r>
        <w:rPr>
          <w:rFonts w:hint="eastAsia" w:ascii="宋体" w:hAnsi="宋体"/>
          <w:sz w:val="24"/>
          <w:u w:val="single"/>
          <w:lang w:val="en-US" w:eastAsia="zh-CN"/>
        </w:rPr>
        <w:t xml:space="preserve">     </w:t>
      </w:r>
      <w:r>
        <w:rPr>
          <w:rFonts w:hint="eastAsia" w:ascii="宋体" w:hAnsi="宋体"/>
          <w:sz w:val="24"/>
          <w:lang w:val="en-US" w:eastAsia="zh-CN"/>
        </w:rPr>
        <w:t>元，税率</w:t>
      </w:r>
      <w:r>
        <w:rPr>
          <w:rFonts w:hint="eastAsia" w:ascii="宋体" w:hAnsi="宋体"/>
          <w:sz w:val="24"/>
          <w:u w:val="single"/>
          <w:lang w:val="en-US" w:eastAsia="zh-CN"/>
        </w:rPr>
        <w:t xml:space="preserve">    </w:t>
      </w:r>
      <w:r>
        <w:rPr>
          <w:rFonts w:hint="eastAsia" w:ascii="宋体" w:hAnsi="宋体"/>
          <w:sz w:val="24"/>
          <w:lang w:val="en-US" w:eastAsia="zh-CN"/>
        </w:rPr>
        <w:t>%</w:t>
      </w:r>
      <w:r>
        <w:rPr>
          <w:rFonts w:hint="eastAsia" w:ascii="宋体" w:hAnsi="宋体"/>
          <w:sz w:val="24"/>
          <w:lang w:eastAsia="zh-CN"/>
        </w:rPr>
        <w:t>，</w:t>
      </w:r>
      <w:r>
        <w:rPr>
          <w:rFonts w:hint="eastAsia" w:ascii="宋体" w:hAnsi="宋体"/>
          <w:sz w:val="24"/>
        </w:rPr>
        <w:t xml:space="preserve">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4618FFFB">
      <w:pPr>
        <w:spacing w:line="360" w:lineRule="auto"/>
        <w:ind w:firstLine="480" w:firstLineChars="200"/>
        <w:rPr>
          <w:rFonts w:ascii="宋体" w:hAnsi="宋体"/>
          <w:sz w:val="24"/>
        </w:rPr>
      </w:pP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14:paraId="49168AFA">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sz w:val="24"/>
          <w:u w:val="single"/>
          <w:lang w:val="en-US" w:eastAsia="zh-CN"/>
        </w:rPr>
        <w:t>结算金额=加工服务费（单价*数量）+材料费用（单价*数量）+送货服务费用（单价*数量），</w:t>
      </w:r>
      <w:r>
        <w:rPr>
          <w:rFonts w:hint="eastAsia" w:ascii="宋体" w:hAnsi="宋体"/>
          <w:sz w:val="24"/>
        </w:rPr>
        <w:t>分项清单如下：</w:t>
      </w:r>
      <w:r>
        <w:rPr>
          <w:rFonts w:hint="eastAsia" w:ascii="宋体" w:hAnsi="宋体" w:cs="宋体"/>
          <w:sz w:val="24"/>
        </w:rPr>
        <w:t xml:space="preserve"> </w:t>
      </w:r>
    </w:p>
    <w:tbl>
      <w:tblPr>
        <w:tblStyle w:val="15"/>
        <w:tblW w:w="91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1190"/>
        <w:gridCol w:w="912"/>
        <w:gridCol w:w="956"/>
        <w:gridCol w:w="699"/>
        <w:gridCol w:w="853"/>
        <w:gridCol w:w="844"/>
        <w:gridCol w:w="1056"/>
        <w:gridCol w:w="1065"/>
        <w:gridCol w:w="1065"/>
      </w:tblGrid>
      <w:tr w14:paraId="3E64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4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7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lang w:val="en-US" w:eastAsia="zh-CN" w:bidi="ar"/>
              </w:rPr>
              <w:t>费用</w:t>
            </w:r>
            <w:r>
              <w:rPr>
                <w:rStyle w:val="31"/>
                <w:lang w:val="en-US" w:eastAsia="zh-CN" w:bidi="ar"/>
              </w:rPr>
              <w:t>类别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0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加工类别/材料类别</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C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3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A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三固需求（小时）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8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能源需求（小时）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C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需求合计（小时）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2A9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三固金额（元）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D11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能源金额（元）</w:t>
            </w:r>
          </w:p>
        </w:tc>
      </w:tr>
      <w:tr w14:paraId="52D6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7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6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8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车加工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0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3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3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1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7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B8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AF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A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4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F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5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A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A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F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1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DD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5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5F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6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8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8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磨加工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9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8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A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9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F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B8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2E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2A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6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5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2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数控加工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A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4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2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5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3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1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0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D9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A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3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2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冲加工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C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1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C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B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7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1E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6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37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1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A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C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镗加工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7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5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4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8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F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D4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FF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E3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D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1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B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线切割加工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1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2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4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B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A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51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F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15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A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9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5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刨加工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7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4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0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1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3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22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49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D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2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5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钳加工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0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C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5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9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2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86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24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F1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3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1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D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热处理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4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2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7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7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8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39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B8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83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0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1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C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焊接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B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F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B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6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E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C0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7F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59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C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6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4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组装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0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3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0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4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9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3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6A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42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9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2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D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Q235-B</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5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1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6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C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6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5B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F0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0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1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E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3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Q345-B</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9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2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2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3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9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F9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0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05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8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1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4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20g</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D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6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E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A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1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88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14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65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9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9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5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45#</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8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B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9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4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7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5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4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EA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7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5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9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12Cr1MoV</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4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1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B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D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B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6E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C2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1D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7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3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B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铝合金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0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8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DE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1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D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F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8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2B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C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2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D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0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804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5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0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4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0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52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27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4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6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F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不锈钢304</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2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7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6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F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A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44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24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08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5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B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4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不锈钢316</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5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C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3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B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2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D5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97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F2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C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C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E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亚克力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7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4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E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E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8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C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58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51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6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B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A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尼龙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0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5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E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7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6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2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5B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35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8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B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9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橡胶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3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6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C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A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B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D1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FB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AA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7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A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3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聚四氟乙烯</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B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6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A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C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0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CF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0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95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F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0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F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塑料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3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6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D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2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3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7B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14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98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4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D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送货服务费用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02E">
            <w:pPr>
              <w:jc w:val="center"/>
              <w:rPr>
                <w:rFonts w:hint="eastAsia" w:ascii="宋体" w:hAnsi="宋体" w:eastAsia="宋体" w:cs="宋体"/>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E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0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8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8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1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84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E47626B">
      <w:pPr>
        <w:spacing w:line="360" w:lineRule="auto"/>
        <w:ind w:firstLine="480" w:firstLineChars="200"/>
        <w:rPr>
          <w:rFonts w:hint="eastAsia" w:ascii="宋体" w:hAnsi="宋体"/>
          <w:sz w:val="24"/>
          <w:lang w:val="en-US" w:eastAsia="zh-CN"/>
        </w:rPr>
      </w:pPr>
    </w:p>
    <w:p w14:paraId="6DF48DDF">
      <w:pPr>
        <w:spacing w:line="360" w:lineRule="auto"/>
        <w:ind w:firstLine="482" w:firstLineChars="200"/>
        <w:outlineLvl w:val="0"/>
        <w:rPr>
          <w:rFonts w:hint="eastAsia" w:ascii="宋体" w:hAnsi="宋体" w:cs="宋体"/>
          <w:b/>
          <w:kern w:val="0"/>
          <w:sz w:val="24"/>
        </w:rPr>
      </w:pPr>
      <w:bookmarkStart w:id="407" w:name="_Toc10340"/>
      <w:bookmarkStart w:id="408" w:name="_Toc1814"/>
      <w:bookmarkStart w:id="409" w:name="_Toc22618"/>
      <w:bookmarkStart w:id="410" w:name="_Toc3625"/>
      <w:bookmarkStart w:id="411" w:name="_Toc11108"/>
      <w:bookmarkStart w:id="412" w:name="_Toc8772"/>
      <w:bookmarkStart w:id="413" w:name="_Toc31421"/>
      <w:bookmarkStart w:id="414" w:name="_Toc4760"/>
      <w:r>
        <w:rPr>
          <w:rFonts w:hint="eastAsia" w:ascii="宋体" w:hAnsi="宋体" w:cs="宋体"/>
          <w:b/>
          <w:kern w:val="0"/>
          <w:sz w:val="24"/>
        </w:rPr>
        <w:t>三、履行期限、地点、联系方式、交付方式</w:t>
      </w:r>
    </w:p>
    <w:p w14:paraId="3B4DD656">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14:paraId="080FABAD">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41B8C79A">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14:paraId="2CBDBFB7">
      <w:pPr>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9D6F67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232D4E11">
      <w:pPr>
        <w:spacing w:line="360" w:lineRule="auto"/>
        <w:ind w:firstLine="482" w:firstLineChars="200"/>
        <w:outlineLvl w:val="0"/>
        <w:rPr>
          <w:rFonts w:hint="eastAsia" w:ascii="宋体" w:hAnsi="宋体" w:cs="宋体"/>
          <w:b/>
          <w:color w:val="auto"/>
          <w:kern w:val="0"/>
          <w:sz w:val="24"/>
        </w:rPr>
      </w:pPr>
      <w:r>
        <w:rPr>
          <w:rFonts w:hint="eastAsia" w:ascii="宋体" w:hAnsi="宋体" w:cs="宋体"/>
          <w:b/>
          <w:kern w:val="0"/>
          <w:sz w:val="24"/>
        </w:rPr>
        <w:t>四、质量</w:t>
      </w:r>
      <w:r>
        <w:rPr>
          <w:rFonts w:hint="eastAsia" w:ascii="宋体" w:hAnsi="宋体" w:cs="宋体"/>
          <w:b/>
          <w:color w:val="auto"/>
          <w:kern w:val="0"/>
          <w:sz w:val="24"/>
        </w:rPr>
        <w:t>和服务要求</w:t>
      </w:r>
    </w:p>
    <w:p w14:paraId="2427F309">
      <w:pPr>
        <w:spacing w:line="360" w:lineRule="auto"/>
        <w:ind w:firstLine="480" w:firstLineChars="200"/>
        <w:outlineLvl w:val="0"/>
        <w:rPr>
          <w:rFonts w:ascii="宋体" w:hAnsi="宋体" w:cs="宋体"/>
          <w:color w:val="auto"/>
          <w:sz w:val="24"/>
        </w:rPr>
      </w:pPr>
      <w:r>
        <w:rPr>
          <w:rFonts w:hint="eastAsia" w:ascii="宋体" w:hAnsi="宋体" w:cs="宋体"/>
          <w:color w:val="auto"/>
          <w:sz w:val="24"/>
        </w:rPr>
        <w:t>1.根据甲方要求按时、按质、按量完成服务，履行合同义务。</w:t>
      </w:r>
    </w:p>
    <w:p w14:paraId="7DC30461">
      <w:pPr>
        <w:spacing w:line="360" w:lineRule="auto"/>
        <w:ind w:firstLine="480" w:firstLineChars="200"/>
        <w:outlineLvl w:val="0"/>
        <w:rPr>
          <w:rFonts w:hint="eastAsia" w:ascii="宋体" w:hAnsi="宋体" w:cs="宋体" w:eastAsiaTheme="minorEastAsia"/>
          <w:color w:val="auto"/>
          <w:sz w:val="24"/>
          <w:lang w:eastAsia="zh-CN"/>
        </w:rPr>
      </w:pPr>
      <w:r>
        <w:rPr>
          <w:rFonts w:hint="eastAsia" w:ascii="宋体" w:hAnsi="宋体" w:cs="宋体"/>
          <w:color w:val="auto"/>
          <w:sz w:val="24"/>
        </w:rPr>
        <w:t>2.乙方所供货物应满足合同约定要求，有国家、地方、行业标准、规范（含强制适用标准、规范和推荐适用标准、规范）的，按相应标准、规范执行（不同标准、规范之间要求不一的，按要求较高者执行）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lang w:eastAsia="zh-CN"/>
        </w:rPr>
        <w:t>。</w:t>
      </w:r>
    </w:p>
    <w:p w14:paraId="4F03583C">
      <w:pPr>
        <w:spacing w:line="360" w:lineRule="auto"/>
        <w:ind w:firstLine="480" w:firstLineChars="200"/>
        <w:outlineLvl w:val="0"/>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3.技术要求满足第五章中要求。</w:t>
      </w:r>
    </w:p>
    <w:p w14:paraId="00126CBB">
      <w:pPr>
        <w:tabs>
          <w:tab w:val="left" w:pos="567"/>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乙方</w:t>
      </w:r>
      <w:r>
        <w:rPr>
          <w:rFonts w:hint="eastAsia" w:ascii="宋体" w:hAnsi="宋体" w:cs="宋体"/>
          <w:color w:val="auto"/>
          <w:sz w:val="24"/>
          <w:szCs w:val="24"/>
        </w:rPr>
        <w:t>在依照</w:t>
      </w:r>
      <w:r>
        <w:rPr>
          <w:rFonts w:hint="eastAsia" w:ascii="宋体" w:hAnsi="宋体" w:cs="宋体"/>
          <w:color w:val="auto"/>
          <w:sz w:val="24"/>
          <w:szCs w:val="24"/>
          <w:lang w:eastAsia="zh-CN"/>
        </w:rPr>
        <w:t>甲方</w:t>
      </w:r>
      <w:r>
        <w:rPr>
          <w:rFonts w:hint="eastAsia" w:ascii="宋体" w:hAnsi="宋体" w:cs="宋体"/>
          <w:color w:val="auto"/>
          <w:sz w:val="24"/>
          <w:szCs w:val="24"/>
        </w:rPr>
        <w:t>的要求进行</w:t>
      </w:r>
      <w:r>
        <w:rPr>
          <w:rFonts w:hint="eastAsia" w:ascii="宋体" w:hAnsi="宋体" w:cs="宋体"/>
          <w:color w:val="auto"/>
          <w:sz w:val="24"/>
          <w:szCs w:val="24"/>
          <w:lang w:val="en-US" w:eastAsia="zh-CN"/>
        </w:rPr>
        <w:t>机加</w:t>
      </w:r>
      <w:r>
        <w:rPr>
          <w:rFonts w:hint="eastAsia" w:ascii="宋体" w:hAnsi="宋体" w:cs="宋体"/>
          <w:color w:val="auto"/>
          <w:sz w:val="24"/>
          <w:szCs w:val="24"/>
        </w:rPr>
        <w:t>工期间，发现</w:t>
      </w:r>
      <w:r>
        <w:rPr>
          <w:rFonts w:hint="eastAsia" w:ascii="宋体" w:hAnsi="宋体" w:cs="宋体"/>
          <w:color w:val="auto"/>
          <w:sz w:val="24"/>
          <w:szCs w:val="24"/>
          <w:lang w:eastAsia="zh-CN"/>
        </w:rPr>
        <w:t>甲方</w:t>
      </w:r>
      <w:r>
        <w:rPr>
          <w:rFonts w:hint="eastAsia" w:ascii="宋体" w:hAnsi="宋体" w:cs="宋体"/>
          <w:color w:val="auto"/>
          <w:sz w:val="24"/>
          <w:szCs w:val="24"/>
        </w:rPr>
        <w:t>提供的技术资料、图纸等不合理，应当及时通知</w:t>
      </w:r>
      <w:r>
        <w:rPr>
          <w:rFonts w:hint="eastAsia" w:ascii="宋体" w:hAnsi="宋体" w:cs="宋体"/>
          <w:color w:val="auto"/>
          <w:sz w:val="24"/>
          <w:szCs w:val="24"/>
          <w:lang w:eastAsia="zh-CN"/>
        </w:rPr>
        <w:t>甲方，甲方</w:t>
      </w:r>
      <w:r>
        <w:rPr>
          <w:rFonts w:hint="eastAsia" w:ascii="宋体" w:hAnsi="宋体" w:cs="宋体"/>
          <w:color w:val="auto"/>
          <w:sz w:val="24"/>
          <w:szCs w:val="24"/>
        </w:rPr>
        <w:t>应当在规定的时间内回复，提出修改意见。</w:t>
      </w:r>
    </w:p>
    <w:p w14:paraId="4B2060AF">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乙方</w:t>
      </w:r>
      <w:r>
        <w:rPr>
          <w:rFonts w:hint="eastAsia" w:ascii="宋体" w:hAnsi="宋体" w:cs="宋体"/>
          <w:color w:val="auto"/>
          <w:sz w:val="24"/>
          <w:szCs w:val="24"/>
        </w:rPr>
        <w:t>向</w:t>
      </w:r>
      <w:r>
        <w:rPr>
          <w:rFonts w:hint="eastAsia" w:ascii="宋体" w:hAnsi="宋体" w:cs="宋体"/>
          <w:color w:val="auto"/>
          <w:sz w:val="24"/>
          <w:szCs w:val="24"/>
          <w:lang w:eastAsia="zh-CN"/>
        </w:rPr>
        <w:t>甲方</w:t>
      </w:r>
      <w:r>
        <w:rPr>
          <w:rFonts w:hint="eastAsia" w:ascii="宋体" w:hAnsi="宋体" w:cs="宋体"/>
          <w:color w:val="auto"/>
          <w:sz w:val="24"/>
          <w:szCs w:val="24"/>
        </w:rPr>
        <w:t>提供的产品必须是经</w:t>
      </w:r>
      <w:r>
        <w:rPr>
          <w:rFonts w:hint="eastAsia" w:ascii="宋体" w:hAnsi="宋体" w:cs="宋体"/>
          <w:color w:val="auto"/>
          <w:sz w:val="24"/>
          <w:szCs w:val="24"/>
          <w:lang w:eastAsia="zh-CN"/>
        </w:rPr>
        <w:t>乙方</w:t>
      </w:r>
      <w:r>
        <w:rPr>
          <w:rFonts w:hint="eastAsia" w:ascii="宋体" w:hAnsi="宋体" w:cs="宋体"/>
          <w:color w:val="auto"/>
          <w:sz w:val="24"/>
          <w:szCs w:val="24"/>
        </w:rPr>
        <w:t>检验合格</w:t>
      </w:r>
      <w:r>
        <w:rPr>
          <w:rFonts w:hint="eastAsia" w:ascii="宋体" w:hAnsi="宋体" w:cs="宋体"/>
          <w:color w:val="auto"/>
          <w:sz w:val="24"/>
          <w:szCs w:val="24"/>
          <w:lang w:eastAsia="zh-CN"/>
        </w:rPr>
        <w:t>且</w:t>
      </w:r>
      <w:r>
        <w:rPr>
          <w:rFonts w:hint="eastAsia" w:ascii="宋体" w:hAnsi="宋体" w:cs="宋体"/>
          <w:color w:val="auto"/>
          <w:sz w:val="24"/>
          <w:szCs w:val="24"/>
        </w:rPr>
        <w:t>满足</w:t>
      </w:r>
      <w:r>
        <w:rPr>
          <w:rFonts w:hint="eastAsia" w:ascii="宋体" w:hAnsi="宋体" w:cs="宋体"/>
          <w:color w:val="auto"/>
          <w:sz w:val="24"/>
          <w:szCs w:val="24"/>
          <w:lang w:eastAsia="zh-CN"/>
        </w:rPr>
        <w:t>甲方</w:t>
      </w:r>
      <w:r>
        <w:rPr>
          <w:rFonts w:hint="eastAsia" w:ascii="宋体" w:hAnsi="宋体" w:cs="宋体"/>
          <w:color w:val="auto"/>
          <w:sz w:val="24"/>
          <w:szCs w:val="24"/>
        </w:rPr>
        <w:t>的品质要求的产品。</w:t>
      </w:r>
    </w:p>
    <w:p w14:paraId="14AF1873">
      <w:pPr>
        <w:numPr>
          <w:ilvl w:val="0"/>
          <w:numId w:val="0"/>
        </w:numPr>
        <w:tabs>
          <w:tab w:val="left" w:pos="840"/>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甲方</w:t>
      </w:r>
      <w:r>
        <w:rPr>
          <w:rFonts w:hint="eastAsia" w:ascii="宋体" w:hAnsi="宋体" w:cs="宋体"/>
          <w:color w:val="auto"/>
          <w:sz w:val="24"/>
          <w:szCs w:val="24"/>
        </w:rPr>
        <w:t>如对</w:t>
      </w:r>
      <w:r>
        <w:rPr>
          <w:rFonts w:hint="eastAsia" w:ascii="宋体" w:hAnsi="宋体" w:cs="宋体"/>
          <w:color w:val="auto"/>
          <w:sz w:val="24"/>
          <w:szCs w:val="24"/>
          <w:lang w:eastAsia="zh-CN"/>
        </w:rPr>
        <w:t>乙方</w:t>
      </w:r>
      <w:r>
        <w:rPr>
          <w:rFonts w:hint="eastAsia" w:ascii="宋体" w:hAnsi="宋体" w:cs="宋体"/>
          <w:color w:val="auto"/>
          <w:sz w:val="24"/>
          <w:szCs w:val="24"/>
        </w:rPr>
        <w:t>产品质量提出问题，</w:t>
      </w:r>
      <w:r>
        <w:rPr>
          <w:rFonts w:hint="eastAsia" w:ascii="宋体" w:hAnsi="宋体" w:cs="宋体"/>
          <w:color w:val="auto"/>
          <w:sz w:val="24"/>
          <w:szCs w:val="24"/>
          <w:lang w:eastAsia="zh-CN"/>
        </w:rPr>
        <w:t>乙方</w:t>
      </w:r>
      <w:r>
        <w:rPr>
          <w:rFonts w:hint="eastAsia" w:ascii="宋体" w:hAnsi="宋体" w:cs="宋体"/>
          <w:color w:val="auto"/>
          <w:sz w:val="24"/>
          <w:szCs w:val="24"/>
        </w:rPr>
        <w:t>必须第一时间协助处理，如因处理不当或处理周期较长，导致影响生产，</w:t>
      </w:r>
      <w:r>
        <w:rPr>
          <w:rFonts w:hint="eastAsia" w:ascii="宋体" w:hAnsi="宋体" w:cs="宋体"/>
          <w:color w:val="auto"/>
          <w:sz w:val="24"/>
          <w:szCs w:val="24"/>
          <w:lang w:eastAsia="zh-CN"/>
        </w:rPr>
        <w:t>甲方</w:t>
      </w:r>
      <w:r>
        <w:rPr>
          <w:rFonts w:hint="eastAsia" w:ascii="宋体" w:hAnsi="宋体" w:cs="宋体"/>
          <w:color w:val="auto"/>
          <w:sz w:val="24"/>
          <w:szCs w:val="24"/>
        </w:rPr>
        <w:t>有权按照公司规定予以考核及追偿。</w:t>
      </w:r>
    </w:p>
    <w:p w14:paraId="762718B4">
      <w:pPr>
        <w:numPr>
          <w:ilvl w:val="0"/>
          <w:numId w:val="0"/>
        </w:numPr>
        <w:tabs>
          <w:tab w:val="left" w:pos="840"/>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按照甲乙双方签认的样品、图纸、质量要求作为验收标准。</w:t>
      </w:r>
    </w:p>
    <w:p w14:paraId="2529C4A3">
      <w:pPr>
        <w:numPr>
          <w:ilvl w:val="0"/>
          <w:numId w:val="0"/>
        </w:numPr>
        <w:tabs>
          <w:tab w:val="left" w:pos="840"/>
        </w:tabs>
        <w:spacing w:line="360" w:lineRule="auto"/>
        <w:ind w:firstLine="480" w:firstLineChars="200"/>
        <w:jc w:val="left"/>
        <w:rPr>
          <w:rFonts w:ascii="宋体" w:hAnsi="宋体" w:cs="宋体"/>
          <w:b w:val="0"/>
          <w:bCs w:val="0"/>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为</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lang w:val="en-US" w:eastAsia="zh-CN"/>
        </w:rPr>
        <w:t>加工</w:t>
      </w:r>
      <w:r>
        <w:rPr>
          <w:rFonts w:hint="eastAsia" w:ascii="宋体" w:hAnsi="宋体" w:cs="宋体"/>
          <w:color w:val="auto"/>
          <w:sz w:val="24"/>
          <w:szCs w:val="24"/>
          <w:highlight w:val="none"/>
        </w:rPr>
        <w:t>的产品在</w:t>
      </w:r>
      <w:r>
        <w:rPr>
          <w:rFonts w:hint="eastAsia" w:ascii="宋体" w:hAnsi="宋体" w:cs="宋体"/>
          <w:b w:val="0"/>
          <w:bCs w:val="0"/>
          <w:color w:val="auto"/>
          <w:sz w:val="24"/>
          <w:szCs w:val="24"/>
          <w:highlight w:val="none"/>
        </w:rPr>
        <w:t>质量保证期</w:t>
      </w:r>
      <w:r>
        <w:rPr>
          <w:rFonts w:hint="eastAsia" w:ascii="宋体" w:hAnsi="宋体" w:cs="宋体"/>
          <w:b w:val="0"/>
          <w:bCs w:val="0"/>
          <w:color w:val="auto"/>
          <w:sz w:val="24"/>
          <w:szCs w:val="24"/>
          <w:highlight w:val="none"/>
          <w:lang w:val="en-US" w:eastAsia="zh-CN"/>
        </w:rPr>
        <w:t>六个月</w:t>
      </w:r>
      <w:r>
        <w:rPr>
          <w:rFonts w:hint="eastAsia" w:ascii="宋体" w:hAnsi="宋体" w:cs="宋体"/>
          <w:b w:val="0"/>
          <w:bCs w:val="0"/>
          <w:color w:val="auto"/>
          <w:sz w:val="24"/>
          <w:szCs w:val="24"/>
          <w:highlight w:val="none"/>
        </w:rPr>
        <w:t>内出现质量问题，并经确认是</w:t>
      </w:r>
      <w:r>
        <w:rPr>
          <w:rFonts w:hint="eastAsia" w:ascii="宋体" w:hAnsi="宋体" w:cs="宋体"/>
          <w:b w:val="0"/>
          <w:bCs w:val="0"/>
          <w:color w:val="auto"/>
          <w:sz w:val="24"/>
          <w:szCs w:val="24"/>
          <w:highlight w:val="none"/>
          <w:lang w:eastAsia="zh-CN"/>
        </w:rPr>
        <w:t>乙方</w:t>
      </w:r>
      <w:r>
        <w:rPr>
          <w:rFonts w:hint="eastAsia" w:ascii="宋体" w:hAnsi="宋体" w:cs="宋体"/>
          <w:b w:val="0"/>
          <w:bCs w:val="0"/>
          <w:color w:val="auto"/>
          <w:sz w:val="24"/>
          <w:szCs w:val="24"/>
          <w:highlight w:val="none"/>
        </w:rPr>
        <w:t>造成</w:t>
      </w:r>
      <w:r>
        <w:rPr>
          <w:rFonts w:hint="eastAsia" w:ascii="宋体" w:hAnsi="宋体" w:cs="宋体"/>
          <w:b w:val="0"/>
          <w:bCs w:val="0"/>
          <w:color w:val="auto"/>
          <w:sz w:val="24"/>
          <w:szCs w:val="24"/>
          <w:highlight w:val="none"/>
          <w:lang w:eastAsia="zh-CN"/>
        </w:rPr>
        <w:t>乙方</w:t>
      </w:r>
      <w:r>
        <w:rPr>
          <w:rFonts w:hint="eastAsia" w:ascii="宋体" w:hAnsi="宋体" w:cs="宋体"/>
          <w:b w:val="0"/>
          <w:bCs w:val="0"/>
          <w:color w:val="auto"/>
          <w:sz w:val="24"/>
          <w:szCs w:val="24"/>
          <w:highlight w:val="none"/>
        </w:rPr>
        <w:t>应给予维修、重</w:t>
      </w:r>
      <w:r>
        <w:rPr>
          <w:rFonts w:hint="eastAsia" w:ascii="宋体" w:hAnsi="宋体" w:cs="宋体"/>
          <w:b w:val="0"/>
          <w:bCs w:val="0"/>
          <w:color w:val="auto"/>
          <w:sz w:val="24"/>
          <w:szCs w:val="24"/>
          <w:highlight w:val="none"/>
          <w:lang w:eastAsia="zh-CN"/>
        </w:rPr>
        <w:t>做</w:t>
      </w:r>
      <w:r>
        <w:rPr>
          <w:rFonts w:hint="eastAsia" w:ascii="宋体" w:hAnsi="宋体" w:cs="宋体"/>
          <w:b w:val="0"/>
          <w:bCs w:val="0"/>
          <w:color w:val="auto"/>
          <w:sz w:val="24"/>
          <w:szCs w:val="24"/>
          <w:highlight w:val="none"/>
        </w:rPr>
        <w:t>或退换。</w:t>
      </w:r>
    </w:p>
    <w:p w14:paraId="40951F27">
      <w:pPr>
        <w:numPr>
          <w:ilvl w:val="0"/>
          <w:numId w:val="0"/>
        </w:numPr>
        <w:tabs>
          <w:tab w:val="left" w:pos="840"/>
        </w:tabs>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 w:val="0"/>
          <w:bCs w:val="0"/>
          <w:color w:val="auto"/>
          <w:sz w:val="24"/>
          <w:szCs w:val="24"/>
          <w:highlight w:val="none"/>
          <w:lang w:val="en-US" w:eastAsia="zh-CN"/>
        </w:rPr>
        <w:t>9.正常情况下，乙方应在3天完成机械加工并送至甲方指定地点；紧急情况下</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乙方需在2</w:t>
      </w:r>
      <w:r>
        <w:rPr>
          <w:rFonts w:hint="eastAsia" w:ascii="宋体" w:hAnsi="宋体" w:cs="宋体"/>
          <w:b w:val="0"/>
          <w:bCs w:val="0"/>
          <w:color w:val="auto"/>
          <w:sz w:val="24"/>
          <w:szCs w:val="24"/>
          <w:highlight w:val="none"/>
        </w:rPr>
        <w:t>小时内赶到现场协助</w:t>
      </w:r>
      <w:r>
        <w:rPr>
          <w:rFonts w:hint="eastAsia" w:ascii="宋体" w:hAnsi="宋体" w:cs="宋体"/>
          <w:color w:val="auto"/>
          <w:sz w:val="24"/>
          <w:szCs w:val="24"/>
          <w:highlight w:val="none"/>
        </w:rPr>
        <w:t>处理，并出具处理办法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甲方不额外支付费用，包含在合同金额范围内</w:t>
      </w:r>
      <w:r>
        <w:rPr>
          <w:rFonts w:hint="eastAsia" w:ascii="宋体" w:hAnsi="宋体" w:cs="宋体"/>
          <w:color w:val="auto"/>
          <w:sz w:val="24"/>
          <w:szCs w:val="24"/>
          <w:highlight w:val="none"/>
        </w:rPr>
        <w:t>。</w:t>
      </w:r>
    </w:p>
    <w:p w14:paraId="5E037393">
      <w:pPr>
        <w:numPr>
          <w:ilvl w:val="0"/>
          <w:numId w:val="0"/>
        </w:numPr>
        <w:tabs>
          <w:tab w:val="left" w:pos="840"/>
        </w:tabs>
        <w:spacing w:line="360" w:lineRule="auto"/>
        <w:ind w:firstLine="480" w:firstLineChars="200"/>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10.乙方对甲方提供的样品或图纸理解不全面的情况下，需要乙方现场测绘或查看的，甲方不额外支付费用，包含在合同金额范围内</w:t>
      </w:r>
      <w:r>
        <w:rPr>
          <w:rFonts w:hint="eastAsia" w:ascii="宋体" w:hAnsi="宋体" w:cs="宋体"/>
          <w:color w:val="auto"/>
          <w:sz w:val="24"/>
          <w:szCs w:val="24"/>
          <w:highlight w:val="none"/>
        </w:rPr>
        <w:t>。</w:t>
      </w:r>
    </w:p>
    <w:p w14:paraId="09FCBB1F">
      <w:pPr>
        <w:numPr>
          <w:ilvl w:val="0"/>
          <w:numId w:val="0"/>
        </w:numPr>
        <w:tabs>
          <w:tab w:val="left" w:pos="84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11.加工好的产品由乙方负责运输到甲方厂内指定地点，卸货由甲方负责</w:t>
      </w:r>
      <w:r>
        <w:rPr>
          <w:rFonts w:hint="eastAsia" w:ascii="宋体" w:hAnsi="宋体" w:cs="宋体"/>
          <w:color w:val="auto"/>
          <w:sz w:val="24"/>
          <w:szCs w:val="24"/>
          <w:highlight w:val="none"/>
        </w:rPr>
        <w:t>。</w:t>
      </w:r>
    </w:p>
    <w:p w14:paraId="1263C955">
      <w:pPr>
        <w:numPr>
          <w:ilvl w:val="0"/>
          <w:numId w:val="0"/>
        </w:numPr>
        <w:tabs>
          <w:tab w:val="left" w:pos="84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12.乙方对甲方提供的图纸及技术资料有保密责任，不得向第三方透露。</w:t>
      </w:r>
    </w:p>
    <w:p w14:paraId="1CEC2213">
      <w:pPr>
        <w:spacing w:line="360" w:lineRule="auto"/>
        <w:ind w:firstLine="480" w:firstLineChars="200"/>
        <w:outlineLvl w:val="0"/>
        <w:rPr>
          <w:rFonts w:hint="eastAsia" w:ascii="宋体" w:hAnsi="宋体" w:cs="宋体"/>
          <w:color w:val="auto"/>
          <w:sz w:val="24"/>
          <w:lang w:val="en-US" w:eastAsia="zh-CN"/>
        </w:rPr>
      </w:pPr>
    </w:p>
    <w:p w14:paraId="3EA33504">
      <w:pPr>
        <w:spacing w:line="360" w:lineRule="auto"/>
        <w:ind w:firstLine="480" w:firstLineChars="200"/>
        <w:outlineLvl w:val="0"/>
        <w:rPr>
          <w:rFonts w:hint="eastAsia" w:ascii="宋体" w:hAnsi="宋体" w:cs="宋体"/>
          <w:color w:val="auto"/>
          <w:sz w:val="24"/>
          <w:lang w:val="en-US" w:eastAsia="zh-CN"/>
        </w:rPr>
      </w:pPr>
    </w:p>
    <w:p w14:paraId="761DF094">
      <w:pPr>
        <w:pStyle w:val="6"/>
        <w:ind w:firstLine="480" w:firstLineChars="200"/>
        <w:rPr>
          <w:rFonts w:hint="eastAsia"/>
          <w:color w:val="auto"/>
          <w:lang w:val="en-US" w:eastAsia="zh-CN"/>
        </w:rPr>
      </w:pPr>
      <w:bookmarkStart w:id="415" w:name="_Toc6596"/>
      <w:bookmarkStart w:id="416" w:name="_Toc14563"/>
      <w:bookmarkStart w:id="417" w:name="_Toc1125"/>
      <w:r>
        <w:rPr>
          <w:rFonts w:hint="eastAsia"/>
          <w:color w:val="auto"/>
          <w:lang w:val="en-US" w:eastAsia="zh-CN"/>
        </w:rPr>
        <w:t>13</w:t>
      </w:r>
      <w:r>
        <w:rPr>
          <w:rFonts w:hint="eastAsia"/>
          <w:color w:val="auto"/>
          <w:lang w:val="en-US"/>
        </w:rPr>
        <w:t>.</w:t>
      </w:r>
      <w:r>
        <w:rPr>
          <w:rFonts w:hint="eastAsia"/>
          <w:color w:val="auto"/>
          <w:lang w:val="en-US" w:eastAsia="zh-CN"/>
        </w:rPr>
        <w:t>乙方</w:t>
      </w:r>
      <w:r>
        <w:rPr>
          <w:rFonts w:hint="eastAsia"/>
          <w:color w:val="auto"/>
          <w:lang w:val="en-US"/>
        </w:rPr>
        <w:t>必须满足</w:t>
      </w:r>
      <w:r>
        <w:rPr>
          <w:rFonts w:hint="eastAsia"/>
          <w:color w:val="auto"/>
          <w:lang w:val="en-US" w:eastAsia="zh-CN"/>
        </w:rPr>
        <w:t>甲方</w:t>
      </w:r>
      <w:r>
        <w:rPr>
          <w:rFonts w:hint="eastAsia"/>
          <w:color w:val="auto"/>
          <w:lang w:val="en-US"/>
        </w:rPr>
        <w:t>售后服务</w:t>
      </w:r>
      <w:r>
        <w:rPr>
          <w:rFonts w:hint="eastAsia"/>
          <w:color w:val="auto"/>
          <w:highlight w:val="none"/>
          <w:lang w:val="en-US"/>
        </w:rPr>
        <w:t>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w:t>
      </w:r>
      <w:r>
        <w:rPr>
          <w:rFonts w:hint="eastAsia"/>
          <w:color w:val="auto"/>
          <w:lang w:val="en-US"/>
        </w:rPr>
        <w:t>在接到</w:t>
      </w:r>
      <w:r>
        <w:rPr>
          <w:rFonts w:hint="eastAsia"/>
          <w:color w:val="auto"/>
          <w:lang w:val="en-US" w:eastAsia="zh-CN"/>
        </w:rPr>
        <w:t>甲方</w:t>
      </w:r>
      <w:r>
        <w:rPr>
          <w:rFonts w:hint="eastAsia" w:ascii="宋体"/>
          <w:color w:val="auto"/>
          <w:lang w:val="en-US"/>
        </w:rPr>
        <w:t>通知后必须</w:t>
      </w:r>
      <w:r>
        <w:rPr>
          <w:rFonts w:hint="eastAsia"/>
          <w:color w:val="auto"/>
          <w:lang w:val="en-US" w:eastAsia="zh-CN"/>
        </w:rPr>
        <w:t>24</w:t>
      </w:r>
      <w:r>
        <w:rPr>
          <w:rFonts w:hint="eastAsia" w:ascii="宋体"/>
          <w:color w:val="auto"/>
          <w:lang w:val="en-US"/>
        </w:rPr>
        <w:t>小时内做出书面答复并提供解决方案。若需要派遣技术人员，则应在接到</w:t>
      </w:r>
      <w:r>
        <w:rPr>
          <w:rFonts w:hint="eastAsia"/>
          <w:color w:val="auto"/>
          <w:lang w:val="en-US" w:eastAsia="zh-CN"/>
        </w:rPr>
        <w:t>甲方</w:t>
      </w:r>
      <w:r>
        <w:rPr>
          <w:rFonts w:hint="eastAsia" w:ascii="宋体"/>
          <w:color w:val="auto"/>
          <w:lang w:val="en-US"/>
        </w:rPr>
        <w:t>通知后,</w:t>
      </w:r>
      <w:r>
        <w:rPr>
          <w:rFonts w:hint="eastAsia"/>
          <w:color w:val="auto"/>
          <w:lang w:val="en-US" w:eastAsia="zh-CN"/>
        </w:rPr>
        <w:t>48</w:t>
      </w:r>
      <w:r>
        <w:rPr>
          <w:rFonts w:hint="eastAsia" w:ascii="宋体"/>
          <w:color w:val="auto"/>
          <w:lang w:val="en-US"/>
        </w:rPr>
        <w:t>小时内派人员到达现场进行免费指导解决问题。</w:t>
      </w:r>
    </w:p>
    <w:p w14:paraId="6272B779">
      <w:pPr>
        <w:pStyle w:val="6"/>
        <w:numPr>
          <w:ilvl w:val="0"/>
          <w:numId w:val="0"/>
        </w:numPr>
        <w:ind w:firstLine="480" w:firstLineChars="200"/>
        <w:rPr>
          <w:rFonts w:hint="eastAsia"/>
          <w:color w:val="auto"/>
          <w:lang w:val="en-US" w:eastAsia="zh-CN"/>
        </w:rPr>
      </w:pPr>
      <w:r>
        <w:rPr>
          <w:rFonts w:hint="eastAsia"/>
          <w:color w:val="auto"/>
          <w:lang w:val="en-US" w:eastAsia="zh-CN"/>
        </w:rPr>
        <w:t>14.甲方不再对任何售后服务进行付费。乙方的派遣人员产生的一切费用由乙方承担。</w:t>
      </w:r>
    </w:p>
    <w:p w14:paraId="3599452C">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五、检验和验收</w:t>
      </w:r>
      <w:bookmarkEnd w:id="415"/>
      <w:bookmarkEnd w:id="416"/>
      <w:bookmarkEnd w:id="417"/>
    </w:p>
    <w:p w14:paraId="688A535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78D7668F">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4694C2C8">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7EDFD369">
      <w:pPr>
        <w:tabs>
          <w:tab w:val="left" w:pos="360"/>
          <w:tab w:val="left" w:pos="540"/>
          <w:tab w:val="left" w:pos="1080"/>
        </w:tabs>
        <w:spacing w:line="360" w:lineRule="auto"/>
        <w:ind w:firstLine="480" w:firstLineChars="200"/>
        <w:rPr>
          <w:rFonts w:hint="eastAsia" w:ascii="宋体" w:hAnsi="宋体" w:cs="宋体"/>
          <w:sz w:val="24"/>
          <w:u w:val="single"/>
        </w:rPr>
      </w:pPr>
      <w:r>
        <w:rPr>
          <w:rFonts w:hint="eastAsia" w:ascii="宋体" w:hAnsi="宋体" w:cs="宋体"/>
          <w:sz w:val="24"/>
          <w:u w:val="single"/>
          <w:lang w:val="en-US" w:eastAsia="zh-CN"/>
        </w:rPr>
        <w:t xml:space="preserve">/    </w:t>
      </w:r>
      <w:r>
        <w:rPr>
          <w:rFonts w:hint="eastAsia" w:ascii="宋体" w:hAnsi="宋体" w:cs="宋体"/>
          <w:sz w:val="24"/>
          <w:u w:val="single"/>
        </w:rPr>
        <w:t>。</w:t>
      </w:r>
    </w:p>
    <w:p w14:paraId="41DAC9DD">
      <w:pPr>
        <w:pStyle w:val="24"/>
        <w:spacing w:before="0" w:beforeAutospacing="0" w:after="0" w:afterAutospacing="0" w:line="360" w:lineRule="auto"/>
        <w:ind w:firstLine="480"/>
        <w:rPr>
          <w:b/>
        </w:rPr>
      </w:pPr>
      <w:r>
        <w:rPr>
          <w:rFonts w:hint="eastAsia"/>
          <w:b/>
        </w:rPr>
        <w:t>七、履约保证金</w:t>
      </w:r>
    </w:p>
    <w:bookmarkEnd w:id="407"/>
    <w:bookmarkEnd w:id="408"/>
    <w:bookmarkEnd w:id="409"/>
    <w:p w14:paraId="5EC12B48">
      <w:pPr>
        <w:pStyle w:val="24"/>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single"/>
          <w:lang w:val="en-US" w:eastAsia="zh-CN"/>
        </w:rPr>
        <w:t>本合同最后一批加工件质保期结束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p w14:paraId="7F0A26AE">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6069498">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69890F8D">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51056837">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277E4FD">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F6B1FC2">
      <w:pPr>
        <w:pStyle w:val="24"/>
        <w:spacing w:before="0" w:beforeAutospacing="0" w:after="0" w:afterAutospacing="0" w:line="360" w:lineRule="auto"/>
        <w:ind w:firstLine="480"/>
        <w:rPr>
          <w:b/>
          <w:bCs/>
        </w:rPr>
      </w:pPr>
      <w:r>
        <w:rPr>
          <w:rFonts w:hint="eastAsia"/>
          <w:b/>
          <w:bCs/>
        </w:rPr>
        <w:t>九、资金支付</w:t>
      </w:r>
    </w:p>
    <w:p w14:paraId="59C8E77F">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u w:val="single"/>
          <w:lang w:val="en-US" w:eastAsia="zh-CN"/>
        </w:rPr>
        <w:t>发票要求材料费开具货物类增值税专用发票，加工服务费开具服务类增值税专用发票</w:t>
      </w:r>
      <w:r>
        <w:rPr>
          <w:rFonts w:hint="eastAsia"/>
          <w:lang w:val="en-US" w:eastAsia="zh-CN"/>
        </w:rPr>
        <w:t>，</w:t>
      </w:r>
      <w:r>
        <w:rPr>
          <w:rFonts w:hint="eastAsia"/>
        </w:rPr>
        <w:t>如乙方提供的发票存在问题，甲方有权延迟付款且不承担任何责任。</w:t>
      </w:r>
    </w:p>
    <w:p w14:paraId="5E0095F0">
      <w:pPr>
        <w:pStyle w:val="24"/>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6个月</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4"/>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4"/>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4"/>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p w14:paraId="5B243E0E">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9AC0AD6">
      <w:pPr>
        <w:spacing w:line="360" w:lineRule="auto"/>
        <w:ind w:firstLine="482" w:firstLineChars="200"/>
        <w:rPr>
          <w:rFonts w:ascii="宋体" w:hAnsi="宋体"/>
          <w:sz w:val="24"/>
          <w:u w:val="single"/>
        </w:rPr>
      </w:pPr>
      <w:r>
        <w:rPr>
          <w:rFonts w:hint="eastAsia" w:ascii="宋体" w:hAnsi="宋体"/>
          <w:b/>
          <w:sz w:val="24"/>
        </w:rPr>
        <w:t>十、</w:t>
      </w:r>
      <w:bookmarkEnd w:id="410"/>
      <w:bookmarkEnd w:id="411"/>
      <w:bookmarkEnd w:id="412"/>
      <w:bookmarkEnd w:id="413"/>
      <w:bookmarkEnd w:id="414"/>
      <w:bookmarkStart w:id="418" w:name="_Toc24662"/>
      <w:bookmarkStart w:id="419" w:name="_Toc8586"/>
      <w:bookmarkStart w:id="420" w:name="_Toc3079"/>
      <w:bookmarkStart w:id="421" w:name="_Toc5698"/>
      <w:bookmarkStart w:id="422" w:name="_Toc2375"/>
      <w:r>
        <w:rPr>
          <w:rFonts w:hint="eastAsia" w:ascii="宋体" w:hAnsi="宋体"/>
          <w:b/>
          <w:sz w:val="24"/>
        </w:rPr>
        <w:t>违约责任</w:t>
      </w:r>
      <w:bookmarkEnd w:id="418"/>
      <w:bookmarkEnd w:id="419"/>
      <w:bookmarkEnd w:id="420"/>
      <w:bookmarkEnd w:id="421"/>
      <w:bookmarkEnd w:id="422"/>
    </w:p>
    <w:p w14:paraId="4BF929E6">
      <w:pPr>
        <w:spacing w:line="360" w:lineRule="auto"/>
        <w:ind w:firstLine="480" w:firstLineChars="200"/>
        <w:rPr>
          <w:rFonts w:hint="eastAsia" w:ascii="宋体" w:hAnsi="宋体" w:cs="宋体"/>
          <w:color w:val="auto"/>
          <w:sz w:val="24"/>
          <w:highlight w:val="none"/>
        </w:rPr>
      </w:pPr>
      <w:bookmarkStart w:id="423" w:name="_Toc15583"/>
      <w:bookmarkStart w:id="424" w:name="_Toc16021"/>
      <w:bookmarkStart w:id="425" w:name="_Toc28375"/>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pacing w:line="360" w:lineRule="auto"/>
        <w:ind w:right="-420" w:rightChars="-200" w:firstLine="480" w:firstLineChars="200"/>
        <w:rPr>
          <w:rFonts w:hint="default" w:ascii="宋体" w:hAnsi="宋体" w:cs="宋体" w:eastAsiaTheme="minorEastAsia"/>
          <w:color w:val="auto"/>
          <w:sz w:val="24"/>
          <w:u w:val="single"/>
          <w:lang w:val="en-US" w:eastAsia="zh-CN"/>
        </w:rPr>
      </w:pPr>
      <w:r>
        <w:rPr>
          <w:rFonts w:hint="eastAsia" w:ascii="宋体" w:hAnsi="宋体" w:cs="宋体"/>
          <w:color w:val="auto"/>
          <w:sz w:val="24"/>
          <w:u w:val="single"/>
        </w:rPr>
        <w:t>（1）</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r>
        <w:rPr>
          <w:rFonts w:hint="eastAsia" w:ascii="宋体" w:hAnsi="宋体" w:cs="宋体"/>
          <w:color w:val="auto"/>
          <w:sz w:val="24"/>
          <w:highlight w:val="none"/>
          <w:u w:val="single"/>
        </w:rPr>
        <w:t>违约</w:t>
      </w:r>
      <w:r>
        <w:rPr>
          <w:rFonts w:hint="eastAsia" w:ascii="宋体" w:hAnsi="宋体" w:cs="宋体"/>
          <w:color w:val="auto"/>
          <w:sz w:val="24"/>
          <w:highlight w:val="none"/>
          <w:u w:val="single"/>
          <w:lang w:val="en-US" w:eastAsia="zh-CN"/>
        </w:rPr>
        <w:t>金甲方有权优先从履约保证金扣除，不足部分从货款中扣除；若无履约保证金的，甲方有权直接从货款中扣除；</w:t>
      </w:r>
    </w:p>
    <w:p w14:paraId="040BC8B4">
      <w:pPr>
        <w:pStyle w:val="6"/>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6"/>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cs="宋体" w:eastAsiaTheme="minorEastAsia"/>
          <w:snapToGrid/>
          <w:color w:val="auto"/>
          <w:kern w:val="2"/>
          <w:sz w:val="24"/>
          <w:szCs w:val="24"/>
          <w:lang w:val="en-US" w:eastAsia="zh-CN" w:bidi="ar-SA"/>
        </w:rPr>
        <w:t>，</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4"/>
        <w:ind w:firstLine="720" w:firstLineChars="300"/>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1412C76F">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十一、合同争议的解决</w:t>
      </w:r>
      <w:bookmarkEnd w:id="423"/>
      <w:bookmarkEnd w:id="424"/>
      <w:bookmarkEnd w:id="425"/>
    </w:p>
    <w:p w14:paraId="3519F502">
      <w:pPr>
        <w:spacing w:line="360" w:lineRule="auto"/>
        <w:ind w:right="-420" w:rightChars="-200" w:firstLine="480" w:firstLineChars="200"/>
        <w:rPr>
          <w:rFonts w:ascii="宋体" w:hAnsi="宋体" w:cs="宋体"/>
          <w:sz w:val="24"/>
        </w:rPr>
      </w:pPr>
      <w:r>
        <w:rPr>
          <w:rFonts w:hint="eastAsia" w:ascii="宋体" w:hAnsi="宋体" w:cs="宋体"/>
          <w:color w:val="auto"/>
          <w:sz w:val="24"/>
        </w:rPr>
        <w:t xml:space="preserve"> </w:t>
      </w:r>
      <w:r>
        <w:rPr>
          <w:rFonts w:hint="eastAsia" w:ascii="宋体" w:hAnsi="宋体" w:cs="宋体"/>
          <w:color w:val="auto"/>
          <w:sz w:val="24"/>
          <w:highlight w:val="none"/>
        </w:rPr>
        <w:t>本合同履行过程中发生的任何争议，双方当事人均可通过和解或者调解解决；不愿和解、调解或者和解、调解不成的，向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p w14:paraId="3F84CB61">
      <w:pPr>
        <w:spacing w:line="360" w:lineRule="auto"/>
        <w:ind w:firstLine="482" w:firstLineChars="200"/>
        <w:outlineLvl w:val="0"/>
        <w:rPr>
          <w:rFonts w:ascii="宋体" w:hAnsi="宋体" w:cs="宋体"/>
          <w:b/>
          <w:sz w:val="24"/>
        </w:rPr>
      </w:pPr>
      <w:bookmarkStart w:id="426" w:name="_Toc7245"/>
      <w:bookmarkStart w:id="427" w:name="_Toc15322"/>
      <w:bookmarkStart w:id="428" w:name="_Toc11173"/>
      <w:r>
        <w:rPr>
          <w:rFonts w:hint="eastAsia" w:ascii="宋体" w:hAnsi="宋体" w:cs="宋体"/>
          <w:b/>
          <w:sz w:val="24"/>
        </w:rPr>
        <w:t>十二、合同生效</w:t>
      </w:r>
      <w:bookmarkEnd w:id="426"/>
      <w:bookmarkEnd w:id="427"/>
      <w:bookmarkEnd w:id="428"/>
    </w:p>
    <w:p w14:paraId="774A28D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w:t>
      </w:r>
      <w:r>
        <w:rPr>
          <w:rFonts w:hint="eastAsia" w:ascii="宋体" w:hAnsi="宋体"/>
          <w:color w:val="auto"/>
        </w:rPr>
        <w:t>协议</w:t>
      </w:r>
      <w:r>
        <w:rPr>
          <w:rFonts w:hint="eastAsia" w:ascii="宋体" w:hAnsi="宋体"/>
          <w:color w:val="auto"/>
          <w:lang w:eastAsia="zh-CN"/>
        </w:rPr>
        <w:t>、</w:t>
      </w:r>
      <w:r>
        <w:rPr>
          <w:rFonts w:hint="eastAsia" w:ascii="宋体" w:hAnsi="宋体"/>
          <w:color w:val="auto"/>
        </w:rPr>
        <w:t>第</w:t>
      </w:r>
      <w:r>
        <w:rPr>
          <w:rFonts w:hint="eastAsia" w:ascii="宋体" w:hAnsi="宋体"/>
          <w:color w:val="auto"/>
          <w:lang w:val="en-US" w:eastAsia="zh-CN"/>
        </w:rPr>
        <w:t>五</w:t>
      </w:r>
      <w:r>
        <w:rPr>
          <w:rFonts w:hint="eastAsia" w:ascii="宋体" w:hAnsi="宋体"/>
          <w:color w:val="auto"/>
        </w:rPr>
        <w:t>章</w:t>
      </w:r>
      <w:r>
        <w:rPr>
          <w:rFonts w:hint="eastAsia" w:ascii="宋体" w:hAnsi="宋体"/>
          <w:color w:val="auto"/>
          <w:lang w:val="en-US" w:eastAsia="zh-CN"/>
        </w:rPr>
        <w:t>技术要求</w:t>
      </w:r>
      <w:r>
        <w:rPr>
          <w:rFonts w:hint="eastAsia" w:ascii="宋体" w:hAnsi="宋体"/>
          <w:color w:val="auto"/>
        </w:rPr>
        <w:t>为本合同不</w:t>
      </w:r>
      <w:r>
        <w:rPr>
          <w:rFonts w:hint="eastAsia" w:ascii="宋体" w:hAnsi="宋体"/>
        </w:rPr>
        <w:t>可分割的一部分，</w:t>
      </w:r>
      <w:r>
        <w:rPr>
          <w:rFonts w:ascii="宋体" w:hAnsi="宋体"/>
        </w:rPr>
        <w:t>均具有同等法律效力</w:t>
      </w:r>
      <w:r>
        <w:rPr>
          <w:rFonts w:hint="eastAsia" w:ascii="宋体" w:hAnsi="宋体"/>
        </w:rPr>
        <w:t>。</w:t>
      </w:r>
    </w:p>
    <w:p w14:paraId="0FBA1971">
      <w:pPr>
        <w:spacing w:line="360" w:lineRule="auto"/>
        <w:ind w:firstLine="480" w:firstLineChars="200"/>
        <w:rPr>
          <w:rFonts w:hint="eastAsia" w:ascii="宋体" w:hAnsi="宋体" w:cs="宋体"/>
          <w:sz w:val="24"/>
        </w:rPr>
      </w:pPr>
    </w:p>
    <w:p w14:paraId="54915CD1">
      <w:pPr>
        <w:pStyle w:val="23"/>
        <w:ind w:left="0" w:leftChars="0" w:firstLine="0" w:firstLineChars="0"/>
        <w:jc w:val="center"/>
        <w:rPr>
          <w:rFonts w:hint="eastAsia" w:ascii="宋体" w:hAnsi="宋体"/>
          <w:b/>
          <w:szCs w:val="24"/>
        </w:rPr>
      </w:pPr>
    </w:p>
    <w:p w14:paraId="34A07C03">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59F17285">
      <w:pPr>
        <w:spacing w:line="360" w:lineRule="auto"/>
        <w:ind w:firstLine="482" w:firstLineChars="200"/>
        <w:outlineLvl w:val="0"/>
        <w:rPr>
          <w:rFonts w:ascii="宋体" w:hAnsi="宋体"/>
          <w:b/>
          <w:sz w:val="24"/>
        </w:rPr>
      </w:pPr>
      <w:bookmarkStart w:id="429" w:name="_Toc5228"/>
      <w:bookmarkStart w:id="430" w:name="_Toc14021"/>
      <w:bookmarkStart w:id="431" w:name="_Toc19680"/>
      <w:bookmarkStart w:id="432" w:name="_Toc31297"/>
      <w:bookmarkStart w:id="433" w:name="_Toc25079"/>
      <w:r>
        <w:rPr>
          <w:rFonts w:hint="eastAsia" w:ascii="宋体" w:hAnsi="宋体"/>
          <w:b/>
          <w:sz w:val="24"/>
        </w:rPr>
        <w:t>一、</w:t>
      </w:r>
      <w:r>
        <w:rPr>
          <w:rFonts w:ascii="宋体" w:hAnsi="宋体"/>
          <w:b/>
          <w:sz w:val="24"/>
        </w:rPr>
        <w:t>定义</w:t>
      </w:r>
      <w:bookmarkEnd w:id="429"/>
      <w:bookmarkEnd w:id="430"/>
      <w:bookmarkEnd w:id="431"/>
      <w:bookmarkEnd w:id="432"/>
      <w:bookmarkEnd w:id="433"/>
    </w:p>
    <w:p w14:paraId="00E3E9F1">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5BC5738">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7AE8777E">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1BE7D1C9">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D60D18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8E2366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DB0D8FE">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466A7727">
      <w:pPr>
        <w:spacing w:line="360" w:lineRule="auto"/>
        <w:ind w:firstLine="480" w:firstLineChars="200"/>
        <w:rPr>
          <w:rFonts w:hint="eastAsia" w:ascii="宋体" w:hAnsi="宋体"/>
          <w:b/>
          <w:sz w:val="24"/>
        </w:rPr>
      </w:pPr>
      <w:bookmarkStart w:id="434" w:name="_Toc19539"/>
      <w:bookmarkStart w:id="435" w:name="_Toc23289"/>
      <w:bookmarkStart w:id="436" w:name="_Toc31402"/>
      <w:bookmarkStart w:id="437" w:name="_Toc16752"/>
      <w:bookmarkStart w:id="438" w:name="_Toc3769"/>
      <w:r>
        <w:rPr>
          <w:rFonts w:hint="eastAsia" w:ascii="宋体" w:hAnsi="宋体" w:cs="宋体"/>
          <w:color w:val="auto"/>
          <w:sz w:val="24"/>
          <w:highlight w:val="none"/>
          <w:lang w:val="en-US" w:eastAsia="zh-CN"/>
        </w:rPr>
        <w:t>7. 除特别约定为工作日之外，本合同所有提及的“天”“日”均为日历天。</w:t>
      </w:r>
    </w:p>
    <w:p w14:paraId="233701D6">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34"/>
      <w:bookmarkEnd w:id="435"/>
      <w:bookmarkEnd w:id="436"/>
      <w:bookmarkEnd w:id="437"/>
      <w:bookmarkEnd w:id="438"/>
    </w:p>
    <w:p w14:paraId="71605F75">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5117DCDE">
      <w:pPr>
        <w:spacing w:line="360" w:lineRule="auto"/>
        <w:ind w:firstLine="482" w:firstLineChars="200"/>
        <w:outlineLvl w:val="0"/>
        <w:rPr>
          <w:rFonts w:ascii="宋体" w:hAnsi="宋体"/>
          <w:b/>
          <w:sz w:val="24"/>
        </w:rPr>
      </w:pPr>
      <w:bookmarkStart w:id="439" w:name="_Toc13673"/>
      <w:bookmarkStart w:id="440" w:name="_Toc9161"/>
      <w:bookmarkStart w:id="441" w:name="_Toc27945"/>
      <w:bookmarkStart w:id="442" w:name="_Toc4133"/>
      <w:bookmarkStart w:id="443" w:name="_Toc12412"/>
      <w:r>
        <w:rPr>
          <w:rFonts w:hint="eastAsia" w:ascii="宋体" w:hAnsi="宋体"/>
          <w:b/>
          <w:sz w:val="24"/>
        </w:rPr>
        <w:t>三、</w:t>
      </w:r>
      <w:r>
        <w:rPr>
          <w:rFonts w:ascii="宋体" w:hAnsi="宋体"/>
          <w:b/>
          <w:sz w:val="24"/>
        </w:rPr>
        <w:t xml:space="preserve"> 知识产权</w:t>
      </w:r>
      <w:bookmarkEnd w:id="439"/>
      <w:bookmarkEnd w:id="440"/>
      <w:bookmarkEnd w:id="441"/>
      <w:bookmarkEnd w:id="442"/>
      <w:bookmarkEnd w:id="443"/>
    </w:p>
    <w:p w14:paraId="422AB04F">
      <w:pPr>
        <w:spacing w:line="360" w:lineRule="auto"/>
        <w:ind w:firstLine="480" w:firstLineChars="200"/>
        <w:rPr>
          <w:rFonts w:ascii="宋体" w:hAnsi="宋体" w:cs="宋体"/>
          <w:color w:val="auto"/>
          <w:sz w:val="24"/>
          <w:highlight w:val="none"/>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w:t>
      </w:r>
      <w:r>
        <w:rPr>
          <w:rFonts w:ascii="宋体" w:hAnsi="宋体"/>
          <w:color w:val="auto"/>
          <w:sz w:val="24"/>
        </w:rPr>
        <w:t>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w:t>
      </w:r>
      <w:r>
        <w:rPr>
          <w:rFonts w:hint="eastAsia" w:ascii="宋体" w:hAnsi="宋体"/>
          <w:color w:val="auto"/>
          <w:sz w:val="24"/>
          <w:highlight w:val="none"/>
        </w:rPr>
        <w:t>，</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14:paraId="554537EB">
      <w:pPr>
        <w:spacing w:line="360" w:lineRule="auto"/>
        <w:ind w:firstLine="480" w:firstLineChars="200"/>
        <w:rPr>
          <w:rFonts w:ascii="宋体" w:hAnsi="宋体"/>
          <w:sz w:val="24"/>
        </w:rPr>
      </w:pPr>
      <w:r>
        <w:rPr>
          <w:rFonts w:hint="eastAsia" w:ascii="宋体" w:hAnsi="宋体"/>
          <w:color w:val="auto"/>
          <w:sz w:val="24"/>
        </w:rPr>
        <w:t>2.合同涉及技术成果的归属和收益的分成办法的，双方另行商定签订协议</w:t>
      </w:r>
      <w:r>
        <w:rPr>
          <w:rFonts w:ascii="宋体" w:hAnsi="宋体"/>
          <w:color w:val="auto"/>
          <w:sz w:val="24"/>
        </w:rPr>
        <w:t>。</w:t>
      </w:r>
      <w:r>
        <w:rPr>
          <w:rFonts w:hint="eastAsia" w:ascii="宋体" w:hAnsi="宋体"/>
          <w:color w:val="auto"/>
          <w:sz w:val="24"/>
        </w:rPr>
        <w:t>如双方未另行签订书面协议的，乙方为履行本合同下义务所形成的各项成</w:t>
      </w:r>
      <w:r>
        <w:rPr>
          <w:rFonts w:hint="eastAsia" w:ascii="宋体" w:hAnsi="宋体"/>
          <w:sz w:val="24"/>
        </w:rPr>
        <w:t>果文件之所有权、知识产权均归属于甲方所有，且甲方有权自行或委托第三方进行修改。</w:t>
      </w:r>
    </w:p>
    <w:p w14:paraId="1B3D0E3A">
      <w:pPr>
        <w:spacing w:line="360" w:lineRule="auto"/>
        <w:ind w:firstLine="482" w:firstLineChars="200"/>
        <w:rPr>
          <w:rFonts w:ascii="宋体" w:hAnsi="宋体"/>
          <w:b/>
          <w:sz w:val="24"/>
        </w:rPr>
      </w:pPr>
      <w:r>
        <w:rPr>
          <w:rFonts w:hint="eastAsia" w:ascii="宋体" w:hAnsi="宋体"/>
          <w:b/>
          <w:sz w:val="24"/>
        </w:rPr>
        <w:t>四、履约检查和问题反馈</w:t>
      </w:r>
    </w:p>
    <w:p w14:paraId="009C3789">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A5682B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7F56D2C">
      <w:pPr>
        <w:spacing w:line="360" w:lineRule="auto"/>
        <w:ind w:firstLine="482" w:firstLineChars="200"/>
        <w:outlineLvl w:val="0"/>
        <w:rPr>
          <w:rFonts w:ascii="宋体" w:hAnsi="宋体"/>
          <w:b/>
          <w:sz w:val="24"/>
        </w:rPr>
      </w:pPr>
      <w:bookmarkStart w:id="444" w:name="_Toc26555"/>
      <w:bookmarkStart w:id="445" w:name="_Toc22011"/>
      <w:bookmarkStart w:id="446" w:name="_Toc15447"/>
      <w:bookmarkStart w:id="447" w:name="_Toc31233"/>
      <w:bookmarkStart w:id="448" w:name="_Toc32670"/>
      <w:r>
        <w:rPr>
          <w:rFonts w:hint="eastAsia" w:ascii="宋体" w:hAnsi="宋体"/>
          <w:b/>
          <w:sz w:val="24"/>
        </w:rPr>
        <w:t>五、</w:t>
      </w:r>
      <w:r>
        <w:rPr>
          <w:rFonts w:ascii="宋体" w:hAnsi="宋体"/>
          <w:b/>
          <w:sz w:val="24"/>
        </w:rPr>
        <w:t>结算方式和付款条件</w:t>
      </w:r>
      <w:bookmarkEnd w:id="444"/>
      <w:bookmarkEnd w:id="445"/>
      <w:bookmarkEnd w:id="446"/>
      <w:bookmarkEnd w:id="447"/>
      <w:bookmarkEnd w:id="448"/>
    </w:p>
    <w:p w14:paraId="3EDAB0E0">
      <w:pPr>
        <w:spacing w:line="360" w:lineRule="auto"/>
        <w:ind w:firstLine="480" w:firstLineChars="200"/>
        <w:outlineLvl w:val="0"/>
        <w:rPr>
          <w:rFonts w:hint="eastAsia" w:ascii="宋体" w:hAnsi="宋体"/>
          <w:bCs/>
          <w:sz w:val="24"/>
        </w:rPr>
      </w:pPr>
      <w:bookmarkStart w:id="449" w:name="_Toc30507"/>
      <w:bookmarkStart w:id="450" w:name="_Toc13467"/>
      <w:bookmarkStart w:id="451" w:name="_Toc18990"/>
      <w:bookmarkStart w:id="452" w:name="_Toc16163"/>
      <w:bookmarkStart w:id="453" w:name="_Toc13154"/>
      <w:r>
        <w:rPr>
          <w:rFonts w:hint="eastAsia" w:ascii="宋体" w:hAnsi="宋体"/>
          <w:bCs/>
          <w:sz w:val="24"/>
        </w:rPr>
        <w:t>1.结算方式为转账或者电汇 ，若甲方采用银行承兑支付，双方另行协商；</w:t>
      </w:r>
    </w:p>
    <w:p w14:paraId="514B4BEF">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1C1B60C7">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9"/>
      <w:bookmarkEnd w:id="450"/>
      <w:bookmarkEnd w:id="451"/>
      <w:bookmarkEnd w:id="452"/>
      <w:bookmarkEnd w:id="453"/>
    </w:p>
    <w:p w14:paraId="73A21D90">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670E01C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1D859A5C">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F794F0A">
      <w:pPr>
        <w:spacing w:line="360" w:lineRule="auto"/>
        <w:ind w:firstLine="482" w:firstLineChars="200"/>
        <w:outlineLvl w:val="0"/>
        <w:rPr>
          <w:rFonts w:ascii="宋体" w:hAnsi="宋体"/>
          <w:b/>
          <w:sz w:val="24"/>
        </w:rPr>
      </w:pPr>
      <w:bookmarkStart w:id="454" w:name="_Toc19069"/>
      <w:r>
        <w:rPr>
          <w:rFonts w:hint="eastAsia" w:ascii="宋体" w:hAnsi="宋体"/>
          <w:b/>
          <w:sz w:val="24"/>
        </w:rPr>
        <w:t>七、质量保证</w:t>
      </w:r>
      <w:bookmarkEnd w:id="454"/>
    </w:p>
    <w:p w14:paraId="4BA2FAD4">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78957F56">
      <w:pPr>
        <w:spacing w:line="360" w:lineRule="auto"/>
        <w:ind w:firstLine="482" w:firstLineChars="200"/>
        <w:outlineLvl w:val="0"/>
        <w:rPr>
          <w:rFonts w:ascii="宋体" w:hAnsi="宋体"/>
          <w:b/>
          <w:sz w:val="24"/>
        </w:rPr>
      </w:pPr>
      <w:bookmarkStart w:id="455"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5"/>
    </w:p>
    <w:p w14:paraId="15D53E5D">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6D771E39">
      <w:pPr>
        <w:spacing w:line="360" w:lineRule="auto"/>
        <w:ind w:firstLine="482" w:firstLineChars="200"/>
        <w:outlineLvl w:val="0"/>
        <w:rPr>
          <w:rFonts w:ascii="宋体" w:hAnsi="宋体"/>
          <w:b/>
          <w:sz w:val="24"/>
        </w:rPr>
      </w:pPr>
      <w:bookmarkStart w:id="456" w:name="_Toc10611"/>
      <w:r>
        <w:rPr>
          <w:rFonts w:hint="eastAsia" w:ascii="宋体" w:hAnsi="宋体"/>
          <w:b/>
          <w:sz w:val="24"/>
        </w:rPr>
        <w:t>九、合同变更</w:t>
      </w:r>
      <w:bookmarkEnd w:id="456"/>
      <w:r>
        <w:rPr>
          <w:rFonts w:hint="eastAsia" w:ascii="宋体" w:hAnsi="宋体" w:cs="宋体"/>
          <w:b/>
          <w:sz w:val="24"/>
        </w:rPr>
        <w:t>或补充</w:t>
      </w:r>
    </w:p>
    <w:p w14:paraId="22806946">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06F3EB43">
      <w:pPr>
        <w:spacing w:line="360" w:lineRule="auto"/>
        <w:ind w:firstLine="480" w:firstLineChars="200"/>
        <w:rPr>
          <w:rFonts w:hint="eastAsia" w:ascii="宋体" w:hAnsi="宋体"/>
          <w:sz w:val="24"/>
        </w:rPr>
      </w:pPr>
      <w:bookmarkStart w:id="457" w:name="_Toc42"/>
      <w:bookmarkStart w:id="458" w:name="_Toc10663"/>
      <w:bookmarkStart w:id="459" w:name="_Toc21830"/>
      <w:bookmarkStart w:id="460" w:name="_Toc23368"/>
      <w:bookmarkStart w:id="461"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A330680">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1ADF81B">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7"/>
      <w:bookmarkEnd w:id="458"/>
      <w:bookmarkEnd w:id="459"/>
      <w:bookmarkEnd w:id="460"/>
      <w:bookmarkEnd w:id="461"/>
    </w:p>
    <w:p w14:paraId="65C12326">
      <w:pPr>
        <w:spacing w:line="360" w:lineRule="auto"/>
        <w:ind w:firstLine="480" w:firstLineChars="200"/>
        <w:rPr>
          <w:rFonts w:hint="default" w:ascii="宋体" w:hAnsi="宋体" w:cs="宋体" w:eastAsiaTheme="minorEastAsia"/>
          <w:color w:val="auto"/>
          <w:sz w:val="24"/>
          <w:highlight w:val="none"/>
          <w:lang w:val="en-US" w:eastAsia="zh-CN"/>
        </w:rPr>
      </w:pPr>
      <w:bookmarkStart w:id="462" w:name="_Toc25571"/>
      <w:bookmarkStart w:id="463" w:name="_Toc32494"/>
      <w:bookmarkStart w:id="464" w:name="_Toc4720"/>
      <w:bookmarkStart w:id="465" w:name="_Toc14371"/>
      <w:bookmarkStart w:id="466" w:name="_Toc26633"/>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7B003174">
      <w:pPr>
        <w:spacing w:line="360" w:lineRule="auto"/>
        <w:ind w:firstLine="482" w:firstLineChars="200"/>
        <w:outlineLvl w:val="0"/>
        <w:rPr>
          <w:rFonts w:ascii="宋体" w:hAnsi="宋体"/>
          <w:b/>
          <w:sz w:val="24"/>
        </w:rPr>
      </w:pPr>
      <w:r>
        <w:rPr>
          <w:rFonts w:hint="eastAsia" w:ascii="宋体" w:hAnsi="宋体"/>
          <w:b/>
          <w:sz w:val="24"/>
        </w:rPr>
        <w:t>十一、</w:t>
      </w:r>
      <w:r>
        <w:rPr>
          <w:rFonts w:ascii="宋体" w:hAnsi="宋体"/>
          <w:b/>
          <w:sz w:val="24"/>
        </w:rPr>
        <w:t>不可抗力</w:t>
      </w:r>
      <w:bookmarkEnd w:id="462"/>
      <w:bookmarkEnd w:id="463"/>
      <w:bookmarkEnd w:id="464"/>
      <w:bookmarkEnd w:id="465"/>
      <w:bookmarkEnd w:id="466"/>
    </w:p>
    <w:p w14:paraId="00C14DE9">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1A639B0">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1FDDBE13">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101F41F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855803F">
      <w:pPr>
        <w:spacing w:line="360" w:lineRule="auto"/>
        <w:ind w:firstLine="482" w:firstLineChars="200"/>
        <w:outlineLvl w:val="0"/>
        <w:rPr>
          <w:rFonts w:ascii="宋体" w:hAnsi="宋体"/>
          <w:b/>
          <w:sz w:val="24"/>
        </w:rPr>
      </w:pPr>
      <w:bookmarkStart w:id="467" w:name="_Toc23854"/>
      <w:bookmarkStart w:id="468" w:name="_Toc24465"/>
      <w:bookmarkStart w:id="469" w:name="_Toc3638"/>
      <w:bookmarkStart w:id="470" w:name="_Toc25783"/>
      <w:bookmarkStart w:id="471" w:name="_Toc14115"/>
      <w:r>
        <w:rPr>
          <w:rFonts w:hint="eastAsia" w:ascii="宋体" w:hAnsi="宋体"/>
          <w:b/>
          <w:sz w:val="24"/>
        </w:rPr>
        <w:t>十二、</w:t>
      </w:r>
      <w:r>
        <w:rPr>
          <w:rFonts w:ascii="宋体" w:hAnsi="宋体"/>
          <w:b/>
          <w:sz w:val="24"/>
        </w:rPr>
        <w:t>税费</w:t>
      </w:r>
      <w:bookmarkEnd w:id="467"/>
      <w:bookmarkEnd w:id="468"/>
      <w:bookmarkEnd w:id="469"/>
      <w:bookmarkEnd w:id="470"/>
      <w:bookmarkEnd w:id="471"/>
    </w:p>
    <w:p w14:paraId="05E9590D">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6E29845">
      <w:pPr>
        <w:spacing w:line="360" w:lineRule="auto"/>
        <w:ind w:firstLine="482" w:firstLineChars="200"/>
        <w:outlineLvl w:val="0"/>
        <w:rPr>
          <w:rFonts w:ascii="宋体" w:hAnsi="宋体"/>
          <w:b/>
          <w:sz w:val="24"/>
        </w:rPr>
      </w:pPr>
      <w:bookmarkStart w:id="472" w:name="_Toc14814"/>
      <w:bookmarkStart w:id="473" w:name="_Toc7315"/>
      <w:bookmarkStart w:id="474" w:name="_Toc26883"/>
      <w:bookmarkStart w:id="475" w:name="_Toc30105"/>
      <w:bookmarkStart w:id="476" w:name="_Toc25525"/>
      <w:r>
        <w:rPr>
          <w:rFonts w:hint="eastAsia" w:ascii="宋体" w:hAnsi="宋体"/>
          <w:b/>
          <w:sz w:val="24"/>
        </w:rPr>
        <w:t>十三、</w:t>
      </w:r>
      <w:r>
        <w:rPr>
          <w:rFonts w:ascii="宋体" w:hAnsi="宋体"/>
          <w:b/>
          <w:sz w:val="24"/>
        </w:rPr>
        <w:t>乙方破产</w:t>
      </w:r>
      <w:bookmarkEnd w:id="472"/>
      <w:bookmarkEnd w:id="473"/>
      <w:bookmarkEnd w:id="474"/>
      <w:bookmarkEnd w:id="475"/>
      <w:bookmarkEnd w:id="476"/>
    </w:p>
    <w:p w14:paraId="4EBF4CF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56F2CC83">
      <w:pPr>
        <w:spacing w:line="360" w:lineRule="auto"/>
        <w:ind w:firstLine="482" w:firstLineChars="200"/>
        <w:outlineLvl w:val="0"/>
        <w:rPr>
          <w:rFonts w:ascii="宋体" w:hAnsi="宋体"/>
          <w:b/>
          <w:sz w:val="24"/>
        </w:rPr>
      </w:pPr>
      <w:bookmarkStart w:id="477" w:name="_Toc1123"/>
      <w:bookmarkStart w:id="478" w:name="_Toc23323"/>
      <w:bookmarkStart w:id="479" w:name="_Toc2016"/>
      <w:r>
        <w:rPr>
          <w:rFonts w:hint="eastAsia" w:ascii="宋体" w:hAnsi="宋体"/>
          <w:b/>
          <w:sz w:val="24"/>
        </w:rPr>
        <w:t>十四、</w:t>
      </w:r>
      <w:r>
        <w:rPr>
          <w:rFonts w:ascii="宋体" w:hAnsi="宋体"/>
          <w:b/>
          <w:sz w:val="24"/>
        </w:rPr>
        <w:t>合同中止、终止</w:t>
      </w:r>
      <w:bookmarkEnd w:id="477"/>
      <w:bookmarkEnd w:id="478"/>
      <w:bookmarkEnd w:id="479"/>
    </w:p>
    <w:p w14:paraId="1BC85B6C">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06AF2303">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075C9D3A">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14:paraId="749C73C0">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14:paraId="38671BAA">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14:paraId="23A22CD8">
      <w:pPr>
        <w:spacing w:line="360" w:lineRule="auto"/>
        <w:ind w:firstLine="482" w:firstLineChars="200"/>
        <w:outlineLvl w:val="0"/>
        <w:rPr>
          <w:rFonts w:ascii="宋体" w:hAnsi="宋体"/>
          <w:b/>
          <w:sz w:val="24"/>
        </w:rPr>
      </w:pPr>
      <w:bookmarkStart w:id="480" w:name="_Toc1969"/>
      <w:bookmarkStart w:id="481" w:name="_Toc17363"/>
      <w:bookmarkStart w:id="482" w:name="_Toc14525"/>
      <w:r>
        <w:rPr>
          <w:rFonts w:hint="eastAsia" w:ascii="宋体" w:hAnsi="宋体"/>
          <w:b/>
          <w:sz w:val="24"/>
        </w:rPr>
        <w:t>十五</w:t>
      </w:r>
      <w:bookmarkEnd w:id="480"/>
      <w:bookmarkEnd w:id="481"/>
      <w:bookmarkEnd w:id="482"/>
      <w:bookmarkStart w:id="483" w:name="_Toc25198"/>
      <w:bookmarkStart w:id="484" w:name="_Toc12666"/>
      <w:bookmarkStart w:id="485" w:name="_Toc31892"/>
      <w:bookmarkStart w:id="486" w:name="_Toc2308"/>
      <w:bookmarkStart w:id="487" w:name="_Toc9808"/>
      <w:r>
        <w:rPr>
          <w:rFonts w:hint="eastAsia" w:ascii="宋体" w:hAnsi="宋体"/>
          <w:b/>
          <w:sz w:val="24"/>
        </w:rPr>
        <w:t>、</w:t>
      </w:r>
      <w:r>
        <w:rPr>
          <w:rFonts w:ascii="宋体" w:hAnsi="宋体"/>
          <w:b/>
          <w:sz w:val="24"/>
        </w:rPr>
        <w:t>通知和送达</w:t>
      </w:r>
      <w:bookmarkEnd w:id="483"/>
      <w:bookmarkEnd w:id="484"/>
      <w:bookmarkEnd w:id="485"/>
      <w:bookmarkEnd w:id="486"/>
      <w:bookmarkEnd w:id="487"/>
    </w:p>
    <w:p w14:paraId="32ED5AEF">
      <w:pPr>
        <w:spacing w:line="360" w:lineRule="auto"/>
        <w:ind w:firstLine="480" w:firstLineChars="200"/>
        <w:rPr>
          <w:rFonts w:ascii="宋体" w:hAnsi="宋体"/>
          <w:sz w:val="24"/>
        </w:rPr>
      </w:pPr>
      <w:bookmarkStart w:id="488" w:name="_Toc27674"/>
      <w:bookmarkStart w:id="489" w:name="_Toc18401"/>
      <w:r>
        <w:rPr>
          <w:rFonts w:hint="eastAsia" w:ascii="宋体" w:hAnsi="宋体"/>
          <w:sz w:val="24"/>
        </w:rPr>
        <w:t>1.任何一方因履行合同而以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708A722">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8"/>
      <w:bookmarkEnd w:id="489"/>
    </w:p>
    <w:p w14:paraId="58E4E348">
      <w:pPr>
        <w:spacing w:line="360" w:lineRule="auto"/>
        <w:ind w:firstLine="482" w:firstLineChars="200"/>
        <w:outlineLvl w:val="0"/>
        <w:rPr>
          <w:rFonts w:ascii="宋体" w:hAnsi="宋体" w:cs="宋体"/>
          <w:b/>
          <w:sz w:val="24"/>
        </w:rPr>
      </w:pPr>
      <w:bookmarkStart w:id="490" w:name="_Toc4355"/>
      <w:bookmarkStart w:id="491" w:name="_Toc18540"/>
      <w:bookmarkStart w:id="492" w:name="_Toc30599"/>
      <w:bookmarkStart w:id="493" w:name="_Toc12254"/>
      <w:bookmarkStart w:id="494" w:name="_Toc5063"/>
      <w:bookmarkStart w:id="495" w:name="_Toc27644"/>
      <w:bookmarkStart w:id="496" w:name="_Toc20808"/>
      <w:bookmarkStart w:id="497" w:name="_Toc28906"/>
      <w:r>
        <w:rPr>
          <w:rFonts w:hint="eastAsia" w:ascii="宋体" w:hAnsi="宋体" w:cs="宋体"/>
          <w:b/>
          <w:sz w:val="24"/>
        </w:rPr>
        <w:t>十六、计量单位</w:t>
      </w:r>
      <w:bookmarkEnd w:id="490"/>
      <w:bookmarkEnd w:id="491"/>
      <w:bookmarkEnd w:id="492"/>
    </w:p>
    <w:p w14:paraId="6B286318">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2E7E70C">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3"/>
      <w:bookmarkEnd w:id="494"/>
      <w:bookmarkEnd w:id="495"/>
      <w:bookmarkEnd w:id="496"/>
      <w:bookmarkEnd w:id="497"/>
    </w:p>
    <w:p w14:paraId="3E9371BD">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4631C35F">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5134A07E">
      <w:pPr>
        <w:spacing w:line="360" w:lineRule="auto"/>
        <w:ind w:firstLine="482" w:firstLineChars="200"/>
        <w:outlineLvl w:val="0"/>
        <w:rPr>
          <w:rFonts w:ascii="宋体" w:hAnsi="宋体"/>
          <w:b/>
          <w:sz w:val="24"/>
        </w:rPr>
      </w:pPr>
      <w:r>
        <w:rPr>
          <w:rFonts w:hint="eastAsia" w:ascii="宋体" w:hAnsi="宋体"/>
          <w:b/>
          <w:sz w:val="24"/>
        </w:rPr>
        <w:t>十八、特别提示</w:t>
      </w:r>
    </w:p>
    <w:p w14:paraId="60C270E5">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91CDEFA"/>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2D37C305">
      <w:pPr>
        <w:pStyle w:val="23"/>
        <w:spacing w:line="560" w:lineRule="exact"/>
        <w:ind w:left="0" w:leftChars="0" w:firstLine="0" w:firstLineChars="0"/>
        <w:jc w:val="center"/>
        <w:rPr>
          <w:rFonts w:hint="eastAsia" w:ascii="宋体" w:hAnsi="宋体"/>
          <w:b/>
          <w:szCs w:val="24"/>
        </w:rPr>
      </w:pPr>
    </w:p>
    <w:p w14:paraId="44D199C2">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7469583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68AFF25">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color w:val="auto"/>
          <w:sz w:val="24"/>
          <w:highlight w:val="none"/>
          <w:u w:val="single"/>
        </w:rPr>
        <w:t xml:space="preserve"> ***公司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A29565C">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2025年-2026年机械非标件委外加工服务（第二次重新询价）采购项目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3339D0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5F16C3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2025年-2026年机械非标件委外加工服务（第二次重新询价）采购项目  </w:t>
      </w:r>
      <w:r>
        <w:rPr>
          <w:rFonts w:hint="eastAsia" w:ascii="宋体" w:hAnsi="宋体" w:cs="宋体"/>
          <w:kern w:val="0"/>
          <w:sz w:val="24"/>
          <w:u w:val="single"/>
          <w:lang w:bidi="ar"/>
        </w:rPr>
        <w:t xml:space="preserve">              </w:t>
      </w:r>
    </w:p>
    <w:p w14:paraId="4BB89227">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2A38681B">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65F9387C">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2DC13E58">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0481BFF4">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5FDEBE85">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3C1480C5">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14:paraId="05566B19">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57BCB37E">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8FD97EB">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6B06C0E">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49A4D061">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362ACA21">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71249AD4">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FEEAB79">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F97418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38B3FE2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14A1EF5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252EC00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13BAC65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73E0D645">
      <w:pPr>
        <w:adjustRightInd w:val="0"/>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14:paraId="23E9D005">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C4E38A8">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77557B45">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71D046D7">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3ADFF3C">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7683C843">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AEB2910">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53AFD417">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1F431620">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8937D44">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494CE927">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5928E373">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0D73CFE1">
      <w:pPr>
        <w:pStyle w:val="7"/>
        <w:ind w:firstLine="0" w:firstLineChars="0"/>
        <w:rPr>
          <w:rFonts w:hint="eastAsia"/>
        </w:rPr>
      </w:pPr>
    </w:p>
    <w:p w14:paraId="3527648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C6013E">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 xml:space="preserve">  </w:t>
      </w:r>
    </w:p>
    <w:p w14:paraId="2992610D">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7BBF0C5B">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6D813A02">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7143A6D2">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7DEF07E6">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53ADCE64">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65108BB2">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501C778D">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3B4948A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3E3BA717">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64F0BE07">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21C1601F">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1AB0437">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DB35E1">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0E1906D">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9795327">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7B506A38">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5F59E701">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2F1118A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FE4A6F5">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6A27CD9E">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2293EFAC">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E3ADF3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D3EB89B">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740F3E1F">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2FB83E01">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3AEAAFC4">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0EDA12B2">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9D03614">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40FA384F">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41C44F9">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226F993">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34F66E3C">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39B7DC4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231BCAFE">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3B01F22F">
      <w:pPr>
        <w:spacing w:line="360" w:lineRule="auto"/>
        <w:ind w:firstLine="32"/>
        <w:rPr>
          <w:rFonts w:hint="eastAsia" w:ascii="宋体" w:hAnsi="宋体" w:cs="宋体"/>
          <w:sz w:val="24"/>
        </w:rPr>
      </w:pPr>
    </w:p>
    <w:p w14:paraId="24152953">
      <w:pPr>
        <w:pStyle w:val="13"/>
      </w:pPr>
    </w:p>
    <w:p w14:paraId="5F4E7760">
      <w:pPr>
        <w:pStyle w:val="14"/>
        <w:rPr>
          <w:color w:val="auto"/>
        </w:rPr>
      </w:pPr>
    </w:p>
    <w:p w14:paraId="3B048014">
      <w:pPr>
        <w:pStyle w:val="12"/>
        <w:rPr>
          <w:color w:val="auto"/>
        </w:rPr>
      </w:pPr>
    </w:p>
    <w:p w14:paraId="5C02A5ED">
      <w:pPr>
        <w:rPr>
          <w:color w:val="auto"/>
        </w:rPr>
      </w:pPr>
    </w:p>
    <w:p w14:paraId="557F8F3F">
      <w:pPr>
        <w:pStyle w:val="13"/>
        <w:rPr>
          <w:color w:val="auto"/>
        </w:rPr>
      </w:pPr>
    </w:p>
    <w:p w14:paraId="417C2072">
      <w:pPr>
        <w:rPr>
          <w:color w:val="auto"/>
        </w:rPr>
      </w:pPr>
    </w:p>
    <w:p w14:paraId="0AAC24FD">
      <w:pPr>
        <w:pStyle w:val="13"/>
        <w:rPr>
          <w:color w:val="auto"/>
        </w:rPr>
      </w:pPr>
    </w:p>
    <w:p w14:paraId="399D0E1E">
      <w:pPr>
        <w:rPr>
          <w:color w:val="auto"/>
        </w:rPr>
      </w:pPr>
    </w:p>
    <w:p w14:paraId="7E81C0E8">
      <w:pPr>
        <w:pStyle w:val="13"/>
        <w:rPr>
          <w:color w:val="auto"/>
        </w:rPr>
      </w:pPr>
    </w:p>
    <w:p w14:paraId="693BCFE6">
      <w:pPr>
        <w:rPr>
          <w:color w:val="auto"/>
        </w:rPr>
      </w:pPr>
    </w:p>
    <w:p w14:paraId="6A5FA62D">
      <w:pPr>
        <w:pStyle w:val="13"/>
        <w:rPr>
          <w:color w:val="auto"/>
        </w:rPr>
      </w:pPr>
    </w:p>
    <w:p w14:paraId="32456A36">
      <w:pPr>
        <w:rPr>
          <w:color w:val="auto"/>
        </w:rPr>
      </w:pPr>
    </w:p>
    <w:p w14:paraId="5B98A326">
      <w:pPr>
        <w:pStyle w:val="13"/>
        <w:rPr>
          <w:color w:val="auto"/>
        </w:rPr>
      </w:pPr>
    </w:p>
    <w:p w14:paraId="7797CB86">
      <w:pPr>
        <w:pStyle w:val="13"/>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2025年-2026年机械非标件委外加工服务（第二次重新询价）采购项目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202505039</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14:paraId="79DF5B84">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2025年-2026年机械非标件委外加工服务（第二次重新询价）采购项目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202505039</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437E8B68">
      <w:pPr>
        <w:rPr>
          <w:color w:val="auto"/>
        </w:rPr>
      </w:pPr>
    </w:p>
    <w:p w14:paraId="33A065AF">
      <w:pPr>
        <w:pStyle w:val="6"/>
        <w:rPr>
          <w:color w:val="auto"/>
        </w:rPr>
      </w:pPr>
    </w:p>
    <w:p w14:paraId="390524D3">
      <w:pPr>
        <w:pStyle w:val="14"/>
      </w:pPr>
    </w:p>
    <w:p w14:paraId="35CD09A5">
      <w:pPr>
        <w:pStyle w:val="14"/>
        <w:rPr>
          <w:color w:val="auto"/>
        </w:rPr>
      </w:pPr>
    </w:p>
    <w:p w14:paraId="11A2CB2E">
      <w:pPr>
        <w:rPr>
          <w:color w:val="auto"/>
        </w:rPr>
      </w:pPr>
    </w:p>
    <w:p w14:paraId="7E67FC26">
      <w:pPr>
        <w:pStyle w:val="6"/>
        <w:rPr>
          <w:color w:val="auto"/>
        </w:rPr>
      </w:pPr>
    </w:p>
    <w:p w14:paraId="488F3B7B">
      <w:pPr>
        <w:pStyle w:val="14"/>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要求提供相应的材料；未要求的，无需提供）</w:t>
      </w:r>
    </w:p>
    <w:p w14:paraId="6CAD4292">
      <w:pPr>
        <w:rPr>
          <w:color w:val="auto"/>
        </w:rPr>
      </w:pPr>
    </w:p>
    <w:p w14:paraId="44ED3486">
      <w:pPr>
        <w:pStyle w:val="6"/>
        <w:rPr>
          <w:color w:val="auto"/>
        </w:rPr>
      </w:pPr>
    </w:p>
    <w:p w14:paraId="7051BD90">
      <w:pPr>
        <w:pStyle w:val="14"/>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14"/>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4"/>
        <w:rPr>
          <w:color w:val="auto"/>
        </w:rPr>
      </w:pPr>
    </w:p>
    <w:p w14:paraId="50ED184E">
      <w:pPr>
        <w:rPr>
          <w:color w:val="auto"/>
        </w:rPr>
      </w:pPr>
    </w:p>
    <w:p w14:paraId="1A6F3E74">
      <w:pPr>
        <w:pStyle w:val="6"/>
        <w:rPr>
          <w:color w:val="auto"/>
        </w:rPr>
      </w:pPr>
    </w:p>
    <w:p w14:paraId="464D47F2">
      <w:pPr>
        <w:pStyle w:val="14"/>
        <w:rPr>
          <w:color w:val="auto"/>
        </w:rPr>
      </w:pPr>
    </w:p>
    <w:p w14:paraId="6B511750">
      <w:pPr>
        <w:rPr>
          <w:color w:val="auto"/>
        </w:rPr>
      </w:pPr>
    </w:p>
    <w:p w14:paraId="05A7B796">
      <w:pPr>
        <w:pStyle w:val="6"/>
        <w:rPr>
          <w:color w:val="auto"/>
        </w:rPr>
      </w:pPr>
    </w:p>
    <w:p w14:paraId="4D799C87">
      <w:pPr>
        <w:pStyle w:val="14"/>
        <w:rPr>
          <w:color w:val="auto"/>
        </w:rPr>
      </w:pPr>
    </w:p>
    <w:p w14:paraId="13457C2E">
      <w:pPr>
        <w:rPr>
          <w:color w:val="auto"/>
        </w:rPr>
      </w:pPr>
    </w:p>
    <w:p w14:paraId="3140BC0F">
      <w:pPr>
        <w:pStyle w:val="6"/>
        <w:rPr>
          <w:color w:val="auto"/>
        </w:rPr>
      </w:pPr>
    </w:p>
    <w:p w14:paraId="4ADA0366">
      <w:pPr>
        <w:pStyle w:val="14"/>
        <w:rPr>
          <w:color w:val="auto"/>
        </w:rPr>
      </w:pPr>
    </w:p>
    <w:p w14:paraId="4147016F">
      <w:pPr>
        <w:rPr>
          <w:color w:val="auto"/>
        </w:rPr>
      </w:pPr>
    </w:p>
    <w:p w14:paraId="4B08B63D">
      <w:pPr>
        <w:pStyle w:val="6"/>
        <w:rPr>
          <w:color w:val="auto"/>
        </w:rPr>
      </w:pPr>
    </w:p>
    <w:p w14:paraId="162E241D">
      <w:pPr>
        <w:pStyle w:val="14"/>
        <w:rPr>
          <w:color w:val="auto"/>
        </w:rPr>
      </w:pPr>
    </w:p>
    <w:p w14:paraId="210946A5">
      <w:pPr>
        <w:rPr>
          <w:color w:val="auto"/>
        </w:rPr>
      </w:pPr>
    </w:p>
    <w:p w14:paraId="7A188721">
      <w:pPr>
        <w:pStyle w:val="6"/>
        <w:rPr>
          <w:color w:val="auto"/>
        </w:rPr>
      </w:pPr>
    </w:p>
    <w:p w14:paraId="2E857C92">
      <w:pPr>
        <w:pStyle w:val="14"/>
        <w:rPr>
          <w:color w:val="auto"/>
        </w:rPr>
      </w:pPr>
    </w:p>
    <w:p w14:paraId="3352A739">
      <w:pPr>
        <w:rPr>
          <w:color w:val="auto"/>
        </w:rPr>
      </w:pPr>
    </w:p>
    <w:p w14:paraId="56EA1A6F">
      <w:pPr>
        <w:pStyle w:val="6"/>
        <w:rPr>
          <w:color w:val="auto"/>
        </w:rPr>
      </w:pPr>
    </w:p>
    <w:p w14:paraId="49C902B7">
      <w:pPr>
        <w:pStyle w:val="14"/>
        <w:rPr>
          <w:color w:val="auto"/>
        </w:rPr>
      </w:pPr>
    </w:p>
    <w:p w14:paraId="1BE2D6FF">
      <w:pPr>
        <w:pStyle w:val="6"/>
        <w:rPr>
          <w:color w:val="auto"/>
        </w:rPr>
      </w:pPr>
    </w:p>
    <w:p w14:paraId="151F0F7B">
      <w:pPr>
        <w:pStyle w:val="14"/>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0007663">
      <w:pPr>
        <w:rPr>
          <w:color w:val="auto"/>
        </w:rPr>
      </w:pPr>
    </w:p>
    <w:p w14:paraId="7674EBD7">
      <w:pPr>
        <w:pStyle w:val="14"/>
        <w:ind w:left="0" w:leftChars="0" w:firstLine="0" w:firstLineChars="0"/>
      </w:pPr>
    </w:p>
    <w:p w14:paraId="6385A43C">
      <w:pPr>
        <w:pStyle w:val="14"/>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2025年-2026年机械非标件委外加工服务（第二次重新询价）采购项目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4"/>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2025年-2026年机械非标件委外加工服务（第二次重新询价）采购项目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2025年-2026年机械非标件委外加工服务（第二次重新询价）采购项目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2025年-2026年机械非标件委外加工服务（第二次重新询价）采购项目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2025年-2026年机械非标件委外加工服务（第二次重新询价）采购项目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7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
        <w:gridCol w:w="1967"/>
        <w:gridCol w:w="2315"/>
        <w:gridCol w:w="1073"/>
        <w:gridCol w:w="1480"/>
        <w:gridCol w:w="1583"/>
        <w:gridCol w:w="1712"/>
        <w:gridCol w:w="1584"/>
        <w:gridCol w:w="1584"/>
      </w:tblGrid>
      <w:tr w14:paraId="4A59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A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5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lang w:val="en-US" w:eastAsia="zh-CN" w:bidi="ar"/>
              </w:rPr>
              <w:t>费用</w:t>
            </w:r>
            <w:r>
              <w:rPr>
                <w:rStyle w:val="31"/>
                <w:lang w:val="en-US" w:eastAsia="zh-CN" w:bidi="ar"/>
              </w:rPr>
              <w:t>类别</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B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加工类别/材料类别</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F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9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暂定需求合计（小时）</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BDA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单价限价</w:t>
            </w:r>
            <w:r>
              <w:rPr>
                <w:rFonts w:hint="eastAsia" w:ascii="宋体" w:hAnsi="宋体" w:eastAsia="宋体" w:cs="宋体"/>
                <w:i w:val="0"/>
                <w:iCs w:val="0"/>
                <w:color w:val="000000"/>
                <w:sz w:val="21"/>
                <w:szCs w:val="21"/>
                <w:u w:val="none"/>
                <w:lang w:val="en-US" w:eastAsia="zh-CN"/>
              </w:rPr>
              <w:t>（元）</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82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单价（元）</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1B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w:t>
            </w:r>
            <w:r>
              <w:rPr>
                <w:rFonts w:hint="eastAsia" w:ascii="宋体" w:hAnsi="宋体" w:eastAsia="宋体" w:cs="宋体"/>
                <w:i w:val="0"/>
                <w:iCs w:val="0"/>
                <w:color w:val="000000"/>
                <w:sz w:val="21"/>
                <w:szCs w:val="21"/>
                <w:u w:val="none"/>
                <w:lang w:val="en-US" w:eastAsia="zh-CN"/>
              </w:rPr>
              <w:t>（元）</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B86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税率</w:t>
            </w:r>
          </w:p>
        </w:tc>
      </w:tr>
      <w:tr w14:paraId="1A67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C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F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车加工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B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1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1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1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AC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A2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50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9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9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D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8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0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A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E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0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DA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63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7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A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4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磨加工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E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A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6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9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0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F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4D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2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0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B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数控加工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8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F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610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0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7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4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58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FF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A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F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2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冲加工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0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8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8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6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2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9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91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0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3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8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镗加工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F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4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F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B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F2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3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4F343B">
        <w:tblPrEx>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3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1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2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线切割加工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2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E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9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2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E8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F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87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1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C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7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刨加工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F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3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7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4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6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2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02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8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4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1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钳加工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5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0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C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F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0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D6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4F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6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4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B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热处理</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B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3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7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5F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A1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E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C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6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7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焊接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F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7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D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B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F8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6F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59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A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B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组装</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A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A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3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0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1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5E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DD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2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1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C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Q235-B</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0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3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4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3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0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A0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95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C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0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B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Q345-B</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F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6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0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B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0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1E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2B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B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5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C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20g</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A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6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F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7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DC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4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4C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3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A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2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45#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A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1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E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A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AA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FC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91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2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2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1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12Cr1MoV</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9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1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B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C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D6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05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2D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E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3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2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铝合金</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9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C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1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E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D0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A6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DC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2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5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C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铜</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D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FF5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450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8A9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55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B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5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E6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DF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6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A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A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不锈钢304</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1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E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F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0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0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B2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5B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B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4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B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不锈钢316</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2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1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F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4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D8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75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62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3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0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亚克力</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F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E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2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7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6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A0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0F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F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0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D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尼龙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C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9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A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8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A3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51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E7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5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B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9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橡胶</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E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C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F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6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28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F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3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2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聚四氟乙烯</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E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F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4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B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E1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1C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EE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C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3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D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塑料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1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1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1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8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1A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2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2B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5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B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送货服务费用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09F5">
            <w:pPr>
              <w:jc w:val="center"/>
              <w:rPr>
                <w:rFonts w:hint="eastAsia" w:ascii="宋体" w:hAnsi="宋体" w:eastAsia="宋体" w:cs="宋体"/>
                <w:i w:val="0"/>
                <w:iCs w:val="0"/>
                <w:color w:val="000000"/>
                <w:sz w:val="21"/>
                <w:szCs w:val="21"/>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3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1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5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B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15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5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01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3CD0A">
            <w:pPr>
              <w:spacing w:line="360" w:lineRule="auto"/>
              <w:jc w:val="center"/>
              <w:rPr>
                <w:rFonts w:hint="eastAsia" w:ascii="宋体" w:hAnsi="宋体" w:eastAsia="宋体" w:cs="宋体"/>
                <w:i w:val="0"/>
                <w:iCs w:val="0"/>
                <w:color w:val="000000"/>
                <w:sz w:val="21"/>
                <w:szCs w:val="21"/>
                <w:u w:val="none"/>
              </w:rPr>
            </w:pPr>
            <w:r>
              <w:rPr>
                <w:rFonts w:hint="eastAsia" w:cs="仿宋" w:asciiTheme="minorEastAsia" w:hAnsiTheme="minorEastAsia"/>
                <w:b/>
                <w:color w:val="auto"/>
                <w:sz w:val="24"/>
                <w:highlight w:val="none"/>
              </w:rPr>
              <w:t>响应报价合计（小写）</w:t>
            </w:r>
          </w:p>
        </w:tc>
        <w:tc>
          <w:tcPr>
            <w:tcW w:w="5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5FE3A">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8BED">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AA09">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0B3D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C962C">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响应报价合计（大写）</w:t>
            </w:r>
          </w:p>
        </w:tc>
        <w:tc>
          <w:tcPr>
            <w:tcW w:w="5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8A8D33">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930F">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5BC7">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1FB0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7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3914A4">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b/>
                <w:bCs/>
                <w:u w:val="single"/>
                <w:lang w:val="en-US" w:eastAsia="zh-CN"/>
              </w:rPr>
              <w:t>发票要求材料费开具货物类增值税专用发票，加工服务费开具服务类增值税专用发票。</w:t>
            </w:r>
          </w:p>
        </w:tc>
      </w:tr>
    </w:tbl>
    <w:p w14:paraId="02CC3786">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14"/>
        <w:rPr>
          <w:color w:val="auto"/>
        </w:rPr>
      </w:pPr>
    </w:p>
    <w:p w14:paraId="4EA0DE57">
      <w:pPr>
        <w:rPr>
          <w:color w:val="auto"/>
        </w:rPr>
      </w:pPr>
    </w:p>
    <w:p w14:paraId="5A955980">
      <w:pPr>
        <w:pStyle w:val="6"/>
        <w:rPr>
          <w:color w:val="auto"/>
        </w:rPr>
      </w:pPr>
    </w:p>
    <w:p w14:paraId="51D19BFC">
      <w:pPr>
        <w:pStyle w:val="14"/>
        <w:rPr>
          <w:color w:val="auto"/>
        </w:rPr>
      </w:pPr>
    </w:p>
    <w:p w14:paraId="4C768EA5">
      <w:pPr>
        <w:rPr>
          <w:color w:val="auto"/>
        </w:rPr>
      </w:pPr>
    </w:p>
    <w:p w14:paraId="027572C0">
      <w:pPr>
        <w:pStyle w:val="6"/>
        <w:rPr>
          <w:color w:val="auto"/>
        </w:rPr>
      </w:pPr>
    </w:p>
    <w:p w14:paraId="7548D6A0">
      <w:pPr>
        <w:pStyle w:val="14"/>
        <w:rPr>
          <w:color w:val="auto"/>
        </w:rPr>
      </w:pPr>
    </w:p>
    <w:p w14:paraId="5E06680C">
      <w:pPr>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2025年-2026年机械非标件委外加工服务（第二次重新询价）采购项目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2025年-2026年机械非标件委外加工服务（第二次重新询价）采购项目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EBD7534">
      <w:pPr>
        <w:spacing w:line="360" w:lineRule="auto"/>
        <w:rPr>
          <w:rFonts w:hint="eastAsia" w:cs="仿宋" w:asciiTheme="minorEastAsia" w:hAnsiTheme="minorEastAsia"/>
          <w:b/>
          <w:color w:val="auto"/>
          <w:spacing w:val="6"/>
          <w:sz w:val="32"/>
          <w:szCs w:val="32"/>
        </w:r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19"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3">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DC68D5"/>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3C6DBD"/>
    <w:rsid w:val="0F5E496A"/>
    <w:rsid w:val="0F81598B"/>
    <w:rsid w:val="10947BCD"/>
    <w:rsid w:val="10BE08E9"/>
    <w:rsid w:val="11004F0E"/>
    <w:rsid w:val="1157552B"/>
    <w:rsid w:val="11EC0AD6"/>
    <w:rsid w:val="13064D3F"/>
    <w:rsid w:val="1399374C"/>
    <w:rsid w:val="13FF5068"/>
    <w:rsid w:val="14521AA0"/>
    <w:rsid w:val="146C41CB"/>
    <w:rsid w:val="15BE749A"/>
    <w:rsid w:val="15E02F18"/>
    <w:rsid w:val="15F14F99"/>
    <w:rsid w:val="165A5CE1"/>
    <w:rsid w:val="166F3635"/>
    <w:rsid w:val="168B2B2D"/>
    <w:rsid w:val="185A544F"/>
    <w:rsid w:val="18890233"/>
    <w:rsid w:val="198737C7"/>
    <w:rsid w:val="19DC6BDA"/>
    <w:rsid w:val="1AA56FDE"/>
    <w:rsid w:val="1B7913A6"/>
    <w:rsid w:val="1BEF726B"/>
    <w:rsid w:val="1C742A28"/>
    <w:rsid w:val="1CAA3340"/>
    <w:rsid w:val="1CD34128"/>
    <w:rsid w:val="1CDE6781"/>
    <w:rsid w:val="1D987ACC"/>
    <w:rsid w:val="1DEB283E"/>
    <w:rsid w:val="1F29161A"/>
    <w:rsid w:val="1F457921"/>
    <w:rsid w:val="20284B0B"/>
    <w:rsid w:val="21677697"/>
    <w:rsid w:val="229536BA"/>
    <w:rsid w:val="22A244DC"/>
    <w:rsid w:val="235E195C"/>
    <w:rsid w:val="2378337E"/>
    <w:rsid w:val="237A0EA4"/>
    <w:rsid w:val="23AE001C"/>
    <w:rsid w:val="248340CA"/>
    <w:rsid w:val="249017C8"/>
    <w:rsid w:val="251A0B90"/>
    <w:rsid w:val="25251AF7"/>
    <w:rsid w:val="25C26B32"/>
    <w:rsid w:val="27113C70"/>
    <w:rsid w:val="272E083D"/>
    <w:rsid w:val="27903410"/>
    <w:rsid w:val="284A39BF"/>
    <w:rsid w:val="28A354BE"/>
    <w:rsid w:val="298D0BC4"/>
    <w:rsid w:val="2A1060BE"/>
    <w:rsid w:val="2A6366FF"/>
    <w:rsid w:val="2A6807FA"/>
    <w:rsid w:val="2B32649C"/>
    <w:rsid w:val="2B9B5E5B"/>
    <w:rsid w:val="2BDA5141"/>
    <w:rsid w:val="2C270527"/>
    <w:rsid w:val="2C4141D8"/>
    <w:rsid w:val="2D0347D2"/>
    <w:rsid w:val="2D4D42DF"/>
    <w:rsid w:val="2D682F2F"/>
    <w:rsid w:val="2E17156E"/>
    <w:rsid w:val="2E4A7487"/>
    <w:rsid w:val="2EA152A3"/>
    <w:rsid w:val="2F1F33A8"/>
    <w:rsid w:val="2F5836E9"/>
    <w:rsid w:val="2F7610B9"/>
    <w:rsid w:val="30123142"/>
    <w:rsid w:val="302169BE"/>
    <w:rsid w:val="304A7E50"/>
    <w:rsid w:val="314B6E80"/>
    <w:rsid w:val="31BF0628"/>
    <w:rsid w:val="32843E96"/>
    <w:rsid w:val="32D33460"/>
    <w:rsid w:val="346671FA"/>
    <w:rsid w:val="351F7AFD"/>
    <w:rsid w:val="352F03C1"/>
    <w:rsid w:val="36162BCB"/>
    <w:rsid w:val="363646DC"/>
    <w:rsid w:val="36412810"/>
    <w:rsid w:val="36A32180"/>
    <w:rsid w:val="36BD312A"/>
    <w:rsid w:val="37396C72"/>
    <w:rsid w:val="37514AF4"/>
    <w:rsid w:val="377C0298"/>
    <w:rsid w:val="378351CA"/>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292246"/>
    <w:rsid w:val="403E57B7"/>
    <w:rsid w:val="40423F44"/>
    <w:rsid w:val="40532D51"/>
    <w:rsid w:val="40533552"/>
    <w:rsid w:val="409F1A49"/>
    <w:rsid w:val="4179370E"/>
    <w:rsid w:val="41D016DB"/>
    <w:rsid w:val="42043E37"/>
    <w:rsid w:val="42112513"/>
    <w:rsid w:val="42DF78AA"/>
    <w:rsid w:val="42E9077C"/>
    <w:rsid w:val="433F2D12"/>
    <w:rsid w:val="43496F4C"/>
    <w:rsid w:val="435518AD"/>
    <w:rsid w:val="437A2DA4"/>
    <w:rsid w:val="44873A1C"/>
    <w:rsid w:val="4491515E"/>
    <w:rsid w:val="470471FE"/>
    <w:rsid w:val="472961BF"/>
    <w:rsid w:val="49105C83"/>
    <w:rsid w:val="495D59BE"/>
    <w:rsid w:val="4992263D"/>
    <w:rsid w:val="499917D4"/>
    <w:rsid w:val="49A53D97"/>
    <w:rsid w:val="4AE27CAC"/>
    <w:rsid w:val="4BAC48C9"/>
    <w:rsid w:val="4CAA0A32"/>
    <w:rsid w:val="4E191EC4"/>
    <w:rsid w:val="4EA9254B"/>
    <w:rsid w:val="4F251D5C"/>
    <w:rsid w:val="4FD65994"/>
    <w:rsid w:val="4FEB08B0"/>
    <w:rsid w:val="50772E11"/>
    <w:rsid w:val="50886E1D"/>
    <w:rsid w:val="513B5867"/>
    <w:rsid w:val="51454B8D"/>
    <w:rsid w:val="514563A8"/>
    <w:rsid w:val="51AC0EFB"/>
    <w:rsid w:val="523875F5"/>
    <w:rsid w:val="52506204"/>
    <w:rsid w:val="52B35FD7"/>
    <w:rsid w:val="533B163F"/>
    <w:rsid w:val="53FA1DF3"/>
    <w:rsid w:val="54204352"/>
    <w:rsid w:val="54AB2D04"/>
    <w:rsid w:val="54BE47E5"/>
    <w:rsid w:val="56F563A5"/>
    <w:rsid w:val="571F3A0C"/>
    <w:rsid w:val="57F2034A"/>
    <w:rsid w:val="57F9554E"/>
    <w:rsid w:val="5815439F"/>
    <w:rsid w:val="58235318"/>
    <w:rsid w:val="58354DBE"/>
    <w:rsid w:val="586E6522"/>
    <w:rsid w:val="58BE2D14"/>
    <w:rsid w:val="59121C77"/>
    <w:rsid w:val="59DD570D"/>
    <w:rsid w:val="59DE0E09"/>
    <w:rsid w:val="5A283DD0"/>
    <w:rsid w:val="5A2E5F69"/>
    <w:rsid w:val="5A974EDF"/>
    <w:rsid w:val="5ACD76EE"/>
    <w:rsid w:val="5B021A05"/>
    <w:rsid w:val="5B1647AE"/>
    <w:rsid w:val="5B3D7F5F"/>
    <w:rsid w:val="5EA617F0"/>
    <w:rsid w:val="5EFD2476"/>
    <w:rsid w:val="5F0279C4"/>
    <w:rsid w:val="5F944466"/>
    <w:rsid w:val="607B4AEF"/>
    <w:rsid w:val="6139287F"/>
    <w:rsid w:val="61F56B7E"/>
    <w:rsid w:val="62121B84"/>
    <w:rsid w:val="63CF15A0"/>
    <w:rsid w:val="64CD2ABF"/>
    <w:rsid w:val="657B7ADB"/>
    <w:rsid w:val="660E4A3F"/>
    <w:rsid w:val="673E5F91"/>
    <w:rsid w:val="679754A0"/>
    <w:rsid w:val="67D649B5"/>
    <w:rsid w:val="689618A9"/>
    <w:rsid w:val="68C66552"/>
    <w:rsid w:val="69345B52"/>
    <w:rsid w:val="69421AF7"/>
    <w:rsid w:val="6A4E3ABD"/>
    <w:rsid w:val="6A9D6924"/>
    <w:rsid w:val="6ABD4230"/>
    <w:rsid w:val="6AE63D7E"/>
    <w:rsid w:val="6B462C2B"/>
    <w:rsid w:val="6BD746DF"/>
    <w:rsid w:val="6BDC6E7B"/>
    <w:rsid w:val="6C5C2C61"/>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5602458"/>
    <w:rsid w:val="767E5B01"/>
    <w:rsid w:val="779944AF"/>
    <w:rsid w:val="78160310"/>
    <w:rsid w:val="785A54C0"/>
    <w:rsid w:val="78D32916"/>
    <w:rsid w:val="78E036F2"/>
    <w:rsid w:val="78FD6DDA"/>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2"/>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2340</Words>
  <Characters>2641</Characters>
  <Lines>0</Lines>
  <Paragraphs>0</Paragraphs>
  <TotalTime>19</TotalTime>
  <ScaleCrop>false</ScaleCrop>
  <LinksUpToDate>false</LinksUpToDate>
  <CharactersWithSpaces>2742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2025-06-19T07:06:13Z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A1ED29D5195F42DC88B15D6E555041E6</vt:lpwstr>
  </property>
  <property fmtid="{D5CDD505-2E9C-101B-9397-08002B2CF9AE}" pid="4" name="KSOTemplateDocerSaveRecord">
    <vt:lpwstr>eyJoZGlkIjoiZGE2M2JmYTQ1MzI4YmQxZTA3NWQwODQ1YjYyN2ZmYzQiLCJ1c2VySWQiOiIxNDUxNTgxMDE3In0=</vt:lpwstr>
  </property>
</Properties>
</file>