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2025年-2026年循环水氧化</w:t>
      </w:r>
      <w:r>
        <w:rPr>
          <w:rFonts w:hint="eastAsia" w:cs="宋体" w:asciiTheme="minorEastAsia" w:hAnsiTheme="minorEastAsia"/>
          <w:sz w:val="48"/>
          <w:szCs w:val="48"/>
          <w:u w:val="single"/>
          <w:lang w:val="en-US" w:eastAsia="zh-CN"/>
        </w:rPr>
        <w:t>性</w:t>
      </w:r>
      <w:r>
        <w:rPr>
          <w:rFonts w:hint="eastAsia" w:cs="宋体" w:asciiTheme="minorEastAsia" w:hAnsiTheme="minorEastAsia"/>
          <w:sz w:val="48"/>
          <w:szCs w:val="48"/>
          <w:u w:val="single"/>
          <w:lang w:eastAsia="zh-CN"/>
        </w:rPr>
        <w:t>杀菌剂、非氧化</w:t>
      </w:r>
      <w:r>
        <w:rPr>
          <w:rFonts w:hint="eastAsia" w:cs="宋体" w:asciiTheme="minorEastAsia" w:hAnsiTheme="minorEastAsia"/>
          <w:sz w:val="48"/>
          <w:szCs w:val="48"/>
          <w:u w:val="single"/>
          <w:lang w:val="en-US" w:eastAsia="zh-CN"/>
        </w:rPr>
        <w:t>性</w:t>
      </w:r>
      <w:r>
        <w:rPr>
          <w:rFonts w:hint="eastAsia" w:cs="宋体" w:asciiTheme="minorEastAsia" w:hAnsiTheme="minorEastAsia"/>
          <w:sz w:val="48"/>
          <w:szCs w:val="48"/>
          <w:u w:val="single"/>
          <w:lang w:eastAsia="zh-CN"/>
        </w:rPr>
        <w:t>杀菌剂、缓蚀阻垢剂采购项目</w:t>
      </w:r>
    </w:p>
    <w:p>
      <w:pPr>
        <w:adjustRightInd w:val="0"/>
        <w:snapToGrid w:val="0"/>
        <w:spacing w:line="360" w:lineRule="auto"/>
        <w:jc w:val="center"/>
        <w:rPr>
          <w:rFonts w:hint="eastAsia" w:cs="宋体" w:asciiTheme="minorEastAsia" w:hAnsiTheme="minorEastAsia"/>
          <w:sz w:val="48"/>
          <w:szCs w:val="48"/>
          <w:u w:val="single"/>
          <w:lang w:eastAsia="zh-CN"/>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none"/>
          <w:lang w:val="en-US" w:eastAsia="zh-CN"/>
        </w:rPr>
        <w:t>询价文件</w:t>
      </w:r>
    </w:p>
    <w:p>
      <w:pPr>
        <w:rPr>
          <w:rFonts w:hint="eastAsia" w:cs="宋体" w:asciiTheme="minorEastAsia" w:hAnsiTheme="minorEastAsia"/>
          <w:sz w:val="48"/>
          <w:szCs w:val="48"/>
          <w:u w:val="single"/>
          <w:lang w:eastAsia="zh-CN"/>
        </w:rPr>
      </w:pPr>
    </w:p>
    <w:p>
      <w:pPr>
        <w:pStyle w:val="13"/>
        <w:rPr>
          <w:rFonts w:hint="eastAsia" w:cs="宋体" w:asciiTheme="minorEastAsia" w:hAnsiTheme="minorEastAsia"/>
          <w:sz w:val="48"/>
          <w:szCs w:val="48"/>
          <w:u w:val="single"/>
          <w:lang w:eastAsia="zh-CN"/>
        </w:rPr>
      </w:pPr>
    </w:p>
    <w:p>
      <w:pPr>
        <w:rPr>
          <w:rFonts w:hint="eastAsia"/>
          <w:lang w:eastAsia="zh-CN"/>
        </w:rPr>
      </w:pPr>
    </w:p>
    <w:p>
      <w:pPr>
        <w:adjustRightInd w:val="0"/>
        <w:snapToGrid w:val="0"/>
        <w:spacing w:line="360" w:lineRule="auto"/>
        <w:jc w:val="center"/>
        <w:rPr>
          <w:rFonts w:hint="default" w:cs="仿宋" w:asciiTheme="minorEastAsia" w:hAnsiTheme="minorEastAsia"/>
          <w:b/>
          <w:bCs/>
          <w:sz w:val="72"/>
          <w:szCs w:val="72"/>
          <w:highlight w:val="none"/>
          <w:lang w:val="en-US"/>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202412040</w:t>
      </w: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0"/>
          <w:szCs w:val="30"/>
          <w:highlight w:val="none"/>
        </w:rPr>
      </w:pPr>
      <w:r>
        <w:rPr>
          <w:rFonts w:hint="eastAsia" w:cs="仿宋" w:asciiTheme="minorEastAsia" w:hAnsiTheme="minorEastAsia"/>
          <w:sz w:val="32"/>
          <w:szCs w:val="32"/>
          <w:highlight w:val="none"/>
          <w:lang w:eastAsia="zh-CN"/>
        </w:rPr>
        <w:t>2024年</w:t>
      </w:r>
      <w:r>
        <w:rPr>
          <w:rFonts w:hint="eastAsia" w:cs="仿宋" w:asciiTheme="minorEastAsia" w:hAnsiTheme="minorEastAsia"/>
          <w:sz w:val="32"/>
          <w:szCs w:val="32"/>
          <w:highlight w:val="none"/>
          <w:lang w:val="en-US" w:eastAsia="zh-CN"/>
        </w:rPr>
        <w:t>12</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27</w:t>
      </w:r>
      <w:r>
        <w:rPr>
          <w:rFonts w:hint="eastAsia" w:cs="仿宋" w:asciiTheme="minorEastAsia" w:hAnsiTheme="minorEastAsia"/>
          <w:sz w:val="32"/>
          <w:szCs w:val="32"/>
          <w:highlight w:val="none"/>
        </w:rPr>
        <w:t>日</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2025年-2026年循环水氧化性杀菌剂、非氧化性杀菌剂、缓蚀阻垢剂采购项目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5"/>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highlight w:val="none"/>
          <w:u w:val="single"/>
          <w:lang w:eastAsia="zh-CN"/>
        </w:rPr>
        <w:t>202412040</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2025年-2026年循环水氧化性杀菌剂、非氧化性杀菌剂、缓蚀阻垢剂采购项目</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w:t>
      </w:r>
      <w:r>
        <w:rPr>
          <w:rFonts w:hint="eastAsia" w:cs="仿宋" w:asciiTheme="minorEastAsia" w:hAnsiTheme="minorEastAsia"/>
          <w:b/>
          <w:bCs/>
          <w:sz w:val="24"/>
          <w:highlight w:val="none"/>
        </w:rPr>
        <w:t>价</w:t>
      </w:r>
      <w:r>
        <w:rPr>
          <w:rFonts w:hint="eastAsia" w:cs="仿宋" w:asciiTheme="minorEastAsia" w:hAnsiTheme="minorEastAsia"/>
          <w:b/>
          <w:bCs/>
          <w:sz w:val="24"/>
          <w:highlight w:val="none"/>
        </w:rPr>
        <w:t>：</w:t>
      </w:r>
      <w:r>
        <w:rPr>
          <w:rFonts w:hint="eastAsia" w:cs="仿宋" w:asciiTheme="minorEastAsia" w:hAnsiTheme="minorEastAsia"/>
          <w:sz w:val="24"/>
          <w:highlight w:val="none"/>
          <w:u w:val="single"/>
          <w:lang w:val="en-US" w:eastAsia="zh-CN"/>
        </w:rPr>
        <w:t>29.855</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运行</w:t>
      </w:r>
      <w:r>
        <w:rPr>
          <w:rFonts w:hint="eastAsia" w:hAnsi="宋体" w:cs="宋体"/>
          <w:bCs/>
          <w:sz w:val="24"/>
        </w:rPr>
        <w:t>生产需要，需采购</w:t>
      </w:r>
      <w:r>
        <w:rPr>
          <w:rFonts w:hint="eastAsia" w:hAnsi="宋体" w:cs="宋体"/>
          <w:bCs/>
          <w:sz w:val="24"/>
          <w:lang w:val="en-US" w:eastAsia="zh-CN"/>
        </w:rPr>
        <w:t>一批</w:t>
      </w:r>
      <w:r>
        <w:rPr>
          <w:rFonts w:hint="eastAsia" w:hAnsi="宋体" w:cs="宋体"/>
          <w:bCs/>
          <w:sz w:val="24"/>
          <w:lang w:eastAsia="zh-CN"/>
        </w:rPr>
        <w:t>氧化性杀菌剂、非氧化</w:t>
      </w:r>
      <w:r>
        <w:rPr>
          <w:rFonts w:hint="eastAsia" w:hAnsi="宋体" w:cs="宋体"/>
          <w:bCs/>
          <w:sz w:val="24"/>
          <w:lang w:val="en-US" w:eastAsia="zh-CN"/>
        </w:rPr>
        <w:t>性</w:t>
      </w:r>
      <w:r>
        <w:rPr>
          <w:rFonts w:hint="eastAsia" w:hAnsi="宋体" w:cs="宋体"/>
          <w:bCs/>
          <w:sz w:val="24"/>
          <w:lang w:eastAsia="zh-CN"/>
        </w:rPr>
        <w:t>杀菌剂、缓蚀阻垢剂</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自合同签订起12个月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622"/>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年1月1日起至少1例</w:t>
      </w:r>
      <w:r>
        <w:rPr>
          <w:rFonts w:hint="eastAsia" w:cs="仿宋" w:asciiTheme="minorEastAsia" w:hAnsiTheme="minorEastAsia"/>
          <w:bCs/>
          <w:sz w:val="24"/>
          <w:highlight w:val="none"/>
          <w:u w:val="single"/>
          <w:lang w:val="en-US" w:eastAsia="zh-CN"/>
        </w:rPr>
        <w:t>杀菌剂、</w:t>
      </w:r>
      <w:r>
        <w:rPr>
          <w:rFonts w:hint="eastAsia" w:cs="仿宋" w:asciiTheme="minorEastAsia" w:hAnsiTheme="minorEastAsia"/>
          <w:bCs/>
          <w:sz w:val="24"/>
          <w:highlight w:val="none"/>
          <w:u w:val="single"/>
        </w:rPr>
        <w:t>缓释阻垢剂</w:t>
      </w:r>
      <w:r>
        <w:rPr>
          <w:rFonts w:hint="eastAsia" w:cs="仿宋" w:asciiTheme="minorEastAsia" w:hAnsiTheme="minorEastAsia"/>
          <w:bCs/>
          <w:sz w:val="24"/>
          <w:highlight w:val="none"/>
          <w:u w:val="single"/>
          <w:lang w:val="en-US" w:eastAsia="zh-CN"/>
        </w:rPr>
        <w:t>的销售</w:t>
      </w:r>
      <w:r>
        <w:rPr>
          <w:rFonts w:hint="eastAsia" w:cs="仿宋" w:asciiTheme="minorEastAsia" w:hAnsiTheme="minorEastAsia"/>
          <w:bCs/>
          <w:sz w:val="24"/>
          <w:highlight w:val="none"/>
          <w:u w:val="single"/>
        </w:rPr>
        <w:t>业绩（同时提供合同复印件作为业绩证明材料）。</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4</w:t>
      </w:r>
      <w:r>
        <w:rPr>
          <w:rFonts w:hint="eastAsia" w:cs="仿宋" w:asciiTheme="minorEastAsia" w:hAnsiTheme="minorEastAsia"/>
          <w:bCs/>
          <w:sz w:val="24"/>
        </w:rPr>
        <w:t>.供应商不得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.供应商须提供其股东信息及出资比例信息。</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7</w:t>
      </w:r>
      <w:r>
        <w:rPr>
          <w:rFonts w:cs="仿宋" w:asciiTheme="minorEastAsia" w:hAnsiTheme="minorEastAsia"/>
          <w:bCs/>
          <w:sz w:val="24"/>
        </w:rPr>
        <w:t>.</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5"/>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pPr>
        <w:pStyle w:val="5"/>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5"/>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1</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pP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val="en-US" w:eastAsia="zh-CN"/>
        </w:rPr>
        <w:t>.</w:t>
      </w:r>
      <w:r>
        <w:rPr>
          <w:rFonts w:hint="eastAsia" w:cs="仿宋" w:asciiTheme="minorEastAsia" w:hAnsiTheme="minorEastAsia"/>
          <w:sz w:val="24"/>
          <w:highlight w:val="none"/>
        </w:rPr>
        <w:t>递交方式：响应文件可采用现场递交或者邮寄方式其中任何一种方式。</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14</w:t>
      </w: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12月27</w:t>
      </w:r>
      <w:r>
        <w:rPr>
          <w:rFonts w:hint="eastAsia" w:cs="仿宋" w:asciiTheme="minorEastAsia" w:hAnsiTheme="minorEastAsia"/>
          <w:color w:val="auto"/>
          <w:sz w:val="24"/>
          <w:highlight w:val="none"/>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bookmarkStart w:id="517" w:name="_GoBack"/>
      <w:bookmarkEnd w:id="517"/>
    </w:p>
    <w:p>
      <w:pPr>
        <w:spacing w:line="460" w:lineRule="exact"/>
        <w:jc w:val="center"/>
        <w:rPr>
          <w:rFonts w:cs="仿宋" w:asciiTheme="minorEastAsia" w:hAnsiTheme="minorEastAsia"/>
          <w:b/>
          <w:bCs/>
          <w:sz w:val="36"/>
          <w:szCs w:val="36"/>
        </w:rPr>
      </w:pPr>
    </w:p>
    <w:p>
      <w:pPr>
        <w:pStyle w:val="13"/>
        <w:rPr>
          <w:rFonts w:cs="仿宋" w:asciiTheme="minorEastAsia" w:hAnsiTheme="minorEastAsia"/>
          <w:b/>
          <w:bCs/>
          <w:sz w:val="36"/>
          <w:szCs w:val="36"/>
        </w:rPr>
      </w:pPr>
    </w:p>
    <w:p>
      <w:pPr>
        <w:rPr>
          <w:rFonts w:cs="仿宋" w:asciiTheme="minorEastAsia" w:hAnsiTheme="minorEastAsia"/>
          <w:b/>
          <w:bCs/>
          <w:sz w:val="36"/>
          <w:szCs w:val="36"/>
        </w:rPr>
      </w:pPr>
    </w:p>
    <w:p>
      <w:pPr>
        <w:pStyle w:val="13"/>
      </w:pP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9"/>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w:t>
            </w:r>
            <w:r>
              <w:rPr>
                <w:rFonts w:hint="eastAsia" w:ascii="宋体" w:hAnsi="宋体" w:eastAsia="宋体" w:cs="宋体"/>
                <w:color w:val="auto"/>
                <w:szCs w:val="21"/>
                <w:highlight w:val="none"/>
              </w:rPr>
              <w:t>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rPr>
              <w:t>元，</w:t>
            </w:r>
            <w:r>
              <w:rPr>
                <w:rFonts w:hint="eastAsia" w:ascii="宋体" w:hAnsi="宋体" w:eastAsia="宋体" w:cs="宋体"/>
                <w:color w:val="auto"/>
                <w:szCs w:val="21"/>
              </w:rPr>
              <w:t>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default" w:ascii="宋体" w:hAnsi="宋体" w:eastAsia="宋体" w:cs="宋体"/>
                <w:color w:val="auto"/>
                <w:szCs w:val="21"/>
                <w:lang w:val="en-US"/>
              </w:rPr>
              <w:id w:val="58"/>
            </w:sdtPr>
            <w:sdtEndPr>
              <w:rPr>
                <w:rFonts w:hint="eastAsia" w:ascii="宋体" w:hAnsi="宋体" w:eastAsia="宋体" w:cs="宋体"/>
                <w:b/>
                <w:bCs/>
                <w:color w:val="auto"/>
                <w:szCs w:val="21"/>
                <w:lang w:val="en-US"/>
              </w:rPr>
            </w:sdtEndPr>
            <w:sdtContent>
              <w:sdt>
                <w:sdtPr>
                  <w:rPr>
                    <w:rFonts w:hint="eastAsia" w:ascii="宋体" w:hAnsi="宋体" w:eastAsia="宋体" w:cs="宋体"/>
                    <w:color w:val="auto"/>
                    <w:szCs w:val="21"/>
                  </w:rPr>
                  <w:id w:val="147451923"/>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Pr>
        <w:pStyle w:val="13"/>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lang w:val="en-US"/>
        </w:rPr>
      </w:pPr>
      <w:r>
        <w:rPr>
          <w:rFonts w:hint="eastAsia"/>
          <w:lang w:val="en-US"/>
        </w:rPr>
        <w:t>杭州临江环境能源有限公司因日常</w:t>
      </w:r>
      <w:r>
        <w:rPr>
          <w:rFonts w:hint="eastAsia"/>
          <w:lang w:val="en-US" w:eastAsia="zh-CN"/>
        </w:rPr>
        <w:t>运行</w:t>
      </w:r>
      <w:r>
        <w:rPr>
          <w:rFonts w:hint="eastAsia"/>
          <w:lang w:val="en-US"/>
        </w:rPr>
        <w:t>生产需要，需采购</w:t>
      </w:r>
      <w:r>
        <w:rPr>
          <w:rFonts w:hint="eastAsia"/>
          <w:lang w:val="en-US" w:eastAsia="zh-CN"/>
        </w:rPr>
        <w:t>一批</w:t>
      </w:r>
      <w:r>
        <w:rPr>
          <w:rFonts w:hint="eastAsia"/>
          <w:lang w:val="en-US"/>
        </w:rPr>
        <w:t>氧化</w:t>
      </w:r>
      <w:r>
        <w:rPr>
          <w:rFonts w:hint="eastAsia"/>
          <w:lang w:val="en-US" w:eastAsia="zh-CN"/>
        </w:rPr>
        <w:t>性</w:t>
      </w:r>
      <w:r>
        <w:rPr>
          <w:rFonts w:hint="eastAsia"/>
          <w:lang w:val="en-US"/>
        </w:rPr>
        <w:t>杀菌剂、非氧化</w:t>
      </w:r>
      <w:r>
        <w:rPr>
          <w:rFonts w:hint="eastAsia"/>
          <w:lang w:val="en-US" w:eastAsia="zh-CN"/>
        </w:rPr>
        <w:t>性</w:t>
      </w:r>
      <w:r>
        <w:rPr>
          <w:rFonts w:hint="eastAsia"/>
          <w:lang w:val="en-US"/>
        </w:rPr>
        <w:t>杀菌剂、缓蚀阻垢剂，具体如下：</w:t>
      </w:r>
    </w:p>
    <w:tbl>
      <w:tblPr>
        <w:tblStyle w:val="16"/>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685"/>
        <w:gridCol w:w="2685"/>
        <w:gridCol w:w="855"/>
        <w:gridCol w:w="1176"/>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8"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序号</w:t>
            </w:r>
          </w:p>
        </w:tc>
        <w:tc>
          <w:tcPr>
            <w:tcW w:w="1685"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货物名称</w:t>
            </w:r>
          </w:p>
        </w:tc>
        <w:tc>
          <w:tcPr>
            <w:tcW w:w="2685"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规格型号/技术要求</w:t>
            </w:r>
          </w:p>
        </w:tc>
        <w:tc>
          <w:tcPr>
            <w:tcW w:w="855"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单位</w:t>
            </w:r>
          </w:p>
        </w:tc>
        <w:tc>
          <w:tcPr>
            <w:tcW w:w="1176"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暂定数量</w:t>
            </w:r>
          </w:p>
        </w:tc>
        <w:tc>
          <w:tcPr>
            <w:tcW w:w="2063"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8"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685"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氧化</w:t>
            </w:r>
            <w:r>
              <w:rPr>
                <w:rFonts w:hint="eastAsia" w:ascii="宋体" w:hAnsi="Arial" w:cs="Arial"/>
                <w:snapToGrid w:val="0"/>
                <w:kern w:val="2"/>
                <w:sz w:val="24"/>
                <w:szCs w:val="21"/>
                <w:lang w:val="en-US" w:eastAsia="zh-CN" w:bidi="ar-SA"/>
              </w:rPr>
              <w:t>性</w:t>
            </w:r>
            <w:r>
              <w:rPr>
                <w:rFonts w:hint="eastAsia" w:ascii="宋体" w:hAnsi="Arial" w:cs="Arial" w:eastAsiaTheme="minorEastAsia"/>
                <w:snapToGrid w:val="0"/>
                <w:kern w:val="2"/>
                <w:sz w:val="24"/>
                <w:szCs w:val="21"/>
                <w:lang w:val="en-US" w:eastAsia="zh-CN" w:bidi="ar-SA"/>
              </w:rPr>
              <w:t>杀菌剂</w:t>
            </w:r>
          </w:p>
        </w:tc>
        <w:tc>
          <w:tcPr>
            <w:tcW w:w="2685"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根据</w:t>
            </w:r>
            <w:r>
              <w:rPr>
                <w:rFonts w:hint="eastAsia" w:ascii="宋体" w:hAnsi="Arial" w:cs="Arial"/>
                <w:snapToGrid w:val="0"/>
                <w:kern w:val="2"/>
                <w:sz w:val="24"/>
                <w:szCs w:val="21"/>
                <w:lang w:val="en-US" w:eastAsia="zh-CN" w:bidi="ar-SA"/>
              </w:rPr>
              <w:t>采购人</w:t>
            </w:r>
            <w:r>
              <w:rPr>
                <w:rFonts w:hint="eastAsia" w:ascii="宋体" w:hAnsi="Arial" w:cs="Arial" w:eastAsiaTheme="minorEastAsia"/>
                <w:snapToGrid w:val="0"/>
                <w:kern w:val="2"/>
                <w:sz w:val="24"/>
                <w:szCs w:val="21"/>
                <w:lang w:val="en-US" w:eastAsia="zh-CN" w:bidi="ar-SA"/>
              </w:rPr>
              <w:t>的水质参数，达到灭菌效果。</w:t>
            </w:r>
          </w:p>
        </w:tc>
        <w:tc>
          <w:tcPr>
            <w:tcW w:w="855"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吨</w:t>
            </w:r>
          </w:p>
        </w:tc>
        <w:tc>
          <w:tcPr>
            <w:tcW w:w="1176" w:type="dxa"/>
            <w:noWrap w:val="0"/>
            <w:vAlign w:val="center"/>
          </w:tcPr>
          <w:p>
            <w:pPr>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6.5</w:t>
            </w:r>
          </w:p>
        </w:tc>
        <w:tc>
          <w:tcPr>
            <w:tcW w:w="2063"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数量以</w:t>
            </w:r>
            <w:r>
              <w:rPr>
                <w:rFonts w:hint="eastAsia" w:ascii="宋体" w:hAnsi="Arial" w:cs="Arial"/>
                <w:snapToGrid w:val="0"/>
                <w:kern w:val="2"/>
                <w:sz w:val="24"/>
                <w:szCs w:val="21"/>
                <w:lang w:val="en-US" w:eastAsia="zh-CN" w:bidi="ar-SA"/>
              </w:rPr>
              <w:t>供应商</w:t>
            </w:r>
            <w:r>
              <w:rPr>
                <w:rFonts w:hint="eastAsia" w:ascii="宋体" w:hAnsi="Arial" w:cs="Arial" w:eastAsiaTheme="minorEastAsia"/>
                <w:snapToGrid w:val="0"/>
                <w:kern w:val="2"/>
                <w:sz w:val="24"/>
                <w:szCs w:val="21"/>
                <w:lang w:val="en-US" w:eastAsia="zh-CN" w:bidi="ar-SA"/>
              </w:rPr>
              <w:t>自行制定投标加药方案为准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8"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w:t>
            </w:r>
          </w:p>
        </w:tc>
        <w:tc>
          <w:tcPr>
            <w:tcW w:w="1685"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非氧化</w:t>
            </w:r>
            <w:r>
              <w:rPr>
                <w:rFonts w:hint="eastAsia" w:ascii="宋体" w:hAnsi="Arial" w:cs="Arial"/>
                <w:snapToGrid w:val="0"/>
                <w:kern w:val="2"/>
                <w:sz w:val="24"/>
                <w:szCs w:val="21"/>
                <w:lang w:val="en-US" w:eastAsia="zh-CN" w:bidi="ar-SA"/>
              </w:rPr>
              <w:t>性</w:t>
            </w:r>
            <w:r>
              <w:rPr>
                <w:rFonts w:hint="eastAsia" w:ascii="宋体" w:hAnsi="Arial" w:cs="Arial" w:eastAsiaTheme="minorEastAsia"/>
                <w:snapToGrid w:val="0"/>
                <w:kern w:val="2"/>
                <w:sz w:val="24"/>
                <w:szCs w:val="21"/>
                <w:lang w:val="en-US" w:eastAsia="zh-CN" w:bidi="ar-SA"/>
              </w:rPr>
              <w:t>杀菌剂</w:t>
            </w:r>
          </w:p>
        </w:tc>
        <w:tc>
          <w:tcPr>
            <w:tcW w:w="2685"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根据</w:t>
            </w:r>
            <w:r>
              <w:rPr>
                <w:rFonts w:hint="eastAsia" w:ascii="宋体" w:hAnsi="Arial" w:cs="Arial"/>
                <w:snapToGrid w:val="0"/>
                <w:kern w:val="2"/>
                <w:sz w:val="24"/>
                <w:szCs w:val="21"/>
                <w:lang w:val="en-US" w:eastAsia="zh-CN" w:bidi="ar-SA"/>
              </w:rPr>
              <w:t>采购人</w:t>
            </w:r>
            <w:r>
              <w:rPr>
                <w:rFonts w:hint="eastAsia" w:ascii="宋体" w:hAnsi="Arial" w:cs="Arial" w:eastAsiaTheme="minorEastAsia"/>
                <w:snapToGrid w:val="0"/>
                <w:kern w:val="2"/>
                <w:sz w:val="24"/>
                <w:szCs w:val="21"/>
                <w:lang w:val="en-US" w:eastAsia="zh-CN" w:bidi="ar-SA"/>
              </w:rPr>
              <w:t>的水质参数，达到灭菌效果。</w:t>
            </w:r>
          </w:p>
        </w:tc>
        <w:tc>
          <w:tcPr>
            <w:tcW w:w="855"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吨</w:t>
            </w:r>
          </w:p>
        </w:tc>
        <w:tc>
          <w:tcPr>
            <w:tcW w:w="1176" w:type="dxa"/>
            <w:noWrap w:val="0"/>
            <w:vAlign w:val="center"/>
          </w:tcPr>
          <w:p>
            <w:pPr>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3.5</w:t>
            </w:r>
          </w:p>
        </w:tc>
        <w:tc>
          <w:tcPr>
            <w:tcW w:w="2063"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数量以</w:t>
            </w:r>
            <w:r>
              <w:rPr>
                <w:rFonts w:hint="eastAsia" w:ascii="宋体" w:hAnsi="Arial" w:cs="Arial"/>
                <w:snapToGrid w:val="0"/>
                <w:kern w:val="2"/>
                <w:sz w:val="24"/>
                <w:szCs w:val="21"/>
                <w:lang w:val="en-US" w:eastAsia="zh-CN" w:bidi="ar-SA"/>
              </w:rPr>
              <w:t>供应商</w:t>
            </w:r>
            <w:r>
              <w:rPr>
                <w:rFonts w:hint="eastAsia" w:ascii="宋体" w:hAnsi="Arial" w:cs="Arial" w:eastAsiaTheme="minorEastAsia"/>
                <w:snapToGrid w:val="0"/>
                <w:kern w:val="2"/>
                <w:sz w:val="24"/>
                <w:szCs w:val="21"/>
                <w:lang w:val="en-US" w:eastAsia="zh-CN" w:bidi="ar-SA"/>
              </w:rPr>
              <w:t>自行制定投标加药方案为准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8"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c>
          <w:tcPr>
            <w:tcW w:w="1685"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缓蚀阻垢剂</w:t>
            </w:r>
          </w:p>
        </w:tc>
        <w:tc>
          <w:tcPr>
            <w:tcW w:w="2685"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根据</w:t>
            </w:r>
            <w:r>
              <w:rPr>
                <w:rFonts w:hint="eastAsia" w:ascii="宋体" w:hAnsi="Arial" w:cs="Arial"/>
                <w:snapToGrid w:val="0"/>
                <w:kern w:val="2"/>
                <w:sz w:val="24"/>
                <w:szCs w:val="21"/>
                <w:lang w:val="en-US" w:eastAsia="zh-CN" w:bidi="ar-SA"/>
              </w:rPr>
              <w:t>采购人</w:t>
            </w:r>
            <w:r>
              <w:rPr>
                <w:rFonts w:hint="eastAsia" w:ascii="宋体" w:hAnsi="Arial" w:cs="Arial" w:eastAsiaTheme="minorEastAsia"/>
                <w:snapToGrid w:val="0"/>
                <w:kern w:val="2"/>
                <w:sz w:val="24"/>
                <w:szCs w:val="21"/>
                <w:lang w:val="en-US" w:eastAsia="zh-CN" w:bidi="ar-SA"/>
              </w:rPr>
              <w:t>的水质参数，达到阻垢效果。</w:t>
            </w:r>
          </w:p>
        </w:tc>
        <w:tc>
          <w:tcPr>
            <w:tcW w:w="855"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吨</w:t>
            </w:r>
          </w:p>
        </w:tc>
        <w:tc>
          <w:tcPr>
            <w:tcW w:w="1176" w:type="dxa"/>
            <w:noWrap w:val="0"/>
            <w:vAlign w:val="center"/>
          </w:tcPr>
          <w:p>
            <w:pPr>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17</w:t>
            </w:r>
          </w:p>
        </w:tc>
        <w:tc>
          <w:tcPr>
            <w:tcW w:w="2063" w:type="dxa"/>
            <w:noWrap w:val="0"/>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数量以</w:t>
            </w:r>
            <w:r>
              <w:rPr>
                <w:rFonts w:hint="eastAsia" w:ascii="宋体" w:hAnsi="Arial" w:cs="Arial"/>
                <w:snapToGrid w:val="0"/>
                <w:kern w:val="2"/>
                <w:sz w:val="24"/>
                <w:szCs w:val="21"/>
                <w:lang w:val="en-US" w:eastAsia="zh-CN" w:bidi="ar-SA"/>
              </w:rPr>
              <w:t>供应商</w:t>
            </w:r>
            <w:r>
              <w:rPr>
                <w:rFonts w:hint="eastAsia" w:ascii="宋体" w:hAnsi="Arial" w:cs="Arial" w:eastAsiaTheme="minorEastAsia"/>
                <w:snapToGrid w:val="0"/>
                <w:kern w:val="2"/>
                <w:sz w:val="24"/>
                <w:szCs w:val="21"/>
                <w:lang w:val="en-US" w:eastAsia="zh-CN" w:bidi="ar-SA"/>
              </w:rPr>
              <w:t>自行制定投标加药方案为准</w:t>
            </w:r>
          </w:p>
        </w:tc>
      </w:tr>
    </w:tbl>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val="en-US"/>
        </w:rPr>
        <w:t>二、合同期限：</w:t>
      </w:r>
      <w:r>
        <w:rPr>
          <w:rFonts w:hint="eastAsia" w:ascii="宋体" w:hAnsi="宋体" w:eastAsia="宋体" w:cs="宋体"/>
          <w:b/>
          <w:sz w:val="24"/>
          <w:u w:val="single"/>
        </w:rPr>
        <w:t>自合同签订</w:t>
      </w:r>
      <w:r>
        <w:rPr>
          <w:rFonts w:hint="eastAsia" w:ascii="宋体" w:hAnsi="宋体" w:eastAsia="宋体" w:cs="宋体"/>
          <w:b/>
          <w:sz w:val="24"/>
          <w:u w:val="single"/>
          <w:lang w:val="en-US" w:eastAsia="zh-CN"/>
        </w:rPr>
        <w:t>起12个月</w:t>
      </w:r>
      <w:r>
        <w:rPr>
          <w:rFonts w:hint="eastAsia" w:ascii="宋体" w:hAnsi="宋体" w:eastAsia="宋体" w:cs="宋体"/>
          <w:b/>
          <w:sz w:val="24"/>
          <w:lang w:val="en-US" w:eastAsia="zh-CN"/>
        </w:rPr>
        <w:t>；</w:t>
      </w:r>
    </w:p>
    <w:p>
      <w:pPr>
        <w:pStyle w:val="2"/>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2"/>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2"/>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氧化性杀菌剂、缓蚀阻垢剂型号等技术参数满足采购内容中的规格型号/技术要求，具有国家、地方、行业标准、规范（含强制适用标准、规范和推荐适用标准、规范）的，按相应标准、规范执行（不同标准、规范之间要求不一的，按要求较高者执行）。</w:t>
      </w:r>
    </w:p>
    <w:p>
      <w:pPr>
        <w:pStyle w:val="2"/>
        <w:ind w:firstLine="480" w:firstLineChars="200"/>
        <w:rPr>
          <w:highlight w:val="none"/>
          <w:lang w:val="en-US"/>
        </w:rPr>
      </w:pPr>
      <w:r>
        <w:rPr>
          <w:rFonts w:hint="eastAsia"/>
          <w:highlight w:val="none"/>
          <w:lang w:val="en-US" w:eastAsia="zh-CN"/>
        </w:rPr>
        <w:t>2</w:t>
      </w:r>
      <w:r>
        <w:rPr>
          <w:highlight w:val="none"/>
          <w:lang w:val="en-US"/>
        </w:rPr>
        <w:t>.</w:t>
      </w:r>
      <w:r>
        <w:rPr>
          <w:rFonts w:hint="eastAsia"/>
          <w:highlight w:val="none"/>
          <w:lang w:val="en-US" w:eastAsia="zh-CN"/>
        </w:rPr>
        <w:t>供应商</w:t>
      </w:r>
      <w:r>
        <w:rPr>
          <w:rFonts w:hint="eastAsia"/>
          <w:highlight w:val="none"/>
          <w:lang w:val="en-US"/>
        </w:rPr>
        <w:t>首先应</w:t>
      </w:r>
      <w:r>
        <w:rPr>
          <w:rFonts w:hint="eastAsia"/>
          <w:highlight w:val="none"/>
          <w:lang w:val="en-US" w:eastAsia="zh-CN"/>
        </w:rPr>
        <w:t>根据采购人</w:t>
      </w:r>
      <w:r>
        <w:rPr>
          <w:rFonts w:hint="eastAsia"/>
          <w:highlight w:val="none"/>
          <w:lang w:val="en-US"/>
        </w:rPr>
        <w:t>现有系统水质状况，制定适合水质处理的具体方案，该方案须确保</w:t>
      </w:r>
      <w:r>
        <w:rPr>
          <w:rFonts w:hint="eastAsia"/>
          <w:highlight w:val="none"/>
          <w:lang w:val="en-US" w:eastAsia="zh-CN"/>
        </w:rPr>
        <w:t>供应商</w:t>
      </w:r>
      <w:r>
        <w:rPr>
          <w:rFonts w:hint="eastAsia"/>
          <w:highlight w:val="none"/>
          <w:lang w:val="en-US"/>
        </w:rPr>
        <w:t>所供产品的投放，使采购人的水处理效果符合</w:t>
      </w:r>
      <w:r>
        <w:rPr>
          <w:rFonts w:hint="eastAsia"/>
          <w:color w:val="auto"/>
          <w:highlight w:val="none"/>
          <w:lang w:val="en-US" w:eastAsia="zh-CN"/>
        </w:rPr>
        <w:t>：水处理效果符合国标《工业循环冷却水处理设计规范》（GB/T50050-2017）、《火力发电厂循环水用阻垢缓蚀剂（DL/T806-2013）要求，需达到冷凝塔无明显结垢现象、冷凝水符合国家指标的效果，处理后的工业用水排放标准应符合国家环保部门的要求。</w:t>
      </w:r>
    </w:p>
    <w:p>
      <w:pPr>
        <w:pStyle w:val="2"/>
        <w:ind w:firstLine="480" w:firstLineChars="200"/>
        <w:rPr>
          <w:highlight w:val="none"/>
          <w:lang w:val="en-US"/>
        </w:rPr>
      </w:pPr>
      <w:r>
        <w:rPr>
          <w:rFonts w:hint="eastAsia"/>
          <w:highlight w:val="none"/>
          <w:lang w:val="en-US" w:eastAsia="zh-CN"/>
        </w:rPr>
        <w:t>3</w:t>
      </w:r>
      <w:r>
        <w:rPr>
          <w:highlight w:val="none"/>
          <w:lang w:val="en-US"/>
        </w:rPr>
        <w:t>.</w:t>
      </w:r>
      <w:r>
        <w:rPr>
          <w:rFonts w:hint="eastAsia"/>
          <w:highlight w:val="none"/>
          <w:lang w:val="en-US" w:eastAsia="zh-CN"/>
        </w:rPr>
        <w:t>供应商</w:t>
      </w:r>
      <w:r>
        <w:rPr>
          <w:rFonts w:hint="eastAsia"/>
          <w:highlight w:val="none"/>
          <w:lang w:val="en-US"/>
        </w:rPr>
        <w:t>须根据</w:t>
      </w:r>
      <w:r>
        <w:rPr>
          <w:rFonts w:hint="eastAsia"/>
          <w:highlight w:val="none"/>
          <w:lang w:val="en-US" w:eastAsia="zh-CN"/>
        </w:rPr>
        <w:t>水质</w:t>
      </w:r>
      <w:r>
        <w:rPr>
          <w:rFonts w:hint="eastAsia"/>
          <w:highlight w:val="none"/>
          <w:lang w:val="en-US"/>
        </w:rPr>
        <w:t>情况调整加药方案，以到达应有的标准和技术要求。若由此造成的费用增加，均由</w:t>
      </w:r>
      <w:r>
        <w:rPr>
          <w:rFonts w:hint="eastAsia"/>
          <w:highlight w:val="none"/>
          <w:lang w:val="en-US" w:eastAsia="zh-CN"/>
        </w:rPr>
        <w:t>供应商</w:t>
      </w:r>
      <w:r>
        <w:rPr>
          <w:rFonts w:hint="eastAsia"/>
          <w:highlight w:val="none"/>
          <w:lang w:val="en-US"/>
        </w:rPr>
        <w:t>承担，采购人不再另外支付任何额外费用。</w:t>
      </w:r>
    </w:p>
    <w:p>
      <w:pPr>
        <w:spacing w:line="360" w:lineRule="auto"/>
        <w:ind w:firstLine="482" w:firstLineChars="200"/>
        <w:outlineLvl w:val="0"/>
        <w:rPr>
          <w:rFonts w:hint="default" w:ascii="宋体" w:hAnsi="宋体" w:cs="Arial" w:eastAsiaTheme="minorEastAsia"/>
          <w:b/>
          <w:bCs/>
          <w:snapToGrid w:val="0"/>
          <w:kern w:val="2"/>
          <w:sz w:val="24"/>
          <w:szCs w:val="21"/>
          <w:highlight w:val="none"/>
          <w:u w:val="single"/>
          <w:lang w:val="en-US" w:eastAsia="zh-CN" w:bidi="ar-SA"/>
        </w:rPr>
      </w:pPr>
      <w:r>
        <w:rPr>
          <w:rFonts w:hint="eastAsia" w:ascii="宋体" w:hAnsi="宋体" w:cs="Arial"/>
          <w:b/>
          <w:bCs/>
          <w:snapToGrid w:val="0"/>
          <w:kern w:val="2"/>
          <w:sz w:val="24"/>
          <w:szCs w:val="21"/>
          <w:highlight w:val="none"/>
          <w:u w:val="single"/>
          <w:lang w:val="en-US" w:eastAsia="zh-CN" w:bidi="ar-SA"/>
        </w:rPr>
        <w:t>4</w:t>
      </w:r>
      <w:r>
        <w:rPr>
          <w:rFonts w:hint="eastAsia" w:ascii="宋体" w:hAnsi="宋体" w:cs="Arial" w:eastAsiaTheme="minorEastAsia"/>
          <w:b/>
          <w:bCs/>
          <w:snapToGrid w:val="0"/>
          <w:kern w:val="2"/>
          <w:sz w:val="24"/>
          <w:szCs w:val="21"/>
          <w:highlight w:val="none"/>
          <w:u w:val="single"/>
          <w:lang w:val="en-US" w:eastAsia="zh-CN" w:bidi="ar-SA"/>
        </w:rPr>
        <w:t>.若</w:t>
      </w:r>
      <w:r>
        <w:rPr>
          <w:rFonts w:hint="eastAsia" w:ascii="宋体" w:hAnsi="宋体" w:cs="Arial"/>
          <w:b/>
          <w:bCs/>
          <w:snapToGrid w:val="0"/>
          <w:kern w:val="2"/>
          <w:sz w:val="24"/>
          <w:szCs w:val="21"/>
          <w:highlight w:val="none"/>
          <w:u w:val="single"/>
          <w:lang w:val="en-US" w:eastAsia="zh-CN" w:bidi="ar-SA"/>
        </w:rPr>
        <w:t>供应商</w:t>
      </w:r>
      <w:r>
        <w:rPr>
          <w:rFonts w:hint="eastAsia" w:ascii="宋体" w:hAnsi="宋体" w:cs="Arial" w:eastAsiaTheme="minorEastAsia"/>
          <w:b/>
          <w:bCs/>
          <w:snapToGrid w:val="0"/>
          <w:kern w:val="2"/>
          <w:sz w:val="24"/>
          <w:szCs w:val="21"/>
          <w:highlight w:val="none"/>
          <w:u w:val="single"/>
          <w:lang w:val="en-US" w:eastAsia="zh-CN" w:bidi="ar-SA"/>
        </w:rPr>
        <w:t>加药方案使用效果达不到</w:t>
      </w:r>
      <w:r>
        <w:rPr>
          <w:rFonts w:hint="eastAsia" w:ascii="宋体" w:hAnsi="宋体" w:cs="Arial"/>
          <w:b/>
          <w:bCs/>
          <w:snapToGrid w:val="0"/>
          <w:kern w:val="2"/>
          <w:sz w:val="24"/>
          <w:szCs w:val="21"/>
          <w:highlight w:val="none"/>
          <w:u w:val="single"/>
          <w:lang w:val="en-US" w:eastAsia="zh-CN" w:bidi="ar-SA"/>
        </w:rPr>
        <w:t>采购人</w:t>
      </w:r>
      <w:r>
        <w:rPr>
          <w:rFonts w:hint="eastAsia" w:ascii="宋体" w:hAnsi="宋体" w:cs="Arial" w:eastAsiaTheme="minorEastAsia"/>
          <w:b/>
          <w:bCs/>
          <w:snapToGrid w:val="0"/>
          <w:kern w:val="2"/>
          <w:sz w:val="24"/>
          <w:szCs w:val="21"/>
          <w:highlight w:val="none"/>
          <w:u w:val="single"/>
          <w:lang w:val="en-US" w:eastAsia="zh-CN" w:bidi="ar-SA"/>
        </w:rPr>
        <w:t>要求时，</w:t>
      </w:r>
      <w:r>
        <w:rPr>
          <w:rFonts w:hint="eastAsia" w:ascii="宋体" w:hAnsi="宋体" w:cs="Arial"/>
          <w:b/>
          <w:bCs/>
          <w:snapToGrid w:val="0"/>
          <w:kern w:val="2"/>
          <w:sz w:val="24"/>
          <w:szCs w:val="21"/>
          <w:highlight w:val="none"/>
          <w:u w:val="single"/>
          <w:lang w:val="en-US" w:eastAsia="zh-CN" w:bidi="ar-SA"/>
        </w:rPr>
        <w:t>供应商</w:t>
      </w:r>
      <w:r>
        <w:rPr>
          <w:rFonts w:hint="eastAsia" w:ascii="宋体" w:hAnsi="宋体" w:cs="Arial" w:eastAsiaTheme="minorEastAsia"/>
          <w:b/>
          <w:bCs/>
          <w:snapToGrid w:val="0"/>
          <w:kern w:val="2"/>
          <w:sz w:val="24"/>
          <w:szCs w:val="21"/>
          <w:highlight w:val="none"/>
          <w:u w:val="single"/>
          <w:lang w:val="en-US" w:eastAsia="zh-CN" w:bidi="ar-SA"/>
        </w:rPr>
        <w:t>要及时调整加药方案</w:t>
      </w:r>
      <w:r>
        <w:rPr>
          <w:rFonts w:hint="eastAsia" w:ascii="宋体" w:hAnsi="宋体" w:cs="Arial"/>
          <w:b/>
          <w:bCs/>
          <w:snapToGrid w:val="0"/>
          <w:kern w:val="2"/>
          <w:sz w:val="24"/>
          <w:szCs w:val="21"/>
          <w:highlight w:val="none"/>
          <w:u w:val="single"/>
          <w:lang w:val="en-US" w:eastAsia="zh-CN" w:bidi="ar-SA"/>
        </w:rPr>
        <w:t>，不得以氧化性杀菌剂、非氧化性杀菌剂、缓蚀阻垢剂超过暂定数量为理由停止供货</w:t>
      </w:r>
      <w:r>
        <w:rPr>
          <w:rFonts w:hint="eastAsia" w:ascii="宋体" w:hAnsi="宋体" w:cs="Arial" w:eastAsiaTheme="minorEastAsia"/>
          <w:b/>
          <w:bCs/>
          <w:snapToGrid w:val="0"/>
          <w:kern w:val="2"/>
          <w:sz w:val="24"/>
          <w:szCs w:val="21"/>
          <w:highlight w:val="none"/>
          <w:u w:val="single"/>
          <w:lang w:val="en-US" w:eastAsia="zh-CN" w:bidi="ar-SA"/>
        </w:rPr>
        <w:t>。</w:t>
      </w:r>
    </w:p>
    <w:p>
      <w:pPr>
        <w:pStyle w:val="3"/>
        <w:widowControl w:val="0"/>
        <w:numPr>
          <w:ilvl w:val="0"/>
          <w:numId w:val="0"/>
        </w:numPr>
        <w:autoSpaceDE w:val="0"/>
        <w:autoSpaceDN w:val="0"/>
        <w:adjustRightInd w:val="0"/>
        <w:spacing w:line="360" w:lineRule="auto"/>
        <w:jc w:val="both"/>
        <w:rPr>
          <w:rFonts w:hint="default"/>
          <w:lang w:val="en-US" w:eastAsia="zh-CN"/>
        </w:rPr>
      </w:pPr>
    </w:p>
    <w:p>
      <w:pPr>
        <w:rPr>
          <w:rFonts w:hint="eastAsia"/>
          <w:lang w:val="en-US" w:eastAsia="zh-CN"/>
        </w:rPr>
      </w:pPr>
    </w:p>
    <w:p>
      <w:pPr>
        <w:pStyle w:val="2"/>
        <w:rPr>
          <w:rFonts w:hint="eastAsia"/>
          <w:lang w:val="en-US" w:eastAsia="zh-CN"/>
        </w:rPr>
      </w:pPr>
    </w:p>
    <w:tbl>
      <w:tblPr>
        <w:tblStyle w:val="16"/>
        <w:tblW w:w="8703" w:type="dxa"/>
        <w:tblInd w:w="0" w:type="dxa"/>
        <w:tblLayout w:type="fixed"/>
        <w:tblCellMar>
          <w:top w:w="0" w:type="dxa"/>
          <w:left w:w="0" w:type="dxa"/>
          <w:bottom w:w="0" w:type="dxa"/>
          <w:right w:w="0" w:type="dxa"/>
        </w:tblCellMar>
      </w:tblPr>
      <w:tblGrid>
        <w:gridCol w:w="3528"/>
        <w:gridCol w:w="1880"/>
        <w:gridCol w:w="1767"/>
        <w:gridCol w:w="1528"/>
      </w:tblGrid>
      <w:tr>
        <w:trPr>
          <w:trHeight w:val="375" w:hRule="atLeast"/>
        </w:trPr>
        <w:tc>
          <w:tcPr>
            <w:tcW w:w="8703" w:type="dxa"/>
            <w:gridSpan w:val="4"/>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bottom"/>
          </w:tcPr>
          <w:p>
            <w:pPr>
              <w:pStyle w:val="29"/>
              <w:widowControl/>
              <w:spacing w:line="360" w:lineRule="auto"/>
              <w:ind w:firstLine="482"/>
              <w:jc w:val="center"/>
              <w:rPr>
                <w:rFonts w:hint="eastAsia" w:ascii="宋体" w:hAnsi="宋体" w:eastAsia="宋体" w:cs="宋体"/>
                <w:color w:val="auto"/>
                <w:sz w:val="28"/>
                <w:szCs w:val="28"/>
              </w:rPr>
            </w:pPr>
            <w:r>
              <w:rPr>
                <w:rFonts w:hint="eastAsia" w:ascii="宋体" w:hAnsi="宋体" w:cs="宋体"/>
                <w:b/>
                <w:bCs/>
                <w:color w:val="auto"/>
                <w:kern w:val="2"/>
                <w:sz w:val="24"/>
                <w:szCs w:val="24"/>
                <w:lang w:val="en-US" w:eastAsia="zh-CN" w:bidi="ar-SA"/>
              </w:rPr>
              <w:t>能源运行中心现</w:t>
            </w:r>
            <w:r>
              <w:rPr>
                <w:rFonts w:hint="eastAsia" w:ascii="宋体" w:hAnsi="宋体" w:eastAsia="宋体" w:cs="宋体"/>
                <w:b/>
                <w:bCs/>
                <w:color w:val="auto"/>
                <w:kern w:val="2"/>
                <w:sz w:val="24"/>
                <w:szCs w:val="24"/>
                <w:lang w:val="en-US" w:eastAsia="zh-CN" w:bidi="ar-SA"/>
              </w:rPr>
              <w:t>循环水系统水质状况如下</w:t>
            </w:r>
          </w:p>
        </w:tc>
      </w:tr>
      <w:tr>
        <w:tblPrEx>
          <w:tblCellMar>
            <w:top w:w="0" w:type="dxa"/>
            <w:left w:w="0" w:type="dxa"/>
            <w:bottom w:w="0" w:type="dxa"/>
            <w:right w:w="0" w:type="dxa"/>
          </w:tblCellMar>
        </w:tblPrEx>
        <w:trPr>
          <w:trHeight w:val="375" w:hRule="atLeast"/>
        </w:trPr>
        <w:tc>
          <w:tcPr>
            <w:tcW w:w="3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指标</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补充水</w:t>
            </w:r>
          </w:p>
        </w:tc>
        <w:tc>
          <w:tcPr>
            <w:tcW w:w="176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循环水</w:t>
            </w:r>
          </w:p>
        </w:tc>
        <w:tc>
          <w:tcPr>
            <w:tcW w:w="152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标准</w:t>
            </w:r>
          </w:p>
        </w:tc>
      </w:tr>
      <w:tr>
        <w:tblPrEx>
          <w:tblCellMar>
            <w:top w:w="0" w:type="dxa"/>
            <w:left w:w="0" w:type="dxa"/>
            <w:bottom w:w="0" w:type="dxa"/>
            <w:right w:w="0" w:type="dxa"/>
          </w:tblCellMar>
        </w:tblPrEx>
        <w:trPr>
          <w:trHeight w:val="375" w:hRule="atLeast"/>
        </w:trPr>
        <w:tc>
          <w:tcPr>
            <w:tcW w:w="3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浊度NTU</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0.1</w:t>
            </w:r>
          </w:p>
        </w:tc>
        <w:tc>
          <w:tcPr>
            <w:tcW w:w="176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60" w:lineRule="auto"/>
              <w:ind w:firstLine="480" w:firstLineChars="20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13</w:t>
            </w:r>
          </w:p>
        </w:tc>
        <w:tc>
          <w:tcPr>
            <w:tcW w:w="152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spacing w:line="360" w:lineRule="auto"/>
              <w:ind w:firstLine="480" w:firstLineChars="20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≤20</w:t>
            </w:r>
          </w:p>
        </w:tc>
      </w:tr>
      <w:tr>
        <w:tblPrEx>
          <w:tblCellMar>
            <w:top w:w="0" w:type="dxa"/>
            <w:left w:w="0" w:type="dxa"/>
            <w:bottom w:w="0" w:type="dxa"/>
            <w:right w:w="0" w:type="dxa"/>
          </w:tblCellMar>
        </w:tblPrEx>
        <w:trPr>
          <w:trHeight w:val="375" w:hRule="atLeast"/>
        </w:trPr>
        <w:tc>
          <w:tcPr>
            <w:tcW w:w="3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碱度mmol/L</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350</w:t>
            </w:r>
          </w:p>
        </w:tc>
        <w:tc>
          <w:tcPr>
            <w:tcW w:w="176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60" w:lineRule="auto"/>
              <w:ind w:firstLine="480" w:firstLineChars="20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260</w:t>
            </w:r>
          </w:p>
        </w:tc>
        <w:tc>
          <w:tcPr>
            <w:tcW w:w="152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spacing w:line="360" w:lineRule="auto"/>
              <w:ind w:firstLine="480" w:firstLineChars="20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≤350</w:t>
            </w:r>
          </w:p>
        </w:tc>
      </w:tr>
      <w:tr>
        <w:tblPrEx>
          <w:tblCellMar>
            <w:top w:w="0" w:type="dxa"/>
            <w:left w:w="0" w:type="dxa"/>
            <w:bottom w:w="0" w:type="dxa"/>
            <w:right w:w="0" w:type="dxa"/>
          </w:tblCellMar>
        </w:tblPrEx>
        <w:trPr>
          <w:trHeight w:val="503" w:hRule="atLeast"/>
        </w:trPr>
        <w:tc>
          <w:tcPr>
            <w:tcW w:w="3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硬度mg/l（以CaCO3计）</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450</w:t>
            </w:r>
          </w:p>
        </w:tc>
        <w:tc>
          <w:tcPr>
            <w:tcW w:w="176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60" w:lineRule="auto"/>
              <w:ind w:firstLine="480" w:firstLineChars="20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1775</w:t>
            </w:r>
          </w:p>
        </w:tc>
        <w:tc>
          <w:tcPr>
            <w:tcW w:w="152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spacing w:line="360" w:lineRule="auto"/>
              <w:ind w:firstLine="480" w:firstLineChars="20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≤800</w:t>
            </w:r>
          </w:p>
        </w:tc>
      </w:tr>
      <w:tr>
        <w:tblPrEx>
          <w:tblCellMar>
            <w:top w:w="0" w:type="dxa"/>
            <w:left w:w="0" w:type="dxa"/>
            <w:bottom w:w="0" w:type="dxa"/>
            <w:right w:w="0" w:type="dxa"/>
          </w:tblCellMar>
        </w:tblPrEx>
        <w:trPr>
          <w:trHeight w:val="375" w:hRule="atLeast"/>
        </w:trPr>
        <w:tc>
          <w:tcPr>
            <w:tcW w:w="3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PH值</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6.5~8.5</w:t>
            </w:r>
          </w:p>
        </w:tc>
        <w:tc>
          <w:tcPr>
            <w:tcW w:w="176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7~8.5</w:t>
            </w:r>
          </w:p>
        </w:tc>
        <w:tc>
          <w:tcPr>
            <w:tcW w:w="152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spacing w:line="360" w:lineRule="auto"/>
              <w:ind w:firstLine="480" w:firstLineChars="20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6.8-9.5</w:t>
            </w:r>
          </w:p>
        </w:tc>
      </w:tr>
      <w:tr>
        <w:tblPrEx>
          <w:tblCellMar>
            <w:top w:w="0" w:type="dxa"/>
            <w:left w:w="0" w:type="dxa"/>
            <w:bottom w:w="0" w:type="dxa"/>
            <w:right w:w="0" w:type="dxa"/>
          </w:tblCellMar>
        </w:tblPrEx>
        <w:trPr>
          <w:trHeight w:val="375" w:hRule="atLeast"/>
        </w:trPr>
        <w:tc>
          <w:tcPr>
            <w:tcW w:w="3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氯离子mmol/L</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250</w:t>
            </w:r>
          </w:p>
        </w:tc>
        <w:tc>
          <w:tcPr>
            <w:tcW w:w="176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1000</w:t>
            </w:r>
          </w:p>
        </w:tc>
        <w:tc>
          <w:tcPr>
            <w:tcW w:w="152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spacing w:line="360" w:lineRule="auto"/>
              <w:ind w:firstLine="480" w:firstLineChars="20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≤1000</w:t>
            </w:r>
          </w:p>
        </w:tc>
      </w:tr>
      <w:tr>
        <w:tblPrEx>
          <w:tblCellMar>
            <w:top w:w="0" w:type="dxa"/>
            <w:left w:w="0" w:type="dxa"/>
            <w:bottom w:w="0" w:type="dxa"/>
            <w:right w:w="0" w:type="dxa"/>
          </w:tblCellMar>
        </w:tblPrEx>
        <w:trPr>
          <w:trHeight w:val="375" w:hRule="atLeast"/>
        </w:trPr>
        <w:tc>
          <w:tcPr>
            <w:tcW w:w="3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电导率μS/cm</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自来水</w:t>
            </w:r>
          </w:p>
        </w:tc>
        <w:tc>
          <w:tcPr>
            <w:tcW w:w="176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60" w:lineRule="auto"/>
              <w:ind w:firstLine="480" w:firstLineChars="200"/>
              <w:jc w:val="left"/>
              <w:rPr>
                <w:rFonts w:hint="eastAsia" w:ascii="宋体" w:hAnsi="宋体" w:cs="宋体"/>
                <w:color w:val="auto"/>
                <w:sz w:val="24"/>
                <w:szCs w:val="24"/>
                <w:lang w:val="en-US" w:eastAsia="zh-CN"/>
              </w:rPr>
            </w:pPr>
          </w:p>
        </w:tc>
        <w:tc>
          <w:tcPr>
            <w:tcW w:w="152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spacing w:line="360" w:lineRule="auto"/>
              <w:ind w:firstLine="480" w:firstLineChars="20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≤2000</w:t>
            </w:r>
          </w:p>
        </w:tc>
      </w:tr>
      <w:tr>
        <w:tblPrEx>
          <w:tblCellMar>
            <w:top w:w="0" w:type="dxa"/>
            <w:left w:w="0" w:type="dxa"/>
            <w:bottom w:w="0" w:type="dxa"/>
            <w:right w:w="0" w:type="dxa"/>
          </w:tblCellMar>
        </w:tblPrEx>
        <w:trPr>
          <w:trHeight w:val="375" w:hRule="atLeast"/>
        </w:trPr>
        <w:tc>
          <w:tcPr>
            <w:tcW w:w="3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进出温差</w:t>
            </w:r>
          </w:p>
        </w:tc>
        <w:tc>
          <w:tcPr>
            <w:tcW w:w="5175"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tblPrEx>
          <w:tblCellMar>
            <w:top w:w="0" w:type="dxa"/>
            <w:left w:w="0" w:type="dxa"/>
            <w:bottom w:w="0" w:type="dxa"/>
            <w:right w:w="0" w:type="dxa"/>
          </w:tblCellMar>
        </w:tblPrEx>
        <w:trPr>
          <w:trHeight w:val="375" w:hRule="atLeast"/>
        </w:trPr>
        <w:tc>
          <w:tcPr>
            <w:tcW w:w="3528"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保有水量</w:t>
            </w:r>
          </w:p>
        </w:tc>
        <w:tc>
          <w:tcPr>
            <w:tcW w:w="5175" w:type="dxa"/>
            <w:gridSpan w:val="3"/>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10000t</w:t>
            </w:r>
          </w:p>
        </w:tc>
      </w:tr>
    </w:tbl>
    <w:p>
      <w:pPr>
        <w:pStyle w:val="3"/>
        <w:ind w:left="0" w:leftChars="0" w:firstLine="0" w:firstLineChars="0"/>
        <w:rPr>
          <w:rFonts w:hint="eastAsia"/>
          <w:lang w:val="en-US" w:eastAsia="zh-CN"/>
        </w:rPr>
      </w:pPr>
    </w:p>
    <w:tbl>
      <w:tblPr>
        <w:tblStyle w:val="17"/>
        <w:tblW w:w="8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6"/>
        <w:gridCol w:w="1849"/>
        <w:gridCol w:w="1675"/>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841" w:type="dxa"/>
            <w:gridSpan w:val="4"/>
            <w:vAlign w:val="center"/>
          </w:tcPr>
          <w:p>
            <w:pPr>
              <w:spacing w:line="360" w:lineRule="auto"/>
              <w:ind w:firstLine="482" w:firstLineChars="200"/>
              <w:jc w:val="center"/>
              <w:rPr>
                <w:rFonts w:hint="eastAsia" w:ascii="宋体" w:hAnsi="宋体" w:cs="宋体"/>
                <w:color w:val="auto"/>
                <w:sz w:val="24"/>
                <w:szCs w:val="24"/>
                <w:lang w:val="en-US" w:eastAsia="zh-CN"/>
              </w:rPr>
            </w:pPr>
            <w:r>
              <w:rPr>
                <w:rFonts w:hint="eastAsia" w:ascii="宋体" w:hAnsi="宋体" w:cs="宋体"/>
                <w:b/>
                <w:bCs/>
                <w:color w:val="auto"/>
                <w:kern w:val="2"/>
                <w:sz w:val="24"/>
                <w:szCs w:val="24"/>
                <w:lang w:val="en-US" w:eastAsia="zh-CN" w:bidi="ar-SA"/>
              </w:rPr>
              <w:t>三固运行中心现</w:t>
            </w:r>
            <w:r>
              <w:rPr>
                <w:rFonts w:hint="eastAsia" w:ascii="宋体" w:hAnsi="宋体" w:eastAsia="宋体" w:cs="宋体"/>
                <w:b/>
                <w:bCs/>
                <w:color w:val="auto"/>
                <w:kern w:val="2"/>
                <w:sz w:val="24"/>
                <w:szCs w:val="24"/>
                <w:lang w:val="en-US" w:eastAsia="zh-CN" w:bidi="ar-SA"/>
              </w:rPr>
              <w:t>循环水系统水质状况如下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336" w:type="dxa"/>
            <w:vAlign w:val="center"/>
          </w:tcPr>
          <w:p>
            <w:pPr>
              <w:spacing w:line="360" w:lineRule="auto"/>
              <w:ind w:firstLine="480" w:firstLineChars="200"/>
              <w:jc w:val="center"/>
              <w:rPr>
                <w:rFonts w:hint="default"/>
                <w:vertAlign w:val="baseline"/>
                <w:lang w:val="en-US" w:eastAsia="zh-CN"/>
              </w:rPr>
            </w:pPr>
            <w:r>
              <w:rPr>
                <w:rFonts w:hint="eastAsia" w:ascii="宋体" w:hAnsi="宋体" w:eastAsia="宋体" w:cs="宋体"/>
                <w:color w:val="auto"/>
                <w:sz w:val="24"/>
                <w:szCs w:val="24"/>
              </w:rPr>
              <w:t>指标</w:t>
            </w:r>
          </w:p>
        </w:tc>
        <w:tc>
          <w:tcPr>
            <w:tcW w:w="1849" w:type="dxa"/>
            <w:vAlign w:val="center"/>
          </w:tcPr>
          <w:p>
            <w:pPr>
              <w:spacing w:line="360" w:lineRule="auto"/>
              <w:ind w:firstLine="480" w:firstLineChars="200"/>
              <w:jc w:val="both"/>
              <w:rPr>
                <w:rFonts w:hint="default"/>
                <w:vertAlign w:val="baseline"/>
                <w:lang w:val="en-US" w:eastAsia="zh-CN"/>
              </w:rPr>
            </w:pPr>
            <w:r>
              <w:rPr>
                <w:rFonts w:hint="eastAsia" w:ascii="宋体" w:hAnsi="宋体" w:eastAsia="宋体" w:cs="宋体"/>
                <w:color w:val="auto"/>
                <w:sz w:val="24"/>
                <w:szCs w:val="24"/>
              </w:rPr>
              <w:t>补充水</w:t>
            </w:r>
          </w:p>
        </w:tc>
        <w:tc>
          <w:tcPr>
            <w:tcW w:w="1675" w:type="dxa"/>
            <w:vAlign w:val="center"/>
          </w:tcPr>
          <w:p>
            <w:pPr>
              <w:spacing w:line="360" w:lineRule="auto"/>
              <w:ind w:firstLine="480" w:firstLineChars="200"/>
              <w:jc w:val="both"/>
              <w:rPr>
                <w:rFonts w:hint="default"/>
                <w:vertAlign w:val="baseline"/>
                <w:lang w:val="en-US" w:eastAsia="zh-CN"/>
              </w:rPr>
            </w:pPr>
            <w:r>
              <w:rPr>
                <w:rFonts w:hint="eastAsia" w:ascii="宋体" w:hAnsi="宋体" w:eastAsia="宋体" w:cs="宋体"/>
                <w:color w:val="auto"/>
                <w:sz w:val="24"/>
                <w:szCs w:val="24"/>
              </w:rPr>
              <w:t>循环水</w:t>
            </w:r>
          </w:p>
        </w:tc>
        <w:tc>
          <w:tcPr>
            <w:tcW w:w="1981" w:type="dxa"/>
            <w:shd w:val="clear" w:color="auto" w:fill="auto"/>
            <w:vAlign w:val="center"/>
          </w:tcPr>
          <w:p>
            <w:pPr>
              <w:spacing w:line="360" w:lineRule="auto"/>
              <w:ind w:firstLine="480" w:firstLineChars="200"/>
              <w:jc w:val="both"/>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336" w:type="dxa"/>
            <w:vAlign w:val="center"/>
          </w:tcPr>
          <w:p>
            <w:pPr>
              <w:spacing w:line="360" w:lineRule="auto"/>
              <w:ind w:firstLine="480" w:firstLineChars="200"/>
              <w:jc w:val="center"/>
              <w:rPr>
                <w:rFonts w:hint="default"/>
                <w:vertAlign w:val="baseline"/>
                <w:lang w:val="en-US" w:eastAsia="zh-CN"/>
              </w:rPr>
            </w:pPr>
            <w:r>
              <w:rPr>
                <w:rFonts w:hint="eastAsia" w:ascii="宋体" w:hAnsi="宋体" w:cs="宋体"/>
                <w:color w:val="auto"/>
                <w:sz w:val="24"/>
                <w:szCs w:val="24"/>
                <w:lang w:val="en-US" w:eastAsia="zh-CN"/>
              </w:rPr>
              <w:t>浊度NTU</w:t>
            </w:r>
          </w:p>
        </w:tc>
        <w:tc>
          <w:tcPr>
            <w:tcW w:w="1849" w:type="dxa"/>
            <w:vAlign w:val="center"/>
          </w:tcPr>
          <w:p>
            <w:pPr>
              <w:spacing w:line="360" w:lineRule="auto"/>
              <w:ind w:firstLine="480" w:firstLineChars="200"/>
              <w:jc w:val="both"/>
              <w:rPr>
                <w:rFonts w:hint="default"/>
                <w:vertAlign w:val="baseline"/>
                <w:lang w:val="en-US" w:eastAsia="zh-CN"/>
              </w:rPr>
            </w:pPr>
            <w:r>
              <w:rPr>
                <w:rFonts w:hint="eastAsia" w:ascii="宋体" w:hAnsi="宋体" w:cs="宋体"/>
                <w:color w:val="auto"/>
                <w:sz w:val="24"/>
                <w:szCs w:val="24"/>
                <w:lang w:val="en-US" w:eastAsia="zh-CN"/>
              </w:rPr>
              <w:t>0.1</w:t>
            </w:r>
          </w:p>
        </w:tc>
        <w:tc>
          <w:tcPr>
            <w:tcW w:w="1675" w:type="dxa"/>
            <w:vAlign w:val="center"/>
          </w:tcPr>
          <w:p>
            <w:pPr>
              <w:spacing w:line="360" w:lineRule="auto"/>
              <w:ind w:firstLine="480" w:firstLineChars="200"/>
              <w:jc w:val="both"/>
              <w:rPr>
                <w:rFonts w:hint="default"/>
                <w:vertAlign w:val="baseline"/>
                <w:lang w:val="en-US" w:eastAsia="zh-CN"/>
              </w:rPr>
            </w:pPr>
            <w:r>
              <w:rPr>
                <w:rFonts w:hint="eastAsia" w:ascii="宋体" w:hAnsi="宋体" w:cs="宋体"/>
                <w:color w:val="auto"/>
                <w:sz w:val="24"/>
                <w:szCs w:val="24"/>
                <w:lang w:val="en-US" w:eastAsia="zh-CN"/>
              </w:rPr>
              <w:t>13</w:t>
            </w:r>
          </w:p>
        </w:tc>
        <w:tc>
          <w:tcPr>
            <w:tcW w:w="1981" w:type="dxa"/>
            <w:shd w:val="clear" w:color="auto" w:fill="auto"/>
            <w:vAlign w:val="center"/>
          </w:tcPr>
          <w:p>
            <w:pPr>
              <w:spacing w:line="360" w:lineRule="auto"/>
              <w:ind w:firstLine="480" w:firstLineChars="200"/>
              <w:jc w:val="both"/>
              <w:rPr>
                <w:rFonts w:hint="default"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336" w:type="dxa"/>
            <w:vAlign w:val="center"/>
          </w:tcPr>
          <w:p>
            <w:pPr>
              <w:spacing w:line="360" w:lineRule="auto"/>
              <w:ind w:firstLine="480" w:firstLineChars="200"/>
              <w:jc w:val="center"/>
              <w:rPr>
                <w:rFonts w:hint="default"/>
                <w:vertAlign w:val="baseline"/>
                <w:lang w:val="en-US" w:eastAsia="zh-CN"/>
              </w:rPr>
            </w:pPr>
            <w:r>
              <w:rPr>
                <w:rFonts w:hint="eastAsia" w:ascii="宋体" w:hAnsi="宋体" w:eastAsia="宋体" w:cs="宋体"/>
                <w:color w:val="auto"/>
                <w:sz w:val="24"/>
                <w:szCs w:val="24"/>
              </w:rPr>
              <w:t>碱度mmol/L</w:t>
            </w:r>
          </w:p>
        </w:tc>
        <w:tc>
          <w:tcPr>
            <w:tcW w:w="1849" w:type="dxa"/>
            <w:vAlign w:val="center"/>
          </w:tcPr>
          <w:p>
            <w:pPr>
              <w:spacing w:line="360" w:lineRule="auto"/>
              <w:ind w:firstLine="480" w:firstLineChars="200"/>
              <w:jc w:val="both"/>
              <w:rPr>
                <w:rFonts w:hint="default"/>
                <w:vertAlign w:val="baseline"/>
                <w:lang w:val="en-US" w:eastAsia="zh-CN"/>
              </w:rPr>
            </w:pPr>
            <w:r>
              <w:rPr>
                <w:rFonts w:hint="eastAsia" w:ascii="宋体" w:hAnsi="宋体" w:eastAsia="宋体" w:cs="宋体"/>
                <w:color w:val="auto"/>
                <w:sz w:val="24"/>
                <w:szCs w:val="24"/>
              </w:rPr>
              <w:t>350</w:t>
            </w:r>
          </w:p>
        </w:tc>
        <w:tc>
          <w:tcPr>
            <w:tcW w:w="1675" w:type="dxa"/>
            <w:vAlign w:val="center"/>
          </w:tcPr>
          <w:p>
            <w:pPr>
              <w:spacing w:line="360" w:lineRule="auto"/>
              <w:ind w:firstLine="480" w:firstLineChars="200"/>
              <w:jc w:val="both"/>
              <w:rPr>
                <w:rFonts w:hint="default"/>
                <w:vertAlign w:val="baseline"/>
                <w:lang w:val="en-US" w:eastAsia="zh-CN"/>
              </w:rPr>
            </w:pPr>
            <w:r>
              <w:rPr>
                <w:rFonts w:hint="eastAsia" w:ascii="宋体" w:hAnsi="宋体" w:cs="宋体"/>
                <w:color w:val="auto"/>
                <w:sz w:val="24"/>
                <w:szCs w:val="24"/>
                <w:lang w:val="en-US" w:eastAsia="zh-CN"/>
              </w:rPr>
              <w:t>260</w:t>
            </w:r>
          </w:p>
        </w:tc>
        <w:tc>
          <w:tcPr>
            <w:tcW w:w="1981" w:type="dxa"/>
            <w:shd w:val="clear" w:color="auto" w:fill="auto"/>
            <w:vAlign w:val="center"/>
          </w:tcPr>
          <w:p>
            <w:pPr>
              <w:spacing w:line="360" w:lineRule="auto"/>
              <w:ind w:firstLine="480" w:firstLineChars="200"/>
              <w:jc w:val="both"/>
              <w:rPr>
                <w:rFonts w:hint="default"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36" w:type="dxa"/>
            <w:vAlign w:val="center"/>
          </w:tcPr>
          <w:p>
            <w:pPr>
              <w:spacing w:line="360" w:lineRule="auto"/>
              <w:ind w:firstLine="480" w:firstLineChars="200"/>
              <w:jc w:val="center"/>
              <w:rPr>
                <w:rFonts w:hint="default"/>
                <w:vertAlign w:val="baseline"/>
                <w:lang w:val="en-US" w:eastAsia="zh-CN"/>
              </w:rPr>
            </w:pP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rPr>
              <w:t>硬度mg/l</w:t>
            </w:r>
          </w:p>
        </w:tc>
        <w:tc>
          <w:tcPr>
            <w:tcW w:w="1849" w:type="dxa"/>
            <w:vAlign w:val="center"/>
          </w:tcPr>
          <w:p>
            <w:pPr>
              <w:spacing w:line="360" w:lineRule="auto"/>
              <w:ind w:firstLine="480" w:firstLineChars="200"/>
              <w:jc w:val="both"/>
              <w:rPr>
                <w:rFonts w:hint="default"/>
                <w:vertAlign w:val="baseline"/>
                <w:lang w:val="en-US" w:eastAsia="zh-CN"/>
              </w:rPr>
            </w:pPr>
            <w:r>
              <w:rPr>
                <w:rFonts w:hint="eastAsia" w:ascii="宋体" w:hAnsi="宋体" w:eastAsia="宋体" w:cs="宋体"/>
                <w:color w:val="auto"/>
                <w:sz w:val="24"/>
                <w:szCs w:val="24"/>
              </w:rPr>
              <w:t>450</w:t>
            </w:r>
          </w:p>
        </w:tc>
        <w:tc>
          <w:tcPr>
            <w:tcW w:w="1675" w:type="dxa"/>
            <w:vAlign w:val="center"/>
          </w:tcPr>
          <w:p>
            <w:pPr>
              <w:spacing w:line="360" w:lineRule="auto"/>
              <w:ind w:firstLine="480" w:firstLineChars="200"/>
              <w:jc w:val="both"/>
              <w:rPr>
                <w:rFonts w:hint="default"/>
                <w:vertAlign w:val="baseline"/>
                <w:lang w:val="en-US" w:eastAsia="zh-CN"/>
              </w:rPr>
            </w:pPr>
            <w:r>
              <w:rPr>
                <w:rFonts w:hint="eastAsia" w:ascii="宋体" w:hAnsi="宋体" w:cs="宋体"/>
                <w:color w:val="auto"/>
                <w:sz w:val="24"/>
                <w:szCs w:val="24"/>
                <w:lang w:val="en-US" w:eastAsia="zh-CN"/>
              </w:rPr>
              <w:t>1775</w:t>
            </w:r>
          </w:p>
        </w:tc>
        <w:tc>
          <w:tcPr>
            <w:tcW w:w="1981" w:type="dxa"/>
            <w:shd w:val="clear" w:color="auto" w:fill="auto"/>
            <w:vAlign w:val="center"/>
          </w:tcPr>
          <w:p>
            <w:pPr>
              <w:spacing w:line="360" w:lineRule="auto"/>
              <w:ind w:firstLine="480" w:firstLineChars="200"/>
              <w:jc w:val="both"/>
              <w:rPr>
                <w:rFonts w:hint="default"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336" w:type="dxa"/>
            <w:vAlign w:val="center"/>
          </w:tcPr>
          <w:p>
            <w:pPr>
              <w:spacing w:line="360" w:lineRule="auto"/>
              <w:ind w:firstLine="480" w:firstLineChars="200"/>
              <w:jc w:val="center"/>
              <w:rPr>
                <w:rFonts w:hint="default"/>
                <w:vertAlign w:val="baseline"/>
                <w:lang w:val="en-US" w:eastAsia="zh-CN"/>
              </w:rPr>
            </w:pPr>
            <w:r>
              <w:rPr>
                <w:rFonts w:hint="eastAsia" w:ascii="宋体" w:hAnsi="宋体" w:eastAsia="宋体" w:cs="宋体"/>
                <w:color w:val="auto"/>
                <w:sz w:val="24"/>
                <w:szCs w:val="24"/>
              </w:rPr>
              <w:t>PH值</w:t>
            </w:r>
          </w:p>
        </w:tc>
        <w:tc>
          <w:tcPr>
            <w:tcW w:w="1849" w:type="dxa"/>
            <w:vAlign w:val="center"/>
          </w:tcPr>
          <w:p>
            <w:pPr>
              <w:spacing w:line="360" w:lineRule="auto"/>
              <w:ind w:firstLine="480" w:firstLineChars="200"/>
              <w:jc w:val="both"/>
              <w:rPr>
                <w:rFonts w:hint="default"/>
                <w:vertAlign w:val="baseline"/>
                <w:lang w:val="en-US" w:eastAsia="zh-CN"/>
              </w:rPr>
            </w:pPr>
            <w:r>
              <w:rPr>
                <w:rFonts w:hint="eastAsia" w:ascii="宋体" w:hAnsi="宋体" w:eastAsia="宋体" w:cs="宋体"/>
                <w:color w:val="auto"/>
                <w:sz w:val="24"/>
                <w:szCs w:val="24"/>
              </w:rPr>
              <w:t>6.5~8.5</w:t>
            </w:r>
          </w:p>
        </w:tc>
        <w:tc>
          <w:tcPr>
            <w:tcW w:w="1675" w:type="dxa"/>
            <w:vAlign w:val="center"/>
          </w:tcPr>
          <w:p>
            <w:pPr>
              <w:spacing w:line="360" w:lineRule="auto"/>
              <w:ind w:firstLine="480" w:firstLineChars="200"/>
              <w:jc w:val="both"/>
              <w:rPr>
                <w:rFonts w:hint="default"/>
                <w:vertAlign w:val="baseline"/>
                <w:lang w:val="en-US" w:eastAsia="zh-CN"/>
              </w:rPr>
            </w:pPr>
            <w:r>
              <w:rPr>
                <w:rFonts w:hint="eastAsia" w:ascii="宋体" w:hAnsi="宋体" w:cs="宋体"/>
                <w:color w:val="auto"/>
                <w:sz w:val="24"/>
                <w:szCs w:val="24"/>
                <w:lang w:val="en-US" w:eastAsia="zh-CN"/>
              </w:rPr>
              <w:t>7~8.5</w:t>
            </w:r>
          </w:p>
        </w:tc>
        <w:tc>
          <w:tcPr>
            <w:tcW w:w="1981" w:type="dxa"/>
            <w:shd w:val="clear" w:color="auto" w:fill="auto"/>
            <w:vAlign w:val="center"/>
          </w:tcPr>
          <w:p>
            <w:pPr>
              <w:spacing w:line="360" w:lineRule="auto"/>
              <w:ind w:firstLine="480" w:firstLineChars="200"/>
              <w:jc w:val="both"/>
              <w:rPr>
                <w:rFonts w:hint="default"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6.8-9.5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336" w:type="dxa"/>
            <w:vAlign w:val="center"/>
          </w:tcPr>
          <w:p>
            <w:pPr>
              <w:spacing w:line="360" w:lineRule="auto"/>
              <w:ind w:firstLine="480" w:firstLineChars="200"/>
              <w:jc w:val="center"/>
              <w:rPr>
                <w:rFonts w:hint="default"/>
                <w:vertAlign w:val="baseline"/>
                <w:lang w:val="en-US" w:eastAsia="zh-CN"/>
              </w:rPr>
            </w:pPr>
            <w:r>
              <w:rPr>
                <w:rFonts w:hint="eastAsia" w:ascii="宋体" w:hAnsi="宋体" w:eastAsia="宋体" w:cs="宋体"/>
                <w:color w:val="auto"/>
                <w:sz w:val="24"/>
                <w:szCs w:val="24"/>
              </w:rPr>
              <w:t>氯离子mmol/L</w:t>
            </w:r>
          </w:p>
        </w:tc>
        <w:tc>
          <w:tcPr>
            <w:tcW w:w="1849" w:type="dxa"/>
            <w:vAlign w:val="center"/>
          </w:tcPr>
          <w:p>
            <w:pPr>
              <w:spacing w:line="360" w:lineRule="auto"/>
              <w:ind w:firstLine="480" w:firstLineChars="200"/>
              <w:jc w:val="both"/>
              <w:rPr>
                <w:rFonts w:hint="default"/>
                <w:vertAlign w:val="baseline"/>
                <w:lang w:val="en-US" w:eastAsia="zh-CN"/>
              </w:rPr>
            </w:pPr>
            <w:r>
              <w:rPr>
                <w:rFonts w:hint="eastAsia" w:ascii="宋体" w:hAnsi="宋体" w:eastAsia="宋体" w:cs="宋体"/>
                <w:color w:val="auto"/>
                <w:sz w:val="24"/>
                <w:szCs w:val="24"/>
              </w:rPr>
              <w:t>250</w:t>
            </w:r>
          </w:p>
        </w:tc>
        <w:tc>
          <w:tcPr>
            <w:tcW w:w="1675" w:type="dxa"/>
            <w:vAlign w:val="center"/>
          </w:tcPr>
          <w:p>
            <w:pPr>
              <w:spacing w:line="360" w:lineRule="auto"/>
              <w:ind w:firstLine="480" w:firstLineChars="200"/>
              <w:jc w:val="both"/>
              <w:rPr>
                <w:rFonts w:hint="default"/>
                <w:vertAlign w:val="baseline"/>
                <w:lang w:val="en-US" w:eastAsia="zh-CN"/>
              </w:rPr>
            </w:pPr>
            <w:r>
              <w:rPr>
                <w:rFonts w:hint="eastAsia" w:ascii="宋体" w:hAnsi="宋体" w:cs="宋体"/>
                <w:color w:val="auto"/>
                <w:sz w:val="24"/>
                <w:szCs w:val="24"/>
                <w:lang w:val="en-US" w:eastAsia="zh-CN"/>
              </w:rPr>
              <w:t>1000</w:t>
            </w:r>
          </w:p>
        </w:tc>
        <w:tc>
          <w:tcPr>
            <w:tcW w:w="1981" w:type="dxa"/>
            <w:shd w:val="clear" w:color="auto" w:fill="auto"/>
            <w:vAlign w:val="center"/>
          </w:tcPr>
          <w:p>
            <w:pPr>
              <w:spacing w:line="360" w:lineRule="auto"/>
              <w:ind w:firstLine="480" w:firstLineChars="200"/>
              <w:jc w:val="both"/>
              <w:rPr>
                <w:rFonts w:hint="default"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336" w:type="dxa"/>
            <w:vAlign w:val="center"/>
          </w:tcPr>
          <w:p>
            <w:pPr>
              <w:spacing w:line="360" w:lineRule="auto"/>
              <w:ind w:firstLine="480" w:firstLineChars="200"/>
              <w:jc w:val="center"/>
              <w:rPr>
                <w:rFonts w:hint="default"/>
                <w:vertAlign w:val="baseline"/>
                <w:lang w:val="en-US" w:eastAsia="zh-CN"/>
              </w:rPr>
            </w:pPr>
            <w:r>
              <w:rPr>
                <w:rFonts w:hint="eastAsia" w:ascii="宋体" w:hAnsi="宋体" w:eastAsia="宋体" w:cs="宋体"/>
                <w:color w:val="auto"/>
                <w:sz w:val="24"/>
                <w:szCs w:val="24"/>
                <w:lang w:val="en-US" w:eastAsia="zh-CN"/>
              </w:rPr>
              <w:t>COD</w:t>
            </w:r>
          </w:p>
        </w:tc>
        <w:tc>
          <w:tcPr>
            <w:tcW w:w="1849" w:type="dxa"/>
            <w:vAlign w:val="center"/>
          </w:tcPr>
          <w:p>
            <w:pPr>
              <w:spacing w:line="360" w:lineRule="auto"/>
              <w:ind w:firstLine="420" w:firstLineChars="200"/>
              <w:jc w:val="both"/>
              <w:rPr>
                <w:rFonts w:hint="default"/>
                <w:vertAlign w:val="baseline"/>
                <w:lang w:val="en-US" w:eastAsia="zh-CN"/>
              </w:rPr>
            </w:pPr>
          </w:p>
        </w:tc>
        <w:tc>
          <w:tcPr>
            <w:tcW w:w="1675" w:type="dxa"/>
            <w:vAlign w:val="center"/>
          </w:tcPr>
          <w:p>
            <w:pPr>
              <w:spacing w:line="360" w:lineRule="auto"/>
              <w:ind w:firstLine="480" w:firstLineChars="200"/>
              <w:jc w:val="both"/>
              <w:rPr>
                <w:rFonts w:hint="default"/>
                <w:vertAlign w:val="baseline"/>
                <w:lang w:val="en-US" w:eastAsia="zh-CN"/>
              </w:rPr>
            </w:pPr>
            <w:r>
              <w:rPr>
                <w:rFonts w:hint="eastAsia" w:ascii="宋体" w:hAnsi="宋体" w:eastAsia="宋体" w:cs="宋体"/>
                <w:color w:val="auto"/>
                <w:sz w:val="24"/>
                <w:szCs w:val="24"/>
              </w:rPr>
              <w:t>循环水</w:t>
            </w:r>
          </w:p>
        </w:tc>
        <w:tc>
          <w:tcPr>
            <w:tcW w:w="1981" w:type="dxa"/>
            <w:shd w:val="clear" w:color="auto" w:fill="auto"/>
            <w:vAlign w:val="center"/>
          </w:tcPr>
          <w:p>
            <w:pPr>
              <w:spacing w:line="360" w:lineRule="auto"/>
              <w:ind w:firstLine="480" w:firstLineChars="200"/>
              <w:jc w:val="both"/>
              <w:rPr>
                <w:rFonts w:hint="default"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336" w:type="dxa"/>
            <w:vAlign w:val="center"/>
          </w:tcPr>
          <w:p>
            <w:pPr>
              <w:spacing w:line="360" w:lineRule="auto"/>
              <w:ind w:firstLine="480" w:firstLineChars="20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电导率μS/cm</w:t>
            </w:r>
          </w:p>
        </w:tc>
        <w:tc>
          <w:tcPr>
            <w:tcW w:w="1849" w:type="dxa"/>
            <w:shd w:val="clear" w:color="auto" w:fill="auto"/>
            <w:vAlign w:val="center"/>
          </w:tcPr>
          <w:p>
            <w:pPr>
              <w:spacing w:line="360" w:lineRule="auto"/>
              <w:ind w:firstLine="480" w:firstLineChars="200"/>
              <w:jc w:val="both"/>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color w:val="auto"/>
                <w:sz w:val="24"/>
                <w:szCs w:val="24"/>
              </w:rPr>
              <w:t>自来水</w:t>
            </w:r>
          </w:p>
        </w:tc>
        <w:tc>
          <w:tcPr>
            <w:tcW w:w="1675" w:type="dxa"/>
            <w:shd w:val="clear" w:color="auto" w:fill="auto"/>
            <w:vAlign w:val="center"/>
          </w:tcPr>
          <w:p>
            <w:pPr>
              <w:spacing w:line="360" w:lineRule="auto"/>
              <w:ind w:firstLine="420" w:firstLineChars="200"/>
              <w:jc w:val="both"/>
              <w:rPr>
                <w:rFonts w:hint="eastAsia" w:asciiTheme="minorHAnsi" w:hAnsiTheme="minorHAnsi" w:eastAsiaTheme="minorEastAsia" w:cstheme="minorBidi"/>
                <w:kern w:val="2"/>
                <w:sz w:val="21"/>
                <w:szCs w:val="24"/>
                <w:vertAlign w:val="baseline"/>
                <w:lang w:val="en-US" w:eastAsia="zh-CN" w:bidi="ar-SA"/>
              </w:rPr>
            </w:pPr>
          </w:p>
        </w:tc>
        <w:tc>
          <w:tcPr>
            <w:tcW w:w="1981" w:type="dxa"/>
            <w:shd w:val="clear" w:color="auto" w:fill="auto"/>
            <w:vAlign w:val="center"/>
          </w:tcPr>
          <w:p>
            <w:pPr>
              <w:spacing w:line="360" w:lineRule="auto"/>
              <w:ind w:firstLine="480" w:firstLineChars="200"/>
              <w:jc w:val="both"/>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336" w:type="dxa"/>
            <w:vAlign w:val="center"/>
          </w:tcPr>
          <w:p>
            <w:pPr>
              <w:spacing w:line="360" w:lineRule="auto"/>
              <w:ind w:firstLine="480" w:firstLineChars="200"/>
              <w:jc w:val="center"/>
              <w:rPr>
                <w:rFonts w:hint="default"/>
                <w:vertAlign w:val="baseline"/>
                <w:lang w:val="en-US" w:eastAsia="zh-CN"/>
              </w:rPr>
            </w:pPr>
            <w:r>
              <w:rPr>
                <w:rFonts w:hint="eastAsia" w:ascii="宋体" w:hAnsi="宋体" w:eastAsia="宋体" w:cs="宋体"/>
                <w:color w:val="auto"/>
                <w:sz w:val="24"/>
                <w:szCs w:val="24"/>
              </w:rPr>
              <w:t>进出温差</w:t>
            </w:r>
          </w:p>
        </w:tc>
        <w:tc>
          <w:tcPr>
            <w:tcW w:w="5505" w:type="dxa"/>
            <w:gridSpan w:val="3"/>
          </w:tcPr>
          <w:p>
            <w:pPr>
              <w:spacing w:line="360" w:lineRule="auto"/>
              <w:jc w:val="center"/>
              <w:rPr>
                <w:rFonts w:hint="default"/>
                <w:vertAlign w:val="baseline"/>
                <w:lang w:val="en-US" w:eastAsia="zh-CN"/>
              </w:rPr>
            </w:pPr>
            <w:r>
              <w:rPr>
                <w:rFonts w:hint="eastAsia" w:ascii="宋体" w:hAnsi="宋体" w:eastAsia="宋体" w:cs="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336" w:type="dxa"/>
            <w:vAlign w:val="center"/>
          </w:tcPr>
          <w:p>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保有水量</w:t>
            </w:r>
          </w:p>
        </w:tc>
        <w:tc>
          <w:tcPr>
            <w:tcW w:w="5505" w:type="dxa"/>
            <w:gridSpan w:val="3"/>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700t</w:t>
            </w:r>
          </w:p>
        </w:tc>
      </w:tr>
    </w:tbl>
    <w:p>
      <w:pPr>
        <w:rPr>
          <w:rFonts w:ascii="宋体" w:hAnsi="宋体"/>
          <w:szCs w:val="21"/>
        </w:rPr>
      </w:pPr>
    </w:p>
    <w:p>
      <w:pPr>
        <w:pStyle w:val="2"/>
        <w:ind w:firstLine="482" w:firstLineChars="200"/>
        <w:rPr>
          <w:rFonts w:hint="default" w:cs="仿宋" w:asciiTheme="minorEastAsia" w:hAnsiTheme="minorEastAsia"/>
          <w:b/>
          <w:bCs/>
          <w:kern w:val="0"/>
          <w:lang w:val="en-US" w:eastAsia="zh-CN"/>
        </w:rPr>
      </w:pPr>
      <w:r>
        <w:rPr>
          <w:rFonts w:hint="eastAsia" w:cs="仿宋" w:asciiTheme="minorEastAsia" w:hAnsiTheme="minorEastAsia"/>
          <w:b/>
          <w:bCs/>
          <w:kern w:val="0"/>
          <w:lang w:val="en-US" w:eastAsia="zh-CN"/>
        </w:rPr>
        <w:t>五</w:t>
      </w:r>
      <w:r>
        <w:rPr>
          <w:rFonts w:hint="eastAsia" w:cs="仿宋" w:asciiTheme="minorEastAsia" w:hAnsiTheme="minorEastAsia"/>
          <w:b/>
          <w:bCs/>
          <w:kern w:val="0"/>
          <w:lang w:val="en-US"/>
        </w:rPr>
        <w:t>、验收</w:t>
      </w:r>
      <w:r>
        <w:rPr>
          <w:rFonts w:hint="eastAsia" w:cs="仿宋" w:asciiTheme="minorEastAsia" w:hAnsiTheme="minorEastAsia"/>
          <w:b/>
          <w:bCs/>
          <w:kern w:val="0"/>
          <w:lang w:val="en-US" w:eastAsia="zh-CN"/>
        </w:rPr>
        <w:t>方式及要求</w:t>
      </w:r>
    </w:p>
    <w:p>
      <w:pPr>
        <w:pStyle w:val="2"/>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w:t>
      </w:r>
      <w:r>
        <w:rPr>
          <w:rFonts w:hint="eastAsia" w:ascii="宋体" w:hAnsi="宋体" w:cs="宋体"/>
          <w:sz w:val="24"/>
          <w:highlight w:val="none"/>
        </w:rPr>
        <w:t>请相关方参加。</w:t>
      </w:r>
    </w:p>
    <w:p>
      <w:pPr>
        <w:pStyle w:val="3"/>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pPr>
        <w:pStyle w:val="3"/>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pPr>
        <w:pStyle w:val="2"/>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pPr>
        <w:pStyle w:val="2"/>
        <w:ind w:firstLine="480" w:firstLineChars="200"/>
        <w:rPr>
          <w:rFonts w:hint="eastAsia"/>
          <w:color w:val="auto"/>
          <w:lang w:val="en-US" w:eastAsia="zh-CN"/>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、服务要求</w:t>
      </w:r>
    </w:p>
    <w:p>
      <w:pPr>
        <w:pStyle w:val="2"/>
        <w:numPr>
          <w:ilvl w:val="0"/>
          <w:numId w:val="0"/>
        </w:numPr>
        <w:ind w:firstLine="480" w:firstLineChars="200"/>
        <w:rPr>
          <w:rFonts w:hint="eastAsia" w:ascii="宋体" w:hAnsi="Arial" w:cs="Arial" w:eastAsiaTheme="minorEastAsia"/>
          <w:snapToGrid w:val="0"/>
          <w:kern w:val="2"/>
          <w:sz w:val="24"/>
          <w:szCs w:val="21"/>
          <w:lang w:val="en-US" w:eastAsia="zh-CN" w:bidi="ar-SA"/>
        </w:rPr>
      </w:pPr>
      <w:r>
        <w:rPr>
          <w:rFonts w:hint="eastAsia"/>
          <w:lang w:val="en-US" w:eastAsia="zh-CN"/>
        </w:rPr>
        <w:t>1.收货</w:t>
      </w:r>
      <w:r>
        <w:rPr>
          <w:lang w:val="en-US"/>
        </w:rPr>
        <w:t xml:space="preserve">地址为浙江省杭州市钱塘区临江街道红十五路10388-123号（杭州临江环境能源有限公司）。 </w:t>
      </w:r>
    </w:p>
    <w:p>
      <w:pPr>
        <w:pStyle w:val="2"/>
        <w:numPr>
          <w:ilvl w:val="0"/>
          <w:numId w:val="0"/>
        </w:numPr>
        <w:ind w:firstLine="480" w:firstLineChars="200"/>
        <w:rPr>
          <w:rFonts w:hint="eastAsia"/>
          <w:lang w:val="en-US"/>
        </w:rPr>
      </w:pPr>
      <w:r>
        <w:rPr>
          <w:rFonts w:hint="eastAsia" w:cs="Arial"/>
          <w:snapToGrid w:val="0"/>
          <w:kern w:val="2"/>
          <w:sz w:val="24"/>
          <w:szCs w:val="21"/>
          <w:lang w:val="en-US" w:eastAsia="zh-CN" w:bidi="ar-SA"/>
        </w:rPr>
        <w:t>2</w:t>
      </w:r>
      <w:r>
        <w:rPr>
          <w:rFonts w:hint="eastAsia" w:ascii="宋体" w:hAnsi="Arial" w:cs="Arial" w:eastAsiaTheme="minorEastAsia"/>
          <w:snapToGrid w:val="0"/>
          <w:kern w:val="2"/>
          <w:sz w:val="24"/>
          <w:szCs w:val="21"/>
          <w:lang w:val="en-US" w:eastAsia="zh-CN" w:bidi="ar-SA"/>
        </w:rPr>
        <w:t>.</w:t>
      </w:r>
      <w:r>
        <w:rPr>
          <w:rFonts w:hint="eastAsia"/>
          <w:lang w:val="en-US"/>
        </w:rPr>
        <w:t>根据采购人生产计划，确定送货数量要求，分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5</w:t>
      </w:r>
      <w:r>
        <w:rPr>
          <w:rFonts w:hint="eastAsia"/>
          <w:highlight w:val="none"/>
          <w:lang w:val="en-US"/>
        </w:rPr>
        <w:t>个工作日</w:t>
      </w:r>
      <w:r>
        <w:rPr>
          <w:rFonts w:hint="eastAsia"/>
          <w:lang w:val="en-US"/>
        </w:rPr>
        <w:t>内完成供货。</w:t>
      </w:r>
    </w:p>
    <w:p>
      <w:pPr>
        <w:pStyle w:val="2"/>
        <w:numPr>
          <w:ilvl w:val="0"/>
          <w:numId w:val="0"/>
        </w:numPr>
        <w:ind w:firstLine="480" w:firstLineChars="200"/>
        <w:rPr>
          <w:rFonts w:hint="eastAsia" w:eastAsiaTheme="minorEastAsia"/>
          <w:lang w:val="en-US" w:eastAsia="zh-CN"/>
        </w:rPr>
      </w:pPr>
      <w:r>
        <w:rPr>
          <w:rFonts w:hint="eastAsia" w:cs="Arial"/>
          <w:snapToGrid w:val="0"/>
          <w:kern w:val="2"/>
          <w:sz w:val="24"/>
          <w:szCs w:val="21"/>
          <w:lang w:val="en-US" w:eastAsia="zh-CN" w:bidi="ar-SA"/>
        </w:rPr>
        <w:t>3</w:t>
      </w:r>
      <w:r>
        <w:rPr>
          <w:rFonts w:ascii="宋体" w:hAnsi="Arial" w:cs="Arial" w:eastAsiaTheme="minorEastAsia"/>
          <w:snapToGrid w:val="0"/>
          <w:kern w:val="2"/>
          <w:sz w:val="24"/>
          <w:szCs w:val="21"/>
          <w:lang w:val="en-US" w:eastAsia="zh-CN" w:bidi="ar-SA"/>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，采购人可免费提供叉车服务。</w:t>
      </w:r>
    </w:p>
    <w:p>
      <w:pPr>
        <w:pStyle w:val="2"/>
        <w:ind w:firstLine="480" w:firstLineChars="200"/>
        <w:rPr>
          <w:lang w:val="en-US"/>
        </w:rPr>
      </w:pPr>
      <w:r>
        <w:rPr>
          <w:rFonts w:hint="eastAsia"/>
          <w:lang w:val="en-US" w:eastAsia="zh-CN"/>
        </w:rPr>
        <w:t>4</w:t>
      </w:r>
      <w:r>
        <w:rPr>
          <w:lang w:val="en-US"/>
        </w:rPr>
        <w:t>.运输过程须遵守国家相关运输管理规定，使用符合国家规定的专用车辆运输，运输过程中出现的一切问题皆由</w:t>
      </w:r>
      <w:r>
        <w:rPr>
          <w:rFonts w:hint="eastAsia"/>
          <w:lang w:val="en-US" w:eastAsia="zh-CN"/>
        </w:rPr>
        <w:t>供应商</w:t>
      </w:r>
      <w:r>
        <w:rPr>
          <w:lang w:val="en-US"/>
        </w:rPr>
        <w:t xml:space="preserve">负责。 </w:t>
      </w:r>
    </w:p>
    <w:p>
      <w:pPr>
        <w:pStyle w:val="2"/>
        <w:ind w:firstLine="480" w:firstLineChars="200"/>
        <w:rPr>
          <w:lang w:val="en-US"/>
        </w:rPr>
      </w:pPr>
      <w:r>
        <w:rPr>
          <w:rFonts w:hint="eastAsia"/>
          <w:lang w:val="en-US" w:eastAsia="zh-CN"/>
        </w:rPr>
        <w:t>5</w:t>
      </w:r>
      <w:r>
        <w:rPr>
          <w:lang w:val="en-US"/>
        </w:rPr>
        <w:t>.</w:t>
      </w:r>
      <w:r>
        <w:rPr>
          <w:rFonts w:hint="eastAsia"/>
          <w:lang w:val="en-US"/>
        </w:rPr>
        <w:t>供应商</w:t>
      </w:r>
      <w:r>
        <w:rPr>
          <w:lang w:val="en-US"/>
        </w:rPr>
        <w:t>为</w:t>
      </w:r>
      <w:r>
        <w:rPr>
          <w:rFonts w:hint="eastAsia"/>
          <w:lang w:val="en-US"/>
        </w:rPr>
        <w:t>采购</w:t>
      </w:r>
      <w:r>
        <w:rPr>
          <w:lang w:val="en-US"/>
        </w:rPr>
        <w:t xml:space="preserve">提供7*24小时送货服务，及时满足采购人应急供货需求。   </w:t>
      </w:r>
    </w:p>
    <w:p>
      <w:pPr>
        <w:pStyle w:val="2"/>
        <w:ind w:firstLine="482" w:firstLineChars="200"/>
        <w:rPr>
          <w:b/>
          <w:bCs/>
          <w:lang w:val="en-US"/>
        </w:rPr>
      </w:pPr>
      <w:r>
        <w:rPr>
          <w:rFonts w:hint="eastAsia" w:cs="仿宋" w:asciiTheme="minorEastAsia" w:hAnsiTheme="minorEastAsia"/>
          <w:b/>
          <w:bCs/>
          <w:kern w:val="0"/>
        </w:rPr>
        <w:t>▲</w:t>
      </w:r>
      <w:r>
        <w:rPr>
          <w:rFonts w:hint="eastAsia"/>
          <w:b/>
          <w:bCs/>
          <w:lang w:val="en-US" w:eastAsia="zh-CN"/>
        </w:rPr>
        <w:t>七</w:t>
      </w:r>
      <w:r>
        <w:rPr>
          <w:rFonts w:hint="eastAsia"/>
          <w:b/>
          <w:bCs/>
          <w:lang w:val="en-US"/>
        </w:rPr>
        <w:t>、结算方式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八</w:t>
      </w:r>
      <w:r>
        <w:rPr>
          <w:rFonts w:hint="eastAsia"/>
          <w:b/>
          <w:bCs/>
          <w:lang w:val="en-US"/>
        </w:rPr>
        <w:t>、售后要求</w:t>
      </w:r>
    </w:p>
    <w:p>
      <w:pPr>
        <w:pStyle w:val="2"/>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pPr>
        <w:pStyle w:val="2"/>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2"/>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pPr>
    </w:p>
    <w:p>
      <w:pPr>
        <w:spacing w:line="460" w:lineRule="exact"/>
        <w:jc w:val="both"/>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12"/>
      <w:bookmarkEnd w:id="19"/>
      <w:bookmarkStart w:id="20" w:name="_Toc184310318"/>
      <w:bookmarkEnd w:id="20"/>
      <w:bookmarkStart w:id="21" w:name="_Toc184308052"/>
      <w:bookmarkEnd w:id="21"/>
      <w:bookmarkStart w:id="22" w:name="_Toc184308081"/>
      <w:bookmarkEnd w:id="22"/>
      <w:bookmarkStart w:id="23" w:name="_Toc184312136"/>
      <w:bookmarkEnd w:id="23"/>
      <w:bookmarkStart w:id="24" w:name="_Toc184313249"/>
      <w:bookmarkEnd w:id="24"/>
      <w:bookmarkStart w:id="25" w:name="_Toc184310306"/>
      <w:bookmarkEnd w:id="25"/>
      <w:bookmarkStart w:id="26" w:name="_Toc184310275"/>
      <w:bookmarkEnd w:id="26"/>
      <w:bookmarkStart w:id="27" w:name="_Toc184314444"/>
      <w:bookmarkEnd w:id="27"/>
      <w:bookmarkStart w:id="28" w:name="_Toc184314448"/>
      <w:bookmarkEnd w:id="28"/>
      <w:bookmarkStart w:id="29" w:name="_Toc184310282"/>
      <w:bookmarkEnd w:id="29"/>
      <w:bookmarkStart w:id="30" w:name="_Toc184312121"/>
      <w:bookmarkEnd w:id="30"/>
      <w:bookmarkStart w:id="31" w:name="_Toc184313251"/>
      <w:bookmarkEnd w:id="31"/>
      <w:bookmarkStart w:id="32" w:name="_Toc184312130"/>
      <w:bookmarkEnd w:id="32"/>
      <w:bookmarkStart w:id="33" w:name="_Toc184312074"/>
      <w:bookmarkEnd w:id="33"/>
      <w:bookmarkStart w:id="34" w:name="_Toc184314476"/>
      <w:bookmarkEnd w:id="34"/>
      <w:bookmarkStart w:id="35" w:name="_Toc184314474"/>
      <w:bookmarkEnd w:id="35"/>
      <w:bookmarkStart w:id="36" w:name="_Toc184313253"/>
      <w:bookmarkEnd w:id="36"/>
      <w:bookmarkStart w:id="37" w:name="_Toc184308050"/>
      <w:bookmarkEnd w:id="37"/>
      <w:bookmarkStart w:id="38" w:name="_Toc184308057"/>
      <w:bookmarkEnd w:id="38"/>
      <w:bookmarkStart w:id="39" w:name="_Toc184313257"/>
      <w:bookmarkEnd w:id="39"/>
      <w:bookmarkStart w:id="40" w:name="_Toc184313263"/>
      <w:bookmarkEnd w:id="40"/>
      <w:bookmarkStart w:id="41" w:name="_Toc184308037"/>
      <w:bookmarkEnd w:id="41"/>
      <w:bookmarkStart w:id="42" w:name="_Toc184312082"/>
      <w:bookmarkEnd w:id="42"/>
      <w:bookmarkStart w:id="43" w:name="_Toc184314446"/>
      <w:bookmarkEnd w:id="43"/>
      <w:bookmarkStart w:id="44" w:name="_Toc184310286"/>
      <w:bookmarkEnd w:id="44"/>
      <w:bookmarkStart w:id="45" w:name="_Toc184308048"/>
      <w:bookmarkEnd w:id="45"/>
      <w:bookmarkStart w:id="46" w:name="_Toc184310274"/>
      <w:bookmarkEnd w:id="46"/>
      <w:bookmarkStart w:id="47" w:name="_Toc184308054"/>
      <w:bookmarkEnd w:id="47"/>
      <w:bookmarkStart w:id="48" w:name="_Toc184313307"/>
      <w:bookmarkEnd w:id="48"/>
      <w:bookmarkStart w:id="49" w:name="_Toc184314472"/>
      <w:bookmarkEnd w:id="49"/>
      <w:bookmarkStart w:id="50" w:name="_Toc184312071"/>
      <w:bookmarkEnd w:id="50"/>
      <w:bookmarkStart w:id="51" w:name="_Toc184308100"/>
      <w:bookmarkEnd w:id="51"/>
      <w:bookmarkStart w:id="52" w:name="_Toc184313248"/>
      <w:bookmarkEnd w:id="52"/>
      <w:bookmarkStart w:id="53" w:name="_Toc184312099"/>
      <w:bookmarkEnd w:id="53"/>
      <w:bookmarkStart w:id="54" w:name="_Toc184312100"/>
      <w:bookmarkEnd w:id="54"/>
      <w:bookmarkStart w:id="55" w:name="_Toc184308064"/>
      <w:bookmarkEnd w:id="55"/>
      <w:bookmarkStart w:id="56" w:name="_Toc184310325"/>
      <w:bookmarkEnd w:id="56"/>
      <w:bookmarkStart w:id="57" w:name="_Toc184310278"/>
      <w:bookmarkEnd w:id="57"/>
      <w:bookmarkStart w:id="58" w:name="_Toc184314480"/>
      <w:bookmarkEnd w:id="58"/>
      <w:bookmarkStart w:id="59" w:name="_Toc184310328"/>
      <w:bookmarkEnd w:id="59"/>
      <w:bookmarkStart w:id="60" w:name="_Toc184314465"/>
      <w:bookmarkEnd w:id="60"/>
      <w:bookmarkStart w:id="61" w:name="_Toc184314443"/>
      <w:bookmarkEnd w:id="61"/>
      <w:bookmarkStart w:id="62" w:name="_Toc184308094"/>
      <w:bookmarkEnd w:id="62"/>
      <w:bookmarkStart w:id="63" w:name="_Toc184308072"/>
      <w:bookmarkEnd w:id="63"/>
      <w:bookmarkStart w:id="64" w:name="_Toc184314482"/>
      <w:bookmarkEnd w:id="64"/>
      <w:bookmarkStart w:id="65" w:name="_Toc184312137"/>
      <w:bookmarkEnd w:id="65"/>
      <w:bookmarkStart w:id="66" w:name="_Toc184314416"/>
      <w:bookmarkEnd w:id="66"/>
      <w:bookmarkStart w:id="67" w:name="_Toc184313299"/>
      <w:bookmarkEnd w:id="67"/>
      <w:bookmarkStart w:id="68" w:name="_Toc184310330"/>
      <w:bookmarkEnd w:id="68"/>
      <w:bookmarkStart w:id="69" w:name="_Toc184312097"/>
      <w:bookmarkEnd w:id="69"/>
      <w:bookmarkStart w:id="70" w:name="_Toc184313301"/>
      <w:bookmarkEnd w:id="70"/>
      <w:bookmarkStart w:id="71" w:name="_Toc184312139"/>
      <w:bookmarkEnd w:id="71"/>
      <w:bookmarkStart w:id="72" w:name="_Toc184312083"/>
      <w:bookmarkEnd w:id="72"/>
      <w:bookmarkStart w:id="73" w:name="_Toc184310343"/>
      <w:bookmarkEnd w:id="73"/>
      <w:bookmarkStart w:id="74" w:name="_Toc184313272"/>
      <w:bookmarkEnd w:id="74"/>
      <w:bookmarkStart w:id="75" w:name="_Toc184314457"/>
      <w:bookmarkEnd w:id="75"/>
      <w:bookmarkStart w:id="76" w:name="_Toc184308036"/>
      <w:bookmarkEnd w:id="76"/>
      <w:bookmarkStart w:id="77" w:name="_Toc184312080"/>
      <w:bookmarkEnd w:id="77"/>
      <w:bookmarkStart w:id="78" w:name="_Toc184308069"/>
      <w:bookmarkEnd w:id="78"/>
      <w:bookmarkStart w:id="79" w:name="_Toc184308096"/>
      <w:bookmarkEnd w:id="79"/>
      <w:bookmarkStart w:id="80" w:name="_Toc184310281"/>
      <w:bookmarkEnd w:id="80"/>
      <w:bookmarkStart w:id="81" w:name="_Toc184314462"/>
      <w:bookmarkEnd w:id="81"/>
      <w:bookmarkStart w:id="82" w:name="_Toc184308105"/>
      <w:bookmarkEnd w:id="82"/>
      <w:bookmarkStart w:id="83" w:name="_Toc184312081"/>
      <w:bookmarkEnd w:id="83"/>
      <w:bookmarkStart w:id="84" w:name="_Toc184312135"/>
      <w:bookmarkEnd w:id="84"/>
      <w:bookmarkStart w:id="85" w:name="_Toc184308071"/>
      <w:bookmarkEnd w:id="85"/>
      <w:bookmarkStart w:id="86" w:name="_Toc184308097"/>
      <w:bookmarkEnd w:id="86"/>
      <w:bookmarkStart w:id="87" w:name="_Toc184314424"/>
      <w:bookmarkEnd w:id="87"/>
      <w:bookmarkStart w:id="88" w:name="_Toc184313260"/>
      <w:bookmarkEnd w:id="88"/>
      <w:bookmarkStart w:id="89" w:name="_Toc184312089"/>
      <w:bookmarkEnd w:id="89"/>
      <w:bookmarkStart w:id="90" w:name="_Toc184314419"/>
      <w:bookmarkEnd w:id="90"/>
      <w:bookmarkStart w:id="91" w:name="_Toc184313304"/>
      <w:bookmarkEnd w:id="91"/>
      <w:bookmarkStart w:id="92" w:name="_Toc184310309"/>
      <w:bookmarkEnd w:id="92"/>
      <w:bookmarkStart w:id="93" w:name="_Toc184310337"/>
      <w:bookmarkEnd w:id="93"/>
      <w:bookmarkStart w:id="94" w:name="_Toc184314447"/>
      <w:bookmarkEnd w:id="94"/>
      <w:bookmarkStart w:id="95" w:name="_Toc184308051"/>
      <w:bookmarkEnd w:id="95"/>
      <w:bookmarkStart w:id="96" w:name="_Toc184308040"/>
      <w:bookmarkEnd w:id="96"/>
      <w:bookmarkStart w:id="97" w:name="_Toc184313241"/>
      <w:bookmarkEnd w:id="97"/>
      <w:bookmarkStart w:id="98" w:name="_Toc184312129"/>
      <w:bookmarkEnd w:id="98"/>
      <w:bookmarkStart w:id="99" w:name="_Toc184313270"/>
      <w:bookmarkEnd w:id="99"/>
      <w:bookmarkStart w:id="100" w:name="_Toc184310295"/>
      <w:bookmarkEnd w:id="100"/>
      <w:bookmarkStart w:id="101" w:name="_Toc184310292"/>
      <w:bookmarkEnd w:id="101"/>
      <w:bookmarkStart w:id="102" w:name="_Toc184314439"/>
      <w:bookmarkEnd w:id="102"/>
      <w:bookmarkStart w:id="103" w:name="_Toc184313280"/>
      <w:bookmarkEnd w:id="103"/>
      <w:bookmarkStart w:id="104" w:name="_Toc184313303"/>
      <w:bookmarkEnd w:id="104"/>
      <w:bookmarkStart w:id="105" w:name="_Toc184313245"/>
      <w:bookmarkEnd w:id="105"/>
      <w:bookmarkStart w:id="106" w:name="_Toc184308095"/>
      <w:bookmarkEnd w:id="106"/>
      <w:bookmarkStart w:id="107" w:name="_Toc184310315"/>
      <w:bookmarkEnd w:id="107"/>
      <w:bookmarkStart w:id="108" w:name="_Toc184312120"/>
      <w:bookmarkEnd w:id="108"/>
      <w:bookmarkStart w:id="109" w:name="_Toc184313281"/>
      <w:bookmarkEnd w:id="109"/>
      <w:bookmarkStart w:id="110" w:name="_Toc184308042"/>
      <w:bookmarkEnd w:id="110"/>
      <w:bookmarkStart w:id="111" w:name="_Toc184312098"/>
      <w:bookmarkEnd w:id="111"/>
      <w:bookmarkStart w:id="112" w:name="_Toc184308074"/>
      <w:bookmarkEnd w:id="112"/>
      <w:bookmarkStart w:id="113" w:name="_Toc184308058"/>
      <w:bookmarkEnd w:id="113"/>
      <w:bookmarkStart w:id="114" w:name="_Toc184313308"/>
      <w:bookmarkEnd w:id="114"/>
      <w:bookmarkStart w:id="115" w:name="_Toc184310327"/>
      <w:bookmarkEnd w:id="115"/>
      <w:bookmarkStart w:id="116" w:name="_Toc184308038"/>
      <w:bookmarkEnd w:id="116"/>
      <w:bookmarkStart w:id="117" w:name="_Toc184313302"/>
      <w:bookmarkEnd w:id="117"/>
      <w:bookmarkStart w:id="118" w:name="_Toc184314411"/>
      <w:bookmarkEnd w:id="118"/>
      <w:bookmarkStart w:id="119" w:name="_Toc184310273"/>
      <w:bookmarkEnd w:id="119"/>
      <w:bookmarkStart w:id="120" w:name="_Toc184314458"/>
      <w:bookmarkEnd w:id="120"/>
      <w:bookmarkStart w:id="121" w:name="_Toc184308061"/>
      <w:bookmarkEnd w:id="121"/>
      <w:bookmarkStart w:id="122" w:name="_Toc184312102"/>
      <w:bookmarkEnd w:id="122"/>
      <w:bookmarkStart w:id="123" w:name="_Toc184312084"/>
      <w:bookmarkEnd w:id="123"/>
      <w:bookmarkStart w:id="124" w:name="_Toc184312126"/>
      <w:bookmarkEnd w:id="124"/>
      <w:bookmarkStart w:id="125" w:name="_Toc184308063"/>
      <w:bookmarkEnd w:id="125"/>
      <w:bookmarkStart w:id="126" w:name="_Toc184308085"/>
      <w:bookmarkEnd w:id="126"/>
      <w:bookmarkStart w:id="127" w:name="_Toc184314466"/>
      <w:bookmarkEnd w:id="127"/>
      <w:bookmarkStart w:id="128" w:name="_Toc184314422"/>
      <w:bookmarkEnd w:id="128"/>
      <w:bookmarkStart w:id="129" w:name="_Toc184312118"/>
      <w:bookmarkEnd w:id="129"/>
      <w:bookmarkStart w:id="130" w:name="_Toc184314438"/>
      <w:bookmarkEnd w:id="130"/>
      <w:bookmarkStart w:id="131" w:name="_Toc184310304"/>
      <w:bookmarkEnd w:id="131"/>
      <w:bookmarkStart w:id="132" w:name="_Toc184310308"/>
      <w:bookmarkEnd w:id="132"/>
      <w:bookmarkStart w:id="133" w:name="_Toc184313266"/>
      <w:bookmarkEnd w:id="133"/>
      <w:bookmarkStart w:id="134" w:name="_Toc184312086"/>
      <w:bookmarkEnd w:id="134"/>
      <w:bookmarkStart w:id="135" w:name="_Toc184314477"/>
      <w:bookmarkEnd w:id="135"/>
      <w:bookmarkStart w:id="136" w:name="_Toc184310339"/>
      <w:bookmarkEnd w:id="136"/>
      <w:bookmarkStart w:id="137" w:name="_Toc184308067"/>
      <w:bookmarkEnd w:id="137"/>
      <w:bookmarkStart w:id="138" w:name="_Toc184312128"/>
      <w:bookmarkEnd w:id="138"/>
      <w:bookmarkStart w:id="139" w:name="_Toc184312115"/>
      <w:bookmarkEnd w:id="139"/>
      <w:bookmarkStart w:id="140" w:name="_Toc184310307"/>
      <w:bookmarkEnd w:id="140"/>
      <w:bookmarkStart w:id="141" w:name="_Toc184308084"/>
      <w:bookmarkEnd w:id="141"/>
      <w:bookmarkStart w:id="142" w:name="_Toc184314468"/>
      <w:bookmarkEnd w:id="142"/>
      <w:bookmarkStart w:id="143" w:name="_Toc184310314"/>
      <w:bookmarkEnd w:id="143"/>
      <w:bookmarkStart w:id="144" w:name="_Toc184313305"/>
      <w:bookmarkEnd w:id="144"/>
      <w:bookmarkStart w:id="145" w:name="_Toc184310272"/>
      <w:bookmarkEnd w:id="145"/>
      <w:bookmarkStart w:id="146" w:name="_Toc184312072"/>
      <w:bookmarkEnd w:id="146"/>
      <w:bookmarkStart w:id="147" w:name="_Toc184310290"/>
      <w:bookmarkEnd w:id="147"/>
      <w:bookmarkStart w:id="148" w:name="_Toc184308068"/>
      <w:bookmarkEnd w:id="148"/>
      <w:bookmarkStart w:id="149" w:name="_Toc184308065"/>
      <w:bookmarkEnd w:id="149"/>
      <w:bookmarkStart w:id="150" w:name="_Toc184313296"/>
      <w:bookmarkEnd w:id="150"/>
      <w:bookmarkStart w:id="151" w:name="_Toc184310332"/>
      <w:bookmarkEnd w:id="151"/>
      <w:bookmarkStart w:id="152" w:name="_Toc184308107"/>
      <w:bookmarkEnd w:id="152"/>
      <w:bookmarkStart w:id="153" w:name="_Toc184313284"/>
      <w:bookmarkEnd w:id="153"/>
      <w:bookmarkStart w:id="154" w:name="_Toc184308079"/>
      <w:bookmarkEnd w:id="154"/>
      <w:bookmarkStart w:id="155" w:name="_Toc184308044"/>
      <w:bookmarkEnd w:id="155"/>
      <w:bookmarkStart w:id="156" w:name="_Toc184313309"/>
      <w:bookmarkEnd w:id="156"/>
      <w:bookmarkStart w:id="157" w:name="_Toc184308077"/>
      <w:bookmarkEnd w:id="157"/>
      <w:bookmarkStart w:id="158" w:name="_Toc184313297"/>
      <w:bookmarkEnd w:id="158"/>
      <w:bookmarkStart w:id="159" w:name="_Toc184308075"/>
      <w:bookmarkEnd w:id="159"/>
      <w:bookmarkStart w:id="160" w:name="_Toc184308099"/>
      <w:bookmarkEnd w:id="160"/>
      <w:bookmarkStart w:id="161" w:name="_Toc184310316"/>
      <w:bookmarkEnd w:id="161"/>
      <w:bookmarkStart w:id="162" w:name="_Toc184314412"/>
      <w:bookmarkEnd w:id="162"/>
      <w:bookmarkStart w:id="163" w:name="_Toc184310279"/>
      <w:bookmarkEnd w:id="163"/>
      <w:bookmarkStart w:id="164" w:name="_Toc184313259"/>
      <w:bookmarkEnd w:id="164"/>
      <w:bookmarkStart w:id="165" w:name="_Toc184312093"/>
      <w:bookmarkEnd w:id="165"/>
      <w:bookmarkStart w:id="166" w:name="_Toc184314481"/>
      <w:bookmarkEnd w:id="166"/>
      <w:bookmarkStart w:id="167" w:name="_Toc184310322"/>
      <w:bookmarkEnd w:id="167"/>
      <w:bookmarkStart w:id="168" w:name="_Toc184308086"/>
      <w:bookmarkEnd w:id="168"/>
      <w:bookmarkStart w:id="169" w:name="_Toc184310303"/>
      <w:bookmarkEnd w:id="169"/>
      <w:bookmarkStart w:id="170" w:name="_Toc184312113"/>
      <w:bookmarkEnd w:id="170"/>
      <w:bookmarkStart w:id="171" w:name="_Toc184313273"/>
      <w:bookmarkEnd w:id="171"/>
      <w:bookmarkStart w:id="172" w:name="_Toc184310344"/>
      <w:bookmarkEnd w:id="172"/>
      <w:bookmarkStart w:id="173" w:name="_Toc184313290"/>
      <w:bookmarkEnd w:id="173"/>
      <w:bookmarkStart w:id="174" w:name="_Toc184313285"/>
      <w:bookmarkEnd w:id="174"/>
      <w:bookmarkStart w:id="175" w:name="_Toc184313238"/>
      <w:bookmarkEnd w:id="175"/>
      <w:bookmarkStart w:id="176" w:name="_Toc184308104"/>
      <w:bookmarkEnd w:id="176"/>
      <w:bookmarkStart w:id="177" w:name="_Toc184313258"/>
      <w:bookmarkEnd w:id="177"/>
      <w:bookmarkStart w:id="178" w:name="_Toc184314470"/>
      <w:bookmarkEnd w:id="178"/>
      <w:bookmarkStart w:id="179" w:name="_Toc184308070"/>
      <w:bookmarkEnd w:id="179"/>
      <w:bookmarkStart w:id="180" w:name="_Toc184312067"/>
      <w:bookmarkEnd w:id="180"/>
      <w:bookmarkStart w:id="181" w:name="_Toc184313246"/>
      <w:bookmarkEnd w:id="181"/>
      <w:bookmarkStart w:id="182" w:name="_Toc184312091"/>
      <w:bookmarkEnd w:id="182"/>
      <w:bookmarkStart w:id="183" w:name="_Toc184312070"/>
      <w:bookmarkEnd w:id="183"/>
      <w:bookmarkStart w:id="184" w:name="_Toc184314430"/>
      <w:bookmarkEnd w:id="184"/>
      <w:bookmarkStart w:id="185" w:name="_Toc184312110"/>
      <w:bookmarkEnd w:id="185"/>
      <w:bookmarkStart w:id="186" w:name="_Toc184314464"/>
      <w:bookmarkEnd w:id="186"/>
      <w:bookmarkStart w:id="187" w:name="_Toc184314433"/>
      <w:bookmarkEnd w:id="187"/>
      <w:bookmarkStart w:id="188" w:name="_Toc184313254"/>
      <w:bookmarkEnd w:id="188"/>
      <w:bookmarkStart w:id="189" w:name="_Toc184308087"/>
      <w:bookmarkEnd w:id="189"/>
      <w:bookmarkStart w:id="190" w:name="_Toc184310305"/>
      <w:bookmarkEnd w:id="190"/>
      <w:bookmarkStart w:id="191" w:name="_Toc184310334"/>
      <w:bookmarkEnd w:id="191"/>
      <w:bookmarkStart w:id="192" w:name="_Toc184312078"/>
      <w:bookmarkEnd w:id="192"/>
      <w:bookmarkStart w:id="193" w:name="_Toc184308047"/>
      <w:bookmarkEnd w:id="193"/>
      <w:bookmarkStart w:id="194" w:name="_Toc184308076"/>
      <w:bookmarkEnd w:id="194"/>
      <w:bookmarkStart w:id="195" w:name="_Toc184308080"/>
      <w:bookmarkEnd w:id="195"/>
      <w:bookmarkStart w:id="196" w:name="_Toc184312125"/>
      <w:bookmarkEnd w:id="196"/>
      <w:bookmarkStart w:id="197" w:name="_Toc184310311"/>
      <w:bookmarkEnd w:id="197"/>
      <w:bookmarkStart w:id="198" w:name="_Toc184308078"/>
      <w:bookmarkEnd w:id="198"/>
      <w:bookmarkStart w:id="199" w:name="_Toc184313255"/>
      <w:bookmarkEnd w:id="199"/>
      <w:bookmarkStart w:id="200" w:name="_Toc184312106"/>
      <w:bookmarkEnd w:id="200"/>
      <w:bookmarkStart w:id="201" w:name="_Toc184312085"/>
      <w:bookmarkEnd w:id="201"/>
      <w:bookmarkStart w:id="202" w:name="_Toc184314410"/>
      <w:bookmarkEnd w:id="202"/>
      <w:bookmarkStart w:id="203" w:name="_Toc184312114"/>
      <w:bookmarkEnd w:id="203"/>
      <w:bookmarkStart w:id="204" w:name="_Toc184313279"/>
      <w:bookmarkEnd w:id="204"/>
      <w:bookmarkStart w:id="205" w:name="_Toc184313277"/>
      <w:bookmarkEnd w:id="205"/>
      <w:bookmarkStart w:id="206" w:name="_Toc184312133"/>
      <w:bookmarkEnd w:id="206"/>
      <w:bookmarkStart w:id="207" w:name="_Toc184314432"/>
      <w:bookmarkEnd w:id="207"/>
      <w:bookmarkStart w:id="208" w:name="_Toc184312077"/>
      <w:bookmarkEnd w:id="208"/>
      <w:bookmarkStart w:id="209" w:name="_Toc184314461"/>
      <w:bookmarkEnd w:id="209"/>
      <w:bookmarkStart w:id="210" w:name="_Toc184312105"/>
      <w:bookmarkEnd w:id="210"/>
      <w:bookmarkStart w:id="211" w:name="_Toc184312107"/>
      <w:bookmarkEnd w:id="211"/>
      <w:bookmarkStart w:id="212" w:name="_Toc184314467"/>
      <w:bookmarkEnd w:id="212"/>
      <w:bookmarkStart w:id="213" w:name="_Toc184312134"/>
      <w:bookmarkEnd w:id="213"/>
      <w:bookmarkStart w:id="214" w:name="_Toc184314442"/>
      <w:bookmarkEnd w:id="214"/>
      <w:bookmarkStart w:id="215" w:name="_Toc184310310"/>
      <w:bookmarkEnd w:id="215"/>
      <w:bookmarkStart w:id="216" w:name="_Toc184310277"/>
      <w:bookmarkEnd w:id="216"/>
      <w:bookmarkStart w:id="217" w:name="_Toc184313278"/>
      <w:bookmarkEnd w:id="217"/>
      <w:bookmarkStart w:id="218" w:name="_Toc184314426"/>
      <w:bookmarkEnd w:id="218"/>
      <w:bookmarkStart w:id="219" w:name="_Toc184314417"/>
      <w:bookmarkEnd w:id="219"/>
      <w:bookmarkStart w:id="220" w:name="_Toc184313306"/>
      <w:bookmarkEnd w:id="220"/>
      <w:bookmarkStart w:id="221" w:name="_Toc184313275"/>
      <w:bookmarkEnd w:id="221"/>
      <w:bookmarkStart w:id="222" w:name="_Toc184310340"/>
      <w:bookmarkEnd w:id="222"/>
      <w:bookmarkStart w:id="223" w:name="_Toc184312123"/>
      <w:bookmarkEnd w:id="223"/>
      <w:bookmarkStart w:id="224" w:name="_Toc184310336"/>
      <w:bookmarkEnd w:id="224"/>
      <w:bookmarkStart w:id="225" w:name="_Toc184314427"/>
      <w:bookmarkEnd w:id="225"/>
      <w:bookmarkStart w:id="226" w:name="_Toc184313247"/>
      <w:bookmarkEnd w:id="226"/>
      <w:bookmarkStart w:id="227" w:name="_Toc184312076"/>
      <w:bookmarkEnd w:id="227"/>
      <w:bookmarkStart w:id="228" w:name="_Toc184314436"/>
      <w:bookmarkEnd w:id="228"/>
      <w:bookmarkStart w:id="229" w:name="_Toc184312127"/>
      <w:bookmarkEnd w:id="229"/>
      <w:bookmarkStart w:id="230" w:name="_Toc184314452"/>
      <w:bookmarkEnd w:id="230"/>
      <w:bookmarkStart w:id="231" w:name="_Toc184313264"/>
      <w:bookmarkEnd w:id="231"/>
      <w:bookmarkStart w:id="232" w:name="_Toc184313268"/>
      <w:bookmarkEnd w:id="232"/>
      <w:bookmarkStart w:id="233" w:name="_Toc184308062"/>
      <w:bookmarkEnd w:id="233"/>
      <w:bookmarkStart w:id="234" w:name="_Toc184312122"/>
      <w:bookmarkEnd w:id="234"/>
      <w:bookmarkStart w:id="235" w:name="_Toc184312095"/>
      <w:bookmarkEnd w:id="235"/>
      <w:bookmarkStart w:id="236" w:name="_Toc184313288"/>
      <w:bookmarkEnd w:id="236"/>
      <w:bookmarkStart w:id="237" w:name="_Toc184313271"/>
      <w:bookmarkEnd w:id="237"/>
      <w:bookmarkStart w:id="238" w:name="_Toc184313287"/>
      <w:bookmarkEnd w:id="238"/>
      <w:bookmarkStart w:id="239" w:name="_Toc184308102"/>
      <w:bookmarkEnd w:id="239"/>
      <w:bookmarkStart w:id="240" w:name="_Toc184313276"/>
      <w:bookmarkEnd w:id="240"/>
      <w:bookmarkStart w:id="241" w:name="_Toc184310293"/>
      <w:bookmarkEnd w:id="241"/>
      <w:bookmarkStart w:id="242" w:name="_Toc184312096"/>
      <w:bookmarkEnd w:id="242"/>
      <w:bookmarkStart w:id="243" w:name="_Toc184313283"/>
      <w:bookmarkEnd w:id="243"/>
      <w:bookmarkStart w:id="244" w:name="_Toc184314455"/>
      <w:bookmarkEnd w:id="244"/>
      <w:bookmarkStart w:id="245" w:name="_Toc184314429"/>
      <w:bookmarkEnd w:id="245"/>
      <w:bookmarkStart w:id="246" w:name="_Toc184310299"/>
      <w:bookmarkEnd w:id="246"/>
      <w:bookmarkStart w:id="247" w:name="_Toc184308083"/>
      <w:bookmarkEnd w:id="247"/>
      <w:bookmarkStart w:id="248" w:name="_Toc184313252"/>
      <w:bookmarkEnd w:id="248"/>
      <w:bookmarkStart w:id="249" w:name="_Toc184308041"/>
      <w:bookmarkEnd w:id="249"/>
      <w:bookmarkStart w:id="250" w:name="_Toc184313310"/>
      <w:bookmarkEnd w:id="250"/>
      <w:bookmarkStart w:id="251" w:name="_Toc184313274"/>
      <w:bookmarkEnd w:id="251"/>
      <w:bookmarkStart w:id="252" w:name="_Toc184308103"/>
      <w:bookmarkEnd w:id="252"/>
      <w:bookmarkStart w:id="253" w:name="_Toc184314456"/>
      <w:bookmarkEnd w:id="253"/>
      <w:bookmarkStart w:id="254" w:name="_Toc184312069"/>
      <w:bookmarkEnd w:id="254"/>
      <w:bookmarkStart w:id="255" w:name="_Toc184310294"/>
      <w:bookmarkEnd w:id="255"/>
      <w:bookmarkStart w:id="256" w:name="_Toc184314459"/>
      <w:bookmarkEnd w:id="256"/>
      <w:bookmarkStart w:id="257" w:name="_Toc184312068"/>
      <w:bookmarkEnd w:id="257"/>
      <w:bookmarkStart w:id="258" w:name="_Toc184310342"/>
      <w:bookmarkEnd w:id="258"/>
      <w:bookmarkStart w:id="259" w:name="_Toc184312117"/>
      <w:bookmarkEnd w:id="259"/>
      <w:bookmarkStart w:id="260" w:name="_Toc184312087"/>
      <w:bookmarkEnd w:id="260"/>
      <w:bookmarkStart w:id="261" w:name="_Toc184314418"/>
      <w:bookmarkEnd w:id="261"/>
      <w:bookmarkStart w:id="262" w:name="_Toc184314463"/>
      <w:bookmarkEnd w:id="262"/>
      <w:bookmarkStart w:id="263" w:name="_Toc184308060"/>
      <w:bookmarkEnd w:id="263"/>
      <w:bookmarkStart w:id="264" w:name="_Toc184310285"/>
      <w:bookmarkEnd w:id="264"/>
      <w:bookmarkStart w:id="265" w:name="_Toc184312109"/>
      <w:bookmarkEnd w:id="265"/>
      <w:bookmarkStart w:id="266" w:name="_Toc184310317"/>
      <w:bookmarkEnd w:id="266"/>
      <w:bookmarkStart w:id="267" w:name="_Toc184312073"/>
      <w:bookmarkEnd w:id="267"/>
      <w:bookmarkStart w:id="268" w:name="_Toc184313282"/>
      <w:bookmarkEnd w:id="268"/>
      <w:bookmarkStart w:id="269" w:name="_Toc184310319"/>
      <w:bookmarkEnd w:id="269"/>
      <w:bookmarkStart w:id="270" w:name="_Toc184310326"/>
      <w:bookmarkEnd w:id="270"/>
      <w:bookmarkStart w:id="271" w:name="_Toc184312124"/>
      <w:bookmarkEnd w:id="271"/>
      <w:bookmarkStart w:id="272" w:name="_Toc184314415"/>
      <w:bookmarkEnd w:id="272"/>
      <w:bookmarkStart w:id="273" w:name="_Toc184312104"/>
      <w:bookmarkEnd w:id="273"/>
      <w:bookmarkStart w:id="274" w:name="_Toc184313289"/>
      <w:bookmarkEnd w:id="274"/>
      <w:bookmarkStart w:id="275" w:name="_Toc184313250"/>
      <w:bookmarkEnd w:id="275"/>
      <w:bookmarkStart w:id="276" w:name="_Toc184310335"/>
      <w:bookmarkEnd w:id="276"/>
      <w:bookmarkStart w:id="277" w:name="_Toc184313262"/>
      <w:bookmarkEnd w:id="277"/>
      <w:bookmarkStart w:id="278" w:name="_Toc184313242"/>
      <w:bookmarkEnd w:id="278"/>
      <w:bookmarkStart w:id="279" w:name="_Toc184310283"/>
      <w:bookmarkEnd w:id="279"/>
      <w:bookmarkStart w:id="280" w:name="_Toc184310338"/>
      <w:bookmarkEnd w:id="280"/>
      <w:bookmarkStart w:id="281" w:name="_Toc184310313"/>
      <w:bookmarkEnd w:id="281"/>
      <w:bookmarkStart w:id="282" w:name="_Toc184310329"/>
      <w:bookmarkEnd w:id="282"/>
      <w:bookmarkStart w:id="283" w:name="_Toc184310297"/>
      <w:bookmarkEnd w:id="283"/>
      <w:bookmarkStart w:id="284" w:name="_Toc184314434"/>
      <w:bookmarkEnd w:id="284"/>
      <w:bookmarkStart w:id="285" w:name="_Toc184308101"/>
      <w:bookmarkEnd w:id="285"/>
      <w:bookmarkStart w:id="286" w:name="_Toc184313239"/>
      <w:bookmarkEnd w:id="286"/>
      <w:bookmarkStart w:id="287" w:name="_Toc184314428"/>
      <w:bookmarkEnd w:id="287"/>
      <w:bookmarkStart w:id="288" w:name="_Toc184312079"/>
      <w:bookmarkEnd w:id="288"/>
      <w:bookmarkStart w:id="289" w:name="_Toc184314479"/>
      <w:bookmarkEnd w:id="289"/>
      <w:bookmarkStart w:id="290" w:name="_Toc184314431"/>
      <w:bookmarkEnd w:id="290"/>
      <w:bookmarkStart w:id="291" w:name="_Toc184308091"/>
      <w:bookmarkEnd w:id="291"/>
      <w:bookmarkStart w:id="292" w:name="_Toc184314478"/>
      <w:bookmarkEnd w:id="292"/>
      <w:bookmarkStart w:id="293" w:name="_Toc184314454"/>
      <w:bookmarkEnd w:id="293"/>
      <w:bookmarkStart w:id="294" w:name="_Toc184314449"/>
      <w:bookmarkEnd w:id="294"/>
      <w:bookmarkStart w:id="295" w:name="_Toc184314437"/>
      <w:bookmarkEnd w:id="295"/>
      <w:bookmarkStart w:id="296" w:name="_Toc184310300"/>
      <w:bookmarkEnd w:id="296"/>
      <w:bookmarkStart w:id="297" w:name="_Toc184308049"/>
      <w:bookmarkEnd w:id="297"/>
      <w:bookmarkStart w:id="298" w:name="_Toc184314445"/>
      <w:bookmarkEnd w:id="298"/>
      <w:bookmarkStart w:id="299" w:name="_Toc184308066"/>
      <w:bookmarkEnd w:id="299"/>
      <w:bookmarkStart w:id="300" w:name="_Toc184313267"/>
      <w:bookmarkEnd w:id="300"/>
      <w:bookmarkStart w:id="301" w:name="_Toc184313265"/>
      <w:bookmarkEnd w:id="301"/>
      <w:bookmarkStart w:id="302" w:name="_Toc184310324"/>
      <w:bookmarkEnd w:id="302"/>
      <w:bookmarkStart w:id="303" w:name="_Toc184312138"/>
      <w:bookmarkEnd w:id="303"/>
      <w:bookmarkStart w:id="304" w:name="_Toc184308046"/>
      <w:bookmarkEnd w:id="304"/>
      <w:bookmarkStart w:id="305" w:name="_Toc184310341"/>
      <w:bookmarkEnd w:id="305"/>
      <w:bookmarkStart w:id="306" w:name="_Toc184312112"/>
      <w:bookmarkEnd w:id="306"/>
      <w:bookmarkStart w:id="307" w:name="_Toc184308043"/>
      <w:bookmarkEnd w:id="307"/>
      <w:bookmarkStart w:id="308" w:name="_Toc184314425"/>
      <w:bookmarkEnd w:id="308"/>
      <w:bookmarkStart w:id="309" w:name="_Toc184310298"/>
      <w:bookmarkEnd w:id="309"/>
      <w:bookmarkStart w:id="310" w:name="_Toc184312075"/>
      <w:bookmarkEnd w:id="310"/>
      <w:bookmarkStart w:id="311" w:name="_Toc184310323"/>
      <w:bookmarkEnd w:id="311"/>
      <w:bookmarkStart w:id="312" w:name="_Toc184313300"/>
      <w:bookmarkEnd w:id="312"/>
      <w:bookmarkStart w:id="313" w:name="_Toc184310333"/>
      <w:bookmarkEnd w:id="313"/>
      <w:bookmarkStart w:id="314" w:name="_Toc184310287"/>
      <w:bookmarkEnd w:id="314"/>
      <w:bookmarkStart w:id="315" w:name="_Toc184313293"/>
      <w:bookmarkEnd w:id="315"/>
      <w:bookmarkStart w:id="316" w:name="_Toc184313269"/>
      <w:bookmarkEnd w:id="316"/>
      <w:bookmarkStart w:id="317" w:name="_Toc184310288"/>
      <w:bookmarkEnd w:id="317"/>
      <w:bookmarkStart w:id="318" w:name="_Toc184308039"/>
      <w:bookmarkEnd w:id="318"/>
      <w:bookmarkStart w:id="319" w:name="_Toc184314475"/>
      <w:bookmarkEnd w:id="319"/>
      <w:bookmarkStart w:id="320" w:name="_Toc184313292"/>
      <w:bookmarkEnd w:id="320"/>
      <w:bookmarkStart w:id="321" w:name="_Toc184314473"/>
      <w:bookmarkEnd w:id="321"/>
      <w:bookmarkStart w:id="322" w:name="_Toc184310291"/>
      <w:bookmarkEnd w:id="322"/>
      <w:bookmarkStart w:id="323" w:name="_Toc184314421"/>
      <w:bookmarkEnd w:id="323"/>
      <w:bookmarkStart w:id="324" w:name="_Toc184308056"/>
      <w:bookmarkEnd w:id="324"/>
      <w:bookmarkStart w:id="325" w:name="_Toc184310284"/>
      <w:bookmarkEnd w:id="325"/>
      <w:bookmarkStart w:id="326" w:name="_Toc184308073"/>
      <w:bookmarkEnd w:id="326"/>
      <w:bookmarkStart w:id="327" w:name="_Toc184312094"/>
      <w:bookmarkEnd w:id="327"/>
      <w:bookmarkStart w:id="328" w:name="_Toc184314453"/>
      <w:bookmarkEnd w:id="328"/>
      <w:bookmarkStart w:id="329" w:name="_Toc184310321"/>
      <w:bookmarkEnd w:id="329"/>
      <w:bookmarkStart w:id="330" w:name="_Toc184308045"/>
      <w:bookmarkEnd w:id="330"/>
      <w:bookmarkStart w:id="331" w:name="_Toc184308059"/>
      <w:bookmarkEnd w:id="331"/>
      <w:bookmarkStart w:id="332" w:name="_Toc184308053"/>
      <w:bookmarkEnd w:id="332"/>
      <w:bookmarkStart w:id="333" w:name="_Toc184314414"/>
      <w:bookmarkEnd w:id="333"/>
      <w:bookmarkStart w:id="334" w:name="_Toc184313244"/>
      <w:bookmarkEnd w:id="334"/>
      <w:bookmarkStart w:id="335" w:name="_Toc184310302"/>
      <w:bookmarkEnd w:id="335"/>
      <w:bookmarkStart w:id="336" w:name="_Toc184313298"/>
      <w:bookmarkEnd w:id="336"/>
      <w:bookmarkStart w:id="337" w:name="_Toc184313294"/>
      <w:bookmarkEnd w:id="337"/>
      <w:bookmarkStart w:id="338" w:name="_Toc184314413"/>
      <w:bookmarkEnd w:id="338"/>
      <w:bookmarkStart w:id="339" w:name="_Toc184310289"/>
      <w:bookmarkEnd w:id="339"/>
      <w:bookmarkStart w:id="340" w:name="_Toc184308098"/>
      <w:bookmarkEnd w:id="340"/>
      <w:bookmarkStart w:id="341" w:name="_Toc184312103"/>
      <w:bookmarkEnd w:id="341"/>
      <w:bookmarkStart w:id="342" w:name="_Toc184313240"/>
      <w:bookmarkEnd w:id="342"/>
      <w:bookmarkStart w:id="343" w:name="_Toc184312101"/>
      <w:bookmarkEnd w:id="343"/>
      <w:bookmarkStart w:id="344" w:name="_Toc184310280"/>
      <w:bookmarkEnd w:id="344"/>
      <w:bookmarkStart w:id="345" w:name="_Toc184310301"/>
      <w:bookmarkEnd w:id="345"/>
      <w:bookmarkStart w:id="346" w:name="_Toc184308093"/>
      <w:bookmarkEnd w:id="346"/>
      <w:bookmarkStart w:id="347" w:name="_Toc184310296"/>
      <w:bookmarkEnd w:id="347"/>
      <w:bookmarkStart w:id="348" w:name="_Toc184314460"/>
      <w:bookmarkEnd w:id="348"/>
      <w:bookmarkStart w:id="349" w:name="_Toc184314441"/>
      <w:bookmarkEnd w:id="349"/>
      <w:bookmarkStart w:id="350" w:name="_Toc184314450"/>
      <w:bookmarkEnd w:id="350"/>
      <w:bookmarkStart w:id="351" w:name="_Toc184314469"/>
      <w:bookmarkEnd w:id="351"/>
      <w:bookmarkStart w:id="352" w:name="_Toc184308108"/>
      <w:bookmarkEnd w:id="352"/>
      <w:bookmarkStart w:id="353" w:name="_Toc184314451"/>
      <w:bookmarkEnd w:id="353"/>
      <w:bookmarkStart w:id="354" w:name="_Toc184308092"/>
      <w:bookmarkEnd w:id="354"/>
      <w:bookmarkStart w:id="355" w:name="_Toc184314423"/>
      <w:bookmarkEnd w:id="355"/>
      <w:bookmarkStart w:id="356" w:name="_Toc184313256"/>
      <w:bookmarkEnd w:id="356"/>
      <w:bookmarkStart w:id="357" w:name="_Toc184314471"/>
      <w:bookmarkEnd w:id="357"/>
      <w:bookmarkStart w:id="358" w:name="_Toc184313243"/>
      <w:bookmarkEnd w:id="358"/>
      <w:bookmarkStart w:id="359" w:name="_Toc184312131"/>
      <w:bookmarkEnd w:id="359"/>
      <w:bookmarkStart w:id="360" w:name="_Toc184312108"/>
      <w:bookmarkEnd w:id="360"/>
      <w:bookmarkStart w:id="361" w:name="_Toc184312132"/>
      <w:bookmarkEnd w:id="361"/>
      <w:bookmarkStart w:id="362" w:name="_Toc184308089"/>
      <w:bookmarkEnd w:id="362"/>
      <w:bookmarkStart w:id="363" w:name="_Toc184308106"/>
      <w:bookmarkEnd w:id="363"/>
      <w:bookmarkStart w:id="364" w:name="_Toc184310320"/>
      <w:bookmarkEnd w:id="364"/>
      <w:bookmarkStart w:id="365" w:name="_Toc184312116"/>
      <w:bookmarkEnd w:id="365"/>
      <w:bookmarkStart w:id="366" w:name="_Toc184312088"/>
      <w:bookmarkEnd w:id="366"/>
      <w:bookmarkStart w:id="367" w:name="_Toc184312090"/>
      <w:bookmarkEnd w:id="367"/>
      <w:bookmarkStart w:id="368" w:name="_Toc184314440"/>
      <w:bookmarkEnd w:id="368"/>
      <w:bookmarkStart w:id="369" w:name="_Toc184308082"/>
      <w:bookmarkEnd w:id="369"/>
      <w:bookmarkStart w:id="370" w:name="_Toc184313295"/>
      <w:bookmarkEnd w:id="370"/>
      <w:bookmarkStart w:id="371" w:name="_Toc184314435"/>
      <w:bookmarkEnd w:id="371"/>
      <w:bookmarkStart w:id="372" w:name="_Toc184314420"/>
      <w:bookmarkEnd w:id="372"/>
      <w:bookmarkStart w:id="373" w:name="_Toc184310331"/>
      <w:bookmarkEnd w:id="373"/>
      <w:bookmarkStart w:id="374" w:name="_Toc184313291"/>
      <w:bookmarkEnd w:id="374"/>
      <w:bookmarkStart w:id="375" w:name="_Toc184310276"/>
      <w:bookmarkEnd w:id="375"/>
      <w:bookmarkStart w:id="376" w:name="_Toc184312119"/>
      <w:bookmarkEnd w:id="376"/>
      <w:bookmarkStart w:id="377" w:name="_Toc184313286"/>
      <w:bookmarkEnd w:id="377"/>
      <w:bookmarkStart w:id="378" w:name="_Toc184313261"/>
      <w:bookmarkEnd w:id="378"/>
      <w:bookmarkStart w:id="379" w:name="_Toc184308055"/>
      <w:bookmarkEnd w:id="379"/>
      <w:bookmarkStart w:id="380" w:name="_Toc184312092"/>
      <w:bookmarkEnd w:id="380"/>
      <w:bookmarkStart w:id="381" w:name="_Toc184312111"/>
      <w:bookmarkEnd w:id="381"/>
      <w:bookmarkStart w:id="382" w:name="_Toc184308088"/>
      <w:bookmarkEnd w:id="382"/>
      <w:bookmarkStart w:id="383" w:name="_Toc184308090"/>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rPr>
          <w:highlight w:val="none"/>
        </w:rPr>
      </w:pPr>
      <w:r>
        <w:rPr>
          <w:highlight w:val="none"/>
          <w:lang w:val="en-US"/>
        </w:rPr>
        <w:t>1.1</w:t>
      </w:r>
      <w:r>
        <w:rPr>
          <w:rFonts w:hint="eastAsia"/>
          <w:highlight w:val="none"/>
        </w:rPr>
        <w:t>若出现税率不一致的情况，以除税总金额相对比。</w:t>
      </w:r>
    </w:p>
    <w:p>
      <w:pPr>
        <w:pStyle w:val="2"/>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pPr>
        <w:pStyle w:val="2"/>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w:t>
      </w:r>
      <w:r>
        <w:rPr>
          <w:rFonts w:hint="eastAsia"/>
          <w:color w:val="auto"/>
        </w:rPr>
        <w:t>况时，</w:t>
      </w:r>
      <w:r>
        <w:rPr>
          <w:rFonts w:hint="eastAsia"/>
          <w:b/>
          <w:bCs/>
          <w:color w:val="auto"/>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rPr>
        <w:t>3.3在采购过程中符合竞争要求的供应商或者报价未超过采购限价的供应商不足3家</w:t>
      </w:r>
      <w:r>
        <w:rPr>
          <w:rFonts w:hint="eastAsia" w:cs="仿宋" w:asciiTheme="minorEastAsia" w:hAnsiTheme="minorEastAsia"/>
          <w:sz w:val="24"/>
          <w:highlight w:val="none"/>
        </w:rPr>
        <w:t>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5"/>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2025年-2026年循环水氧化性杀菌剂、非氧化性杀菌剂、缓蚀阻垢剂采购项目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4"/>
        <w:ind w:left="0" w:leftChars="0" w:firstLine="0" w:firstLineChars="0"/>
        <w:rPr>
          <w:rFonts w:ascii="宋体" w:hAnsi="宋体" w:cs="宋体"/>
          <w:b/>
          <w:szCs w:val="24"/>
        </w:rPr>
      </w:pPr>
    </w:p>
    <w:p>
      <w:pPr>
        <w:pStyle w:val="3"/>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pPr>
      <w:r>
        <w:rPr>
          <w:rFonts w:hint="eastAsia"/>
        </w:rPr>
        <w:t>第</w:t>
      </w:r>
      <w:r>
        <w:rPr>
          <w:rFonts w:hint="eastAsia"/>
          <w:lang w:val="en-US" w:eastAsia="zh-CN"/>
        </w:rPr>
        <w:t>四</w:t>
      </w:r>
      <w:r>
        <w:rPr>
          <w:rFonts w:hint="eastAsia"/>
        </w:rPr>
        <w:t xml:space="preserve">章 </w:t>
      </w:r>
      <w:r>
        <w:rPr>
          <w:rFonts w:hint="eastAsia"/>
          <w:lang w:val="en-US" w:eastAsia="zh-CN"/>
        </w:rPr>
        <w:t>安全</w:t>
      </w:r>
      <w:r>
        <w:rPr>
          <w:rFonts w:hint="eastAsia"/>
        </w:rPr>
        <w:t>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2025年-2026年循环水氧化性杀菌剂、非氧化性杀菌剂、缓蚀阻垢剂采购项目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04"/>
        <w:gridCol w:w="1921"/>
        <w:gridCol w:w="620"/>
        <w:gridCol w:w="744"/>
        <w:gridCol w:w="969"/>
        <w:gridCol w:w="963"/>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1"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10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921"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62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744" w:type="dxa"/>
            <w:vAlign w:val="center"/>
          </w:tcPr>
          <w:p>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969"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单价</w:t>
            </w:r>
          </w:p>
          <w:p>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96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c>
          <w:tcPr>
            <w:tcW w:w="1924"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51"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104" w:type="dxa"/>
            <w:shd w:val="clear" w:color="auto" w:fill="auto"/>
            <w:vAlign w:val="center"/>
          </w:tcPr>
          <w:p>
            <w:pPr>
              <w:jc w:val="center"/>
              <w:rPr>
                <w:rFonts w:hint="default" w:ascii="宋体" w:hAnsi="宋体" w:eastAsia="宋体" w:cs="宋体"/>
                <w:snapToGrid w:val="0"/>
                <w:kern w:val="2"/>
                <w:sz w:val="21"/>
                <w:szCs w:val="21"/>
                <w:lang w:val="en-US" w:eastAsia="zh-CN" w:bidi="ar-SA"/>
              </w:rPr>
            </w:pPr>
            <w:r>
              <w:rPr>
                <w:rFonts w:hint="eastAsia" w:ascii="宋体" w:hAnsi="宋体" w:eastAsia="宋体" w:cs="宋体"/>
                <w:snapToGrid w:val="0"/>
                <w:szCs w:val="21"/>
                <w:lang w:val="en-US" w:eastAsia="zh-CN"/>
              </w:rPr>
              <w:t>氧化性杀菌剂</w:t>
            </w:r>
          </w:p>
        </w:tc>
        <w:tc>
          <w:tcPr>
            <w:tcW w:w="1921" w:type="dxa"/>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根据采购人的水质参数，达到灭菌效果。</w:t>
            </w:r>
          </w:p>
        </w:tc>
        <w:tc>
          <w:tcPr>
            <w:tcW w:w="6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744" w:type="dxa"/>
            <w:vAlign w:val="center"/>
          </w:tcPr>
          <w:p>
            <w:pPr>
              <w:widowControl/>
              <w:jc w:val="center"/>
              <w:textAlignment w:val="center"/>
              <w:rPr>
                <w:rFonts w:hint="default" w:ascii="宋体" w:hAnsi="宋体" w:eastAsia="宋体" w:cs="宋体"/>
                <w:snapToGrid w:val="0"/>
                <w:szCs w:val="21"/>
                <w:lang w:val="en-US"/>
              </w:rPr>
            </w:pPr>
            <w:r>
              <w:rPr>
                <w:rFonts w:hint="eastAsia" w:ascii="宋体" w:hAnsi="宋体" w:eastAsia="宋体" w:cs="宋体"/>
                <w:i w:val="0"/>
                <w:iCs w:val="0"/>
                <w:color w:val="000000"/>
                <w:kern w:val="0"/>
                <w:sz w:val="20"/>
                <w:szCs w:val="20"/>
                <w:u w:val="none"/>
                <w:lang w:val="en-US" w:eastAsia="zh-CN" w:bidi="ar"/>
              </w:rPr>
              <w:t>6.5</w:t>
            </w:r>
          </w:p>
        </w:tc>
        <w:tc>
          <w:tcPr>
            <w:tcW w:w="969" w:type="dxa"/>
            <w:vAlign w:val="center"/>
          </w:tcPr>
          <w:p>
            <w:pPr>
              <w:keepNext w:val="0"/>
              <w:keepLines w:val="0"/>
              <w:widowControl/>
              <w:suppressLineNumbers w:val="0"/>
              <w:jc w:val="center"/>
              <w:textAlignment w:val="center"/>
              <w:rPr>
                <w:rFonts w:ascii="宋体" w:hAnsi="宋体" w:eastAsia="宋体" w:cs="宋体"/>
                <w:color w:val="000000"/>
                <w:kern w:val="0"/>
                <w:szCs w:val="21"/>
                <w:lang w:bidi="ar"/>
              </w:rPr>
            </w:pPr>
          </w:p>
        </w:tc>
        <w:tc>
          <w:tcPr>
            <w:tcW w:w="963"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p>
        </w:tc>
        <w:tc>
          <w:tcPr>
            <w:tcW w:w="1924"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数量以供应商自行制定投标加药方案为准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51"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104" w:type="dxa"/>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非氧化性杀菌剂</w:t>
            </w:r>
          </w:p>
        </w:tc>
        <w:tc>
          <w:tcPr>
            <w:tcW w:w="1921" w:type="dxa"/>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根据采购人的水质参数，达到灭菌效果。</w:t>
            </w:r>
          </w:p>
        </w:tc>
        <w:tc>
          <w:tcPr>
            <w:tcW w:w="62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744" w:type="dxa"/>
            <w:vAlign w:val="center"/>
          </w:tcPr>
          <w:p>
            <w:pPr>
              <w:widowControl/>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969" w:type="dxa"/>
            <w:vAlign w:val="center"/>
          </w:tcPr>
          <w:p>
            <w:pPr>
              <w:keepNext w:val="0"/>
              <w:keepLines w:val="0"/>
              <w:widowControl/>
              <w:suppressLineNumbers w:val="0"/>
              <w:jc w:val="center"/>
              <w:textAlignment w:val="center"/>
              <w:rPr>
                <w:rFonts w:ascii="宋体" w:hAnsi="宋体" w:eastAsia="宋体" w:cs="宋体"/>
                <w:color w:val="000000"/>
                <w:kern w:val="0"/>
                <w:szCs w:val="21"/>
                <w:lang w:bidi="ar"/>
              </w:rPr>
            </w:pPr>
          </w:p>
        </w:tc>
        <w:tc>
          <w:tcPr>
            <w:tcW w:w="963"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p>
        </w:tc>
        <w:tc>
          <w:tcPr>
            <w:tcW w:w="1924"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数量以供应商自行制定投标加药方案为准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51"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104" w:type="dxa"/>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缓蚀阻垢剂</w:t>
            </w:r>
          </w:p>
        </w:tc>
        <w:tc>
          <w:tcPr>
            <w:tcW w:w="1921" w:type="dxa"/>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根据采购人的水质参数，达到阻垢效果。</w:t>
            </w:r>
          </w:p>
        </w:tc>
        <w:tc>
          <w:tcPr>
            <w:tcW w:w="62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744" w:type="dxa"/>
            <w:vAlign w:val="center"/>
          </w:tcPr>
          <w:p>
            <w:pPr>
              <w:widowControl/>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969" w:type="dxa"/>
            <w:vAlign w:val="center"/>
          </w:tcPr>
          <w:p>
            <w:pPr>
              <w:keepNext w:val="0"/>
              <w:keepLines w:val="0"/>
              <w:widowControl/>
              <w:suppressLineNumbers w:val="0"/>
              <w:jc w:val="center"/>
              <w:textAlignment w:val="center"/>
              <w:rPr>
                <w:rFonts w:ascii="宋体" w:hAnsi="宋体" w:eastAsia="宋体" w:cs="宋体"/>
                <w:color w:val="000000"/>
                <w:kern w:val="0"/>
                <w:szCs w:val="21"/>
                <w:lang w:bidi="ar"/>
              </w:rPr>
            </w:pPr>
          </w:p>
        </w:tc>
        <w:tc>
          <w:tcPr>
            <w:tcW w:w="963"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p>
        </w:tc>
        <w:tc>
          <w:tcPr>
            <w:tcW w:w="1924"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数量以供应商自行制定投标加药方案为准</w:t>
            </w:r>
          </w:p>
        </w:tc>
      </w:tr>
    </w:tbl>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pPr>
        <w:pStyle w:val="25"/>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自合同签订</w:t>
      </w:r>
      <w:r>
        <w:rPr>
          <w:rFonts w:hint="eastAsia" w:ascii="宋体" w:hAnsi="宋体" w:cs="宋体"/>
          <w:sz w:val="24"/>
          <w:u w:val="single"/>
          <w:lang w:val="en-US" w:eastAsia="zh-CN"/>
        </w:rPr>
        <w:t>起12个月</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按采购订单要求执行</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
        <w:numPr>
          <w:ilvl w:val="0"/>
          <w:numId w:val="0"/>
        </w:numPr>
        <w:ind w:firstLine="480" w:firstLineChars="200"/>
        <w:rPr>
          <w:rFonts w:hint="eastAsia"/>
          <w:color w:val="auto"/>
          <w:highlight w:val="none"/>
          <w:lang w:val="en-US" w:eastAsia="zh-CN"/>
        </w:rPr>
      </w:pPr>
      <w:bookmarkStart w:id="393" w:name="_Toc14563"/>
      <w:bookmarkStart w:id="394" w:name="_Toc6596"/>
      <w:bookmarkStart w:id="395" w:name="_Toc1125"/>
      <w:r>
        <w:rPr>
          <w:rFonts w:hint="eastAsia"/>
          <w:color w:val="auto"/>
          <w:highlight w:val="none"/>
          <w:lang w:val="en-US" w:eastAsia="zh-CN"/>
        </w:rPr>
        <w:t>1.氧化性杀菌剂、缓蚀阻垢剂型号等技术参数满足采购内容中的规格型号/技术要求，具有国家、地方、行业标准、规范（含强制适用标准、规范和推荐适用标准、规范）的，按相应标准、规范执行（不同标准、规范之间要求不一的，按要求较高者执行）。</w:t>
      </w:r>
    </w:p>
    <w:p>
      <w:pPr>
        <w:pStyle w:val="2"/>
        <w:ind w:firstLine="480" w:firstLineChars="200"/>
        <w:rPr>
          <w:highlight w:val="none"/>
          <w:lang w:val="en-US"/>
        </w:rPr>
      </w:pPr>
      <w:r>
        <w:rPr>
          <w:rFonts w:hint="eastAsia"/>
          <w:highlight w:val="none"/>
          <w:lang w:val="en-US" w:eastAsia="zh-CN"/>
        </w:rPr>
        <w:t>2</w:t>
      </w:r>
      <w:r>
        <w:rPr>
          <w:highlight w:val="none"/>
          <w:lang w:val="en-US"/>
        </w:rPr>
        <w:t>.</w:t>
      </w:r>
      <w:r>
        <w:rPr>
          <w:rFonts w:hint="eastAsia"/>
          <w:highlight w:val="none"/>
          <w:lang w:val="en-US" w:eastAsia="zh-CN"/>
        </w:rPr>
        <w:t>乙方</w:t>
      </w:r>
      <w:r>
        <w:rPr>
          <w:rFonts w:hint="eastAsia"/>
          <w:highlight w:val="none"/>
          <w:lang w:val="en-US"/>
        </w:rPr>
        <w:t>首先应按</w:t>
      </w:r>
      <w:r>
        <w:rPr>
          <w:rFonts w:hint="eastAsia"/>
          <w:highlight w:val="none"/>
          <w:lang w:val="en-US" w:eastAsia="zh-CN"/>
        </w:rPr>
        <w:t>甲方</w:t>
      </w:r>
      <w:r>
        <w:rPr>
          <w:rFonts w:hint="eastAsia"/>
          <w:highlight w:val="none"/>
          <w:lang w:val="en-US"/>
        </w:rPr>
        <w:t>现有系统水质状况，制定适合水质处理的具体方案，该方案须确保</w:t>
      </w:r>
      <w:r>
        <w:rPr>
          <w:rFonts w:hint="eastAsia"/>
          <w:highlight w:val="none"/>
          <w:lang w:val="en-US" w:eastAsia="zh-CN"/>
        </w:rPr>
        <w:t>乙方</w:t>
      </w:r>
      <w:r>
        <w:rPr>
          <w:rFonts w:hint="eastAsia"/>
          <w:highlight w:val="none"/>
          <w:lang w:val="en-US"/>
        </w:rPr>
        <w:t>所供产品的投放，使</w:t>
      </w:r>
      <w:r>
        <w:rPr>
          <w:rFonts w:hint="eastAsia"/>
          <w:highlight w:val="none"/>
          <w:lang w:val="en-US" w:eastAsia="zh-CN"/>
        </w:rPr>
        <w:t>甲方</w:t>
      </w:r>
      <w:r>
        <w:rPr>
          <w:rFonts w:hint="eastAsia"/>
          <w:highlight w:val="none"/>
          <w:lang w:val="en-US"/>
        </w:rPr>
        <w:t>的水处理效果符合</w:t>
      </w:r>
      <w:r>
        <w:rPr>
          <w:rFonts w:hint="eastAsia"/>
          <w:color w:val="auto"/>
          <w:highlight w:val="none"/>
          <w:lang w:val="en-US" w:eastAsia="zh-CN"/>
        </w:rPr>
        <w:t>：水处理效果符合国标《工业循环冷却水处理设计规范》（GB/T50050-2017）、《火力发电厂循环水用阻垢缓蚀剂（DL/T806-2013）要求，需达到冷凝塔无明显结垢现象、冷凝水符合国家指标的效果，处理后的工业用水排放标准应符合国家环保部门的要求。</w:t>
      </w:r>
    </w:p>
    <w:p>
      <w:pPr>
        <w:pStyle w:val="2"/>
        <w:ind w:firstLine="480" w:firstLineChars="200"/>
        <w:rPr>
          <w:highlight w:val="none"/>
          <w:lang w:val="en-US"/>
        </w:rPr>
      </w:pPr>
      <w:r>
        <w:rPr>
          <w:rFonts w:hint="eastAsia"/>
          <w:highlight w:val="none"/>
          <w:lang w:val="en-US" w:eastAsia="zh-CN"/>
        </w:rPr>
        <w:t>3</w:t>
      </w:r>
      <w:r>
        <w:rPr>
          <w:highlight w:val="none"/>
          <w:lang w:val="en-US"/>
        </w:rPr>
        <w:t>.</w:t>
      </w:r>
      <w:r>
        <w:rPr>
          <w:rFonts w:hint="eastAsia"/>
          <w:highlight w:val="none"/>
          <w:lang w:val="en-US" w:eastAsia="zh-CN"/>
        </w:rPr>
        <w:t>乙方</w:t>
      </w:r>
      <w:r>
        <w:rPr>
          <w:rFonts w:hint="eastAsia"/>
          <w:highlight w:val="none"/>
          <w:lang w:val="en-US"/>
        </w:rPr>
        <w:t>须根据</w:t>
      </w:r>
      <w:r>
        <w:rPr>
          <w:rFonts w:hint="eastAsia"/>
          <w:highlight w:val="none"/>
          <w:lang w:val="en-US" w:eastAsia="zh-CN"/>
        </w:rPr>
        <w:t>水质</w:t>
      </w:r>
      <w:r>
        <w:rPr>
          <w:rFonts w:hint="eastAsia"/>
          <w:highlight w:val="none"/>
          <w:lang w:val="en-US"/>
        </w:rPr>
        <w:t>情况调整加药方案，以到达应有的标准和技术要求。若由此造成的费用增加，均由</w:t>
      </w:r>
      <w:r>
        <w:rPr>
          <w:rFonts w:hint="eastAsia"/>
          <w:highlight w:val="none"/>
          <w:lang w:val="en-US" w:eastAsia="zh-CN"/>
        </w:rPr>
        <w:t>乙方</w:t>
      </w:r>
      <w:r>
        <w:rPr>
          <w:rFonts w:hint="eastAsia"/>
          <w:highlight w:val="none"/>
          <w:lang w:val="en-US"/>
        </w:rPr>
        <w:t>承担，</w:t>
      </w:r>
      <w:r>
        <w:rPr>
          <w:rFonts w:hint="eastAsia"/>
          <w:highlight w:val="none"/>
          <w:lang w:val="en-US" w:eastAsia="zh-CN"/>
        </w:rPr>
        <w:t>甲方</w:t>
      </w:r>
      <w:r>
        <w:rPr>
          <w:rFonts w:hint="eastAsia"/>
          <w:highlight w:val="none"/>
          <w:lang w:val="en-US"/>
        </w:rPr>
        <w:t>不再另外支付任何额外费用。</w:t>
      </w:r>
    </w:p>
    <w:p>
      <w:pPr>
        <w:spacing w:line="360" w:lineRule="auto"/>
        <w:ind w:firstLine="482" w:firstLineChars="200"/>
        <w:outlineLvl w:val="0"/>
        <w:rPr>
          <w:rFonts w:hint="eastAsia" w:ascii="宋体" w:hAnsi="宋体" w:cs="Arial" w:eastAsiaTheme="minorEastAsia"/>
          <w:b/>
          <w:bCs/>
          <w:snapToGrid w:val="0"/>
          <w:kern w:val="2"/>
          <w:sz w:val="24"/>
          <w:szCs w:val="21"/>
          <w:highlight w:val="none"/>
          <w:u w:val="single"/>
          <w:lang w:val="en-US" w:eastAsia="zh-CN" w:bidi="ar-SA"/>
        </w:rPr>
      </w:pPr>
      <w:r>
        <w:rPr>
          <w:rFonts w:hint="eastAsia" w:ascii="宋体" w:hAnsi="宋体" w:cs="Arial"/>
          <w:b/>
          <w:bCs/>
          <w:snapToGrid w:val="0"/>
          <w:kern w:val="2"/>
          <w:sz w:val="24"/>
          <w:szCs w:val="21"/>
          <w:highlight w:val="none"/>
          <w:u w:val="single"/>
          <w:lang w:val="en-US" w:eastAsia="zh-CN" w:bidi="ar-SA"/>
        </w:rPr>
        <w:t>4</w:t>
      </w:r>
      <w:r>
        <w:rPr>
          <w:rFonts w:hint="eastAsia" w:ascii="宋体" w:hAnsi="宋体" w:cs="Arial" w:eastAsiaTheme="minorEastAsia"/>
          <w:b/>
          <w:bCs/>
          <w:snapToGrid w:val="0"/>
          <w:kern w:val="2"/>
          <w:sz w:val="24"/>
          <w:szCs w:val="21"/>
          <w:highlight w:val="none"/>
          <w:u w:val="single"/>
          <w:lang w:val="en-US" w:eastAsia="zh-CN" w:bidi="ar-SA"/>
        </w:rPr>
        <w:t>.若</w:t>
      </w:r>
      <w:r>
        <w:rPr>
          <w:rFonts w:hint="eastAsia" w:ascii="宋体" w:hAnsi="宋体" w:cs="Arial"/>
          <w:b/>
          <w:bCs/>
          <w:snapToGrid w:val="0"/>
          <w:kern w:val="2"/>
          <w:sz w:val="24"/>
          <w:szCs w:val="21"/>
          <w:highlight w:val="none"/>
          <w:u w:val="single"/>
          <w:lang w:val="en-US" w:eastAsia="zh-CN" w:bidi="ar-SA"/>
        </w:rPr>
        <w:t>乙方</w:t>
      </w:r>
      <w:r>
        <w:rPr>
          <w:rFonts w:hint="eastAsia" w:ascii="宋体" w:hAnsi="宋体" w:cs="Arial" w:eastAsiaTheme="minorEastAsia"/>
          <w:b/>
          <w:bCs/>
          <w:snapToGrid w:val="0"/>
          <w:kern w:val="2"/>
          <w:sz w:val="24"/>
          <w:szCs w:val="21"/>
          <w:highlight w:val="none"/>
          <w:u w:val="single"/>
          <w:lang w:val="en-US" w:eastAsia="zh-CN" w:bidi="ar-SA"/>
        </w:rPr>
        <w:t>加药方案使用效果达不到</w:t>
      </w:r>
      <w:r>
        <w:rPr>
          <w:rFonts w:hint="eastAsia" w:ascii="宋体" w:hAnsi="宋体" w:cs="Arial"/>
          <w:b/>
          <w:bCs/>
          <w:snapToGrid w:val="0"/>
          <w:kern w:val="2"/>
          <w:sz w:val="24"/>
          <w:szCs w:val="21"/>
          <w:highlight w:val="none"/>
          <w:u w:val="single"/>
          <w:lang w:val="en-US" w:eastAsia="zh-CN" w:bidi="ar-SA"/>
        </w:rPr>
        <w:t>甲方</w:t>
      </w:r>
      <w:r>
        <w:rPr>
          <w:rFonts w:hint="eastAsia" w:ascii="宋体" w:hAnsi="宋体" w:cs="Arial" w:eastAsiaTheme="minorEastAsia"/>
          <w:b/>
          <w:bCs/>
          <w:snapToGrid w:val="0"/>
          <w:kern w:val="2"/>
          <w:sz w:val="24"/>
          <w:szCs w:val="21"/>
          <w:highlight w:val="none"/>
          <w:u w:val="single"/>
          <w:lang w:val="en-US" w:eastAsia="zh-CN" w:bidi="ar-SA"/>
        </w:rPr>
        <w:t>要求时，</w:t>
      </w:r>
      <w:r>
        <w:rPr>
          <w:rFonts w:hint="eastAsia" w:ascii="宋体" w:hAnsi="宋体" w:cs="Arial"/>
          <w:b/>
          <w:bCs/>
          <w:snapToGrid w:val="0"/>
          <w:kern w:val="2"/>
          <w:sz w:val="24"/>
          <w:szCs w:val="21"/>
          <w:highlight w:val="none"/>
          <w:u w:val="single"/>
          <w:lang w:val="en-US" w:eastAsia="zh-CN" w:bidi="ar-SA"/>
        </w:rPr>
        <w:t>乙方</w:t>
      </w:r>
      <w:r>
        <w:rPr>
          <w:rFonts w:hint="eastAsia" w:ascii="宋体" w:hAnsi="宋体" w:cs="Arial" w:eastAsiaTheme="minorEastAsia"/>
          <w:b/>
          <w:bCs/>
          <w:snapToGrid w:val="0"/>
          <w:kern w:val="2"/>
          <w:sz w:val="24"/>
          <w:szCs w:val="21"/>
          <w:highlight w:val="none"/>
          <w:u w:val="single"/>
          <w:lang w:val="en-US" w:eastAsia="zh-CN" w:bidi="ar-SA"/>
        </w:rPr>
        <w:t>要及时调整加药方案</w:t>
      </w:r>
      <w:r>
        <w:rPr>
          <w:rFonts w:hint="eastAsia" w:ascii="宋体" w:hAnsi="宋体" w:cs="Arial"/>
          <w:b/>
          <w:bCs/>
          <w:snapToGrid w:val="0"/>
          <w:kern w:val="2"/>
          <w:sz w:val="24"/>
          <w:szCs w:val="21"/>
          <w:highlight w:val="none"/>
          <w:u w:val="single"/>
          <w:lang w:val="en-US" w:eastAsia="zh-CN" w:bidi="ar-SA"/>
        </w:rPr>
        <w:t>，不得以氧化性杀菌剂、非氧化性杀菌剂、缓蚀阻垢剂超过暂定数量为理由停止供货</w:t>
      </w:r>
      <w:r>
        <w:rPr>
          <w:rFonts w:hint="eastAsia" w:ascii="宋体" w:hAnsi="宋体" w:cs="Arial" w:eastAsiaTheme="minorEastAsia"/>
          <w:b/>
          <w:bCs/>
          <w:snapToGrid w:val="0"/>
          <w:kern w:val="2"/>
          <w:sz w:val="24"/>
          <w:szCs w:val="21"/>
          <w:highlight w:val="none"/>
          <w:u w:val="single"/>
          <w:lang w:val="en-US" w:eastAsia="zh-CN" w:bidi="ar-SA"/>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2"/>
        <w:ind w:firstLine="480" w:firstLineChars="200"/>
        <w:rPr>
          <w:rFonts w:hint="eastAsia" w:eastAsiaTheme="minorEastAsia"/>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val="en-US" w:eastAsia="zh-CN"/>
        </w:rPr>
        <w:t>.</w:t>
      </w:r>
    </w:p>
    <w:p>
      <w:pPr>
        <w:pStyle w:val="2"/>
        <w:ind w:firstLine="480" w:firstLineChars="200"/>
        <w:rPr>
          <w:rFonts w:hint="eastAsia"/>
          <w:u w:val="none"/>
          <w:lang w:val="en-US" w:eastAsia="zh-CN"/>
        </w:rPr>
      </w:pPr>
      <w:r>
        <w:rPr>
          <w:rFonts w:hint="eastAsia"/>
          <w:u w:val="none"/>
          <w:lang w:val="en-US" w:eastAsia="zh-CN"/>
        </w:rPr>
        <w:t>2.装卸货要求：</w:t>
      </w:r>
      <w:r>
        <w:rPr>
          <w:rFonts w:hint="eastAsia"/>
          <w:color w:val="auto"/>
          <w:u w:val="none"/>
          <w:lang w:val="en-US" w:eastAsia="zh-CN"/>
        </w:rPr>
        <w:t>将货物运达甲方指定交货地点后及时通知甲方，</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由乙方承担，甲方可免费提供叉车服务。</w:t>
      </w:r>
    </w:p>
    <w:p>
      <w:pPr>
        <w:pStyle w:val="2"/>
        <w:ind w:firstLine="480" w:firstLineChars="200"/>
        <w:rPr>
          <w:u w:val="none"/>
          <w:lang w:val="en-US"/>
        </w:rPr>
      </w:pPr>
      <w:r>
        <w:rPr>
          <w:rFonts w:hint="eastAsia"/>
          <w:u w:val="none"/>
          <w:lang w:val="en-US" w:eastAsia="zh-CN"/>
        </w:rPr>
        <w:t>3</w:t>
      </w:r>
      <w:r>
        <w:rPr>
          <w:rFonts w:hint="eastAsia"/>
          <w:u w:val="none"/>
          <w:lang w:val="en-US"/>
        </w:rPr>
        <w:t>.乙方必须满足甲方售后服务要求。</w:t>
      </w:r>
      <w:r>
        <w:rPr>
          <w:rFonts w:hint="eastAsia"/>
          <w:highlight w:val="none"/>
          <w:u w:val="none"/>
          <w:lang w:val="en-US" w:eastAsia="zh-CN"/>
        </w:rPr>
        <w:t>在货物验收合格入库后，乙方依然承担质量责任，</w:t>
      </w:r>
      <w:r>
        <w:rPr>
          <w:rFonts w:hint="eastAsia"/>
          <w:highlight w:val="none"/>
          <w:u w:val="none"/>
          <w:lang w:val="en-US"/>
        </w:rPr>
        <w:t>如使用过程发生问题，乙方须在接到甲方通知后必须</w:t>
      </w:r>
      <w:r>
        <w:rPr>
          <w:rFonts w:hint="eastAsia"/>
          <w:highlight w:val="none"/>
          <w:lang w:val="en-US" w:eastAsia="zh-CN"/>
        </w:rPr>
        <w:t>24</w:t>
      </w:r>
      <w:r>
        <w:rPr>
          <w:rFonts w:hint="eastAsia"/>
          <w:highlight w:val="none"/>
          <w:lang w:val="en-US"/>
        </w:rPr>
        <w:t>小时</w:t>
      </w:r>
      <w:r>
        <w:rPr>
          <w:rFonts w:hint="eastAsia"/>
          <w:highlight w:val="none"/>
          <w:u w:val="none"/>
          <w:lang w:val="en-US"/>
        </w:rPr>
        <w:t>内赶到现场进行处理，</w:t>
      </w:r>
      <w:r>
        <w:rPr>
          <w:rFonts w:hint="eastAsia"/>
          <w:highlight w:val="none"/>
          <w:lang w:val="en-US" w:eastAsia="zh-CN"/>
        </w:rPr>
        <w:t>8</w:t>
      </w:r>
      <w:r>
        <w:rPr>
          <w:rFonts w:hint="eastAsia"/>
          <w:highlight w:val="none"/>
          <w:lang w:val="en-US"/>
        </w:rPr>
        <w:t>小时</w:t>
      </w:r>
      <w:r>
        <w:rPr>
          <w:rFonts w:hint="eastAsia"/>
          <w:highlight w:val="none"/>
          <w:u w:val="none"/>
          <w:lang w:val="en-US"/>
        </w:rPr>
        <w:t>内做出书面答复并提供解决方案。若需要派遣技术人员，则应在接到甲方通知后,</w:t>
      </w:r>
      <w:r>
        <w:rPr>
          <w:rFonts w:hint="eastAsia"/>
          <w:highlight w:val="none"/>
          <w:lang w:val="en-US"/>
        </w:rPr>
        <w:t>24小时</w:t>
      </w:r>
      <w:r>
        <w:rPr>
          <w:rFonts w:hint="eastAsia"/>
          <w:highlight w:val="none"/>
          <w:u w:val="none"/>
          <w:lang w:val="en-US"/>
        </w:rPr>
        <w:t>内派人员到达现场进行免费指导解决问题。</w:t>
      </w:r>
    </w:p>
    <w:p>
      <w:pPr>
        <w:pStyle w:val="2"/>
        <w:ind w:firstLine="480" w:firstLineChars="200"/>
        <w:rPr>
          <w:u w:val="none"/>
          <w:lang w:val="en-US"/>
        </w:rPr>
      </w:pPr>
      <w:r>
        <w:rPr>
          <w:rFonts w:hint="eastAsia"/>
          <w:u w:val="none"/>
          <w:lang w:val="en-US" w:eastAsia="zh-CN"/>
        </w:rPr>
        <w:t>4</w:t>
      </w:r>
      <w:r>
        <w:rPr>
          <w:rFonts w:hint="eastAsia"/>
          <w:u w:val="none"/>
          <w:lang w:val="en-US"/>
        </w:rPr>
        <w:t>.甲方不再对任何售后服务进行付费。乙方的派遣人员产生的一切费用由</w:t>
      </w:r>
      <w:r>
        <w:rPr>
          <w:rFonts w:hint="eastAsia"/>
          <w:u w:val="none"/>
          <w:lang w:val="en-US" w:eastAsia="zh-CN"/>
        </w:rPr>
        <w:t>乙方</w:t>
      </w:r>
      <w:r>
        <w:rPr>
          <w:rFonts w:hint="eastAsia"/>
          <w:u w:val="none"/>
          <w:lang w:val="en-US"/>
        </w:rPr>
        <w:t>承担。</w:t>
      </w:r>
    </w:p>
    <w:bookmarkEnd w:id="393"/>
    <w:bookmarkEnd w:id="394"/>
    <w:bookmarkEnd w:id="395"/>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p>
      <w:pPr>
        <w:pStyle w:val="2"/>
        <w:numPr>
          <w:ilvl w:val="0"/>
          <w:numId w:val="0"/>
        </w:numPr>
        <w:ind w:firstLine="480" w:firstLineChars="200"/>
        <w:rPr>
          <w:rFonts w:hint="default" w:ascii="宋体" w:hAnsi="宋体" w:cs="宋体" w:eastAsiaTheme="minorEastAsia"/>
          <w:sz w:val="24"/>
          <w:highlight w:val="none"/>
          <w:u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hAnsi="宋体" w:cs="宋体"/>
          <w:sz w:val="24"/>
          <w:highlight w:val="none"/>
          <w:lang w:val="en-US" w:eastAsia="zh-CN"/>
        </w:rPr>
        <w:t>验收人员</w:t>
      </w:r>
      <w:r>
        <w:rPr>
          <w:rFonts w:hint="eastAsia" w:ascii="宋体" w:hAnsi="宋体" w:cs="宋体"/>
          <w:b/>
          <w:bCs/>
          <w:sz w:val="24"/>
          <w:highlight w:val="none"/>
          <w:u w:val="none"/>
        </w:rPr>
        <w:t>出具证明货物符合合同约定的文件</w:t>
      </w:r>
      <w:r>
        <w:rPr>
          <w:rFonts w:hint="eastAsia" w:hAnsi="宋体" w:cs="宋体"/>
          <w:sz w:val="24"/>
          <w:highlight w:val="none"/>
          <w:u w:val="none"/>
          <w:lang w:eastAsia="zh-CN"/>
        </w:rPr>
        <w:t>，</w:t>
      </w:r>
      <w:r>
        <w:rPr>
          <w:rFonts w:hint="eastAsia"/>
          <w:b/>
          <w:bCs/>
          <w:color w:val="auto"/>
          <w:highlight w:val="none"/>
          <w:u w:val="none"/>
          <w:lang w:val="en-US" w:eastAsia="zh-CN"/>
        </w:rPr>
        <w:t>并加盖公章或者销售章</w:t>
      </w:r>
      <w:r>
        <w:rPr>
          <w:rFonts w:hint="eastAsia"/>
          <w:highlight w:val="none"/>
          <w:u w:val="none"/>
          <w:lang w:val="en-US" w:eastAsia="zh-CN"/>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明货物符合合同约定的文件包括但不限于合格证、检</w:t>
      </w:r>
      <w:r>
        <w:rPr>
          <w:rFonts w:hint="eastAsia" w:ascii="宋体" w:hAnsi="宋体" w:eastAsia="宋体" w:cs="宋体"/>
          <w:sz w:val="24"/>
          <w:highlight w:val="none"/>
          <w:lang w:val="en-US" w:eastAsia="zh-CN"/>
        </w:rPr>
        <w:t>验</w:t>
      </w:r>
      <w:r>
        <w:rPr>
          <w:rFonts w:hint="eastAsia" w:ascii="宋体" w:hAnsi="宋体" w:eastAsia="宋体" w:cs="宋体"/>
          <w:sz w:val="24"/>
          <w:highlight w:val="none"/>
        </w:rPr>
        <w:t>报告（制造厂家或者第三方机构）、质量承诺（格式自拟）等证明材料。</w:t>
      </w:r>
    </w:p>
    <w:p>
      <w:pPr>
        <w:tabs>
          <w:tab w:val="left" w:pos="360"/>
          <w:tab w:val="left" w:pos="540"/>
          <w:tab w:val="left" w:pos="1080"/>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2.散装送货的验收数量以甲方过磅为准；有包装物或托盘的送货验收数量以扣除包装物重量后的重量为准。</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货物交付时，甲方在</w:t>
      </w:r>
      <w:r>
        <w:rPr>
          <w:rFonts w:hint="eastAsia" w:ascii="宋体" w:hAnsi="宋体" w:cs="宋体"/>
          <w:sz w:val="24"/>
          <w:highlight w:val="none"/>
          <w:lang w:val="en-US" w:eastAsia="zh-CN"/>
        </w:rPr>
        <w:t>组织自检，自检主要指标为</w:t>
      </w:r>
      <w:r>
        <w:rPr>
          <w:rFonts w:hint="eastAsia" w:ascii="宋体" w:hAnsi="宋体" w:cs="宋体"/>
          <w:sz w:val="24"/>
          <w:highlight w:val="none"/>
          <w:u w:val="single"/>
          <w:lang w:val="en-US" w:eastAsia="zh-CN"/>
        </w:rPr>
        <w:t xml:space="preserve"> </w:t>
      </w:r>
      <w:r>
        <w:rPr>
          <w:rFonts w:hint="eastAsia" w:ascii="宋体" w:hAnsi="Arial" w:cs="Arial"/>
          <w:snapToGrid w:val="0"/>
          <w:color w:val="auto"/>
          <w:kern w:val="2"/>
          <w:sz w:val="24"/>
          <w:szCs w:val="21"/>
          <w:highlight w:val="none"/>
          <w:u w:val="single"/>
          <w:lang w:val="en-US" w:eastAsia="zh-CN" w:bidi="ar-SA"/>
        </w:rPr>
        <w:t>/</w:t>
      </w:r>
      <w:r>
        <w:rPr>
          <w:rFonts w:hint="eastAsia" w:ascii="宋体" w:hAnsi="宋体" w:cs="宋体"/>
          <w:sz w:val="24"/>
          <w:highlight w:val="none"/>
          <w:u w:val="single"/>
          <w:lang w:val="en-US" w:eastAsia="zh-CN"/>
        </w:rPr>
        <w:t>，</w:t>
      </w:r>
      <w:r>
        <w:rPr>
          <w:rFonts w:hint="eastAsia" w:ascii="宋体" w:hAnsi="宋体" w:cs="宋体"/>
          <w:sz w:val="24"/>
          <w:highlight w:val="none"/>
          <w:u w:val="none"/>
          <w:lang w:val="en-US" w:eastAsia="zh-CN"/>
        </w:rPr>
        <w:t>检测结果满足合同要求，视为验收合格。双方组织卸货；检测结果不满足合同要求，乙方需在</w:t>
      </w:r>
      <w:r>
        <w:rPr>
          <w:rFonts w:hint="eastAsia" w:ascii="宋体" w:hAnsi="宋体" w:cs="宋体"/>
          <w:sz w:val="24"/>
          <w:highlight w:val="none"/>
          <w:u w:val="single"/>
          <w:lang w:val="en-US" w:eastAsia="zh-CN"/>
        </w:rPr>
        <w:t>24小时</w:t>
      </w:r>
      <w:r>
        <w:rPr>
          <w:rFonts w:hint="eastAsia" w:ascii="宋体" w:hAnsi="宋体" w:cs="宋体"/>
          <w:sz w:val="24"/>
          <w:highlight w:val="none"/>
          <w:u w:val="none"/>
          <w:lang w:val="en-US" w:eastAsia="zh-CN"/>
        </w:rPr>
        <w:t>免费无条件退换货。</w:t>
      </w:r>
    </w:p>
    <w:p>
      <w:pPr>
        <w:pStyle w:val="3"/>
        <w:ind w:left="0" w:leftChars="0" w:firstLine="482" w:firstLineChars="200"/>
        <w:rPr>
          <w:rFonts w:hint="eastAsia" w:ascii="宋体" w:hAnsi="宋体" w:cs="宋体"/>
          <w:b/>
          <w:bCs/>
          <w:sz w:val="24"/>
          <w:highlight w:val="none"/>
        </w:rPr>
      </w:pPr>
      <w:r>
        <w:rPr>
          <w:rFonts w:hint="eastAsia"/>
          <w:b/>
          <w:bCs/>
          <w:highlight w:val="none"/>
          <w:lang w:val="en-US" w:eastAsia="zh-CN"/>
        </w:rPr>
        <w:t>4.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5</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pPr>
        <w:pStyle w:val="2"/>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pPr>
        <w:pStyle w:val="2"/>
        <w:ind w:firstLine="480" w:firstLineChars="200"/>
        <w:rPr>
          <w:rFonts w:hint="eastAsia" w:hAnsi="宋体" w:eastAsia="宋体" w:cs="宋体"/>
          <w:highlight w:val="none"/>
          <w:lang w:val="en-US" w:eastAsia="zh-CN"/>
        </w:rPr>
      </w:pPr>
      <w:r>
        <w:rPr>
          <w:rFonts w:hint="eastAsia" w:hAnsi="宋体" w:eastAsia="宋体" w:cs="宋体"/>
          <w:highlight w:val="none"/>
          <w:lang w:val="en-US" w:eastAsia="zh-CN"/>
        </w:rPr>
        <w:t>无。</w:t>
      </w:r>
    </w:p>
    <w:p>
      <w:pPr>
        <w:pStyle w:val="2"/>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bookmarkEnd w:id="390"/>
    <w:bookmarkEnd w:id="391"/>
    <w:bookmarkEnd w:id="392"/>
    <w:p>
      <w:pPr>
        <w:numPr>
          <w:ilvl w:val="0"/>
          <w:numId w:val="0"/>
        </w:numPr>
        <w:spacing w:line="360" w:lineRule="auto"/>
        <w:ind w:leftChars="228"/>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spacing w:line="360" w:lineRule="auto"/>
        <w:ind w:firstLine="480" w:firstLineChars="200"/>
        <w:outlineLvl w:val="0"/>
        <w:rPr>
          <w:rFonts w:hint="default" w:ascii="宋体" w:hAnsi="宋体" w:cs="宋体"/>
          <w:kern w:val="0"/>
          <w:sz w:val="24"/>
          <w:u w:val="single"/>
        </w:rPr>
      </w:pPr>
      <w:r>
        <w:rPr>
          <w:rFonts w:ascii="宋体" w:hAnsi="宋体" w:cs="宋体"/>
          <w:kern w:val="0"/>
          <w:sz w:val="24"/>
          <w:u w:val="none"/>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合格</w:t>
      </w:r>
      <w:r>
        <w:rPr>
          <w:rFonts w:hint="eastAsia" w:ascii="宋体" w:hAnsi="宋体" w:cs="宋体"/>
          <w:kern w:val="0"/>
          <w:sz w:val="24"/>
          <w:u w:val="single"/>
        </w:rPr>
        <w:t>后</w:t>
      </w:r>
      <w:r>
        <w:rPr>
          <w:rFonts w:hint="eastAsia" w:ascii="宋体" w:hAnsi="宋体" w:cs="宋体"/>
          <w:kern w:val="0"/>
          <w:sz w:val="24"/>
          <w:highlight w:val="none"/>
          <w:u w:val="single"/>
          <w:lang w:val="en-US" w:eastAsia="zh-CN"/>
        </w:rPr>
        <w:t>/最后一批次货物质保期结束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单方面直接解除合同并罚没全部保证金（或要求乙方承担相当于合同暂定总价的5%的违约金）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32071"/>
      <w:bookmarkStart w:id="397" w:name="_Toc2846"/>
      <w:bookmarkStart w:id="398" w:name="_Toc19304"/>
      <w:bookmarkStart w:id="399" w:name="_Toc27250"/>
      <w:bookmarkStart w:id="400" w:name="_Toc21423"/>
      <w:bookmarkStart w:id="401" w:name="_Toc1955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rPr>
        <w:t>。</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4</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pPr>
        <w:pStyle w:val="25"/>
        <w:spacing w:before="0" w:beforeAutospacing="0" w:after="0" w:afterAutospacing="0" w:line="360" w:lineRule="auto"/>
        <w:ind w:firstLine="480"/>
        <w:rPr>
          <w:u w:val="single"/>
        </w:rPr>
      </w:pPr>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5"/>
        <w:spacing w:before="0" w:beforeAutospacing="0" w:after="0" w:afterAutospacing="0" w:line="360" w:lineRule="auto"/>
        <w:ind w:firstLine="480" w:firstLineChars="200"/>
        <w:rPr>
          <w:rFonts w:hint="eastAsia" w:ascii="宋体" w:hAnsi="宋体" w:cs="宋体" w:eastAsiaTheme="minorEastAsia"/>
          <w:kern w:val="0"/>
          <w:sz w:val="24"/>
          <w:szCs w:val="24"/>
          <w:u w:val="single"/>
          <w:lang w:val="en-US" w:eastAsia="zh-CN" w:bidi="ar-SA"/>
        </w:rPr>
      </w:pPr>
      <w:r>
        <w:rPr>
          <w:rFonts w:hint="eastAsia"/>
          <w:u w:val="single"/>
        </w:rPr>
        <w:t>（4）其他付款方式：</w:t>
      </w:r>
      <w:r>
        <w:rPr>
          <w:rFonts w:hint="eastAsia" w:ascii="宋体" w:hAnsi="宋体" w:cs="宋体" w:eastAsiaTheme="minorEastAsia"/>
          <w:kern w:val="0"/>
          <w:sz w:val="24"/>
          <w:szCs w:val="24"/>
          <w:u w:val="single"/>
          <w:lang w:val="en-US" w:eastAsia="zh-CN" w:bidi="ar-SA"/>
        </w:rPr>
        <w:t>按月支付，本月货款用次月结算，甲方收到乙方提供的增值税专用发票后，甲方在本合同约定时间内完成支付。本项目</w:t>
      </w:r>
      <w:r>
        <w:rPr>
          <w:rFonts w:hint="eastAsia" w:ascii="宋体" w:hAnsi="宋体" w:cs="宋体"/>
          <w:kern w:val="0"/>
          <w:sz w:val="24"/>
          <w:szCs w:val="24"/>
          <w:u w:val="single"/>
          <w:lang w:val="en-US" w:eastAsia="zh-CN" w:bidi="ar-SA"/>
        </w:rPr>
        <w:t>氧化性杀菌剂、非氧化性杀菌剂、缓蚀阻垢剂</w:t>
      </w:r>
      <w:r>
        <w:rPr>
          <w:rFonts w:hint="eastAsia" w:ascii="宋体" w:hAnsi="宋体" w:cs="宋体" w:eastAsiaTheme="minorEastAsia"/>
          <w:kern w:val="0"/>
          <w:sz w:val="24"/>
          <w:szCs w:val="24"/>
          <w:u w:val="single"/>
          <w:lang w:val="en-US" w:eastAsia="zh-CN" w:bidi="ar-SA"/>
        </w:rPr>
        <w:t>付款方式以水质到达应有的标准和技术要求为准，按实结算，实行总价控制，实际支付总额不超合同总价。乙方须根据阻垢情况调整加药方案，以到达应有的标准和技术要求。若由此造成的费用增加，均由乙方承担，甲方不再另外支付任何额外费用。</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tabs>
          <w:tab w:val="left" w:pos="360"/>
          <w:tab w:val="left" w:pos="540"/>
          <w:tab w:val="left" w:pos="1080"/>
        </w:tabs>
        <w:spacing w:line="360" w:lineRule="auto"/>
        <w:ind w:firstLine="480" w:firstLineChars="200"/>
        <w:rPr>
          <w:rFonts w:hint="default" w:ascii="宋体" w:hAnsi="宋体" w:cs="宋体" w:eastAsiaTheme="minorEastAsia"/>
          <w:sz w:val="24"/>
          <w:u w:val="none"/>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lang w:val="en-US" w:eastAsia="zh-CN"/>
        </w:rPr>
        <w:t>甲方自</w:t>
      </w:r>
      <w:r>
        <w:rPr>
          <w:rFonts w:hint="eastAsia" w:ascii="宋体" w:hAnsi="宋体" w:cs="宋体"/>
          <w:sz w:val="24"/>
          <w:u w:val="none"/>
          <w:lang w:val="en-US" w:eastAsia="zh-CN"/>
        </w:rPr>
        <w:t>检结果不满足合同要求，乙方需在</w:t>
      </w:r>
      <w:r>
        <w:rPr>
          <w:rFonts w:hint="eastAsia" w:ascii="宋体" w:hAnsi="宋体" w:cs="宋体"/>
          <w:sz w:val="24"/>
          <w:u w:val="single"/>
          <w:lang w:val="en-US" w:eastAsia="zh-CN"/>
        </w:rPr>
        <w:t>24小时</w:t>
      </w:r>
      <w:r>
        <w:rPr>
          <w:rFonts w:hint="eastAsia" w:ascii="宋体" w:hAnsi="宋体" w:cs="宋体"/>
          <w:sz w:val="24"/>
          <w:u w:val="none"/>
          <w:lang w:val="en-US" w:eastAsia="zh-CN"/>
        </w:rPr>
        <w:t>内免费无条件退换货，满足退换货要求的，不追究乙方违约责任。</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但第三方检测结果中主要参数验收不合格</w:t>
      </w:r>
      <w:r>
        <w:rPr>
          <w:rFonts w:hint="eastAsia" w:ascii="宋体" w:hAnsi="宋体" w:cs="宋体"/>
          <w:sz w:val="24"/>
        </w:rPr>
        <w:t>的，</w:t>
      </w:r>
      <w:r>
        <w:rPr>
          <w:rFonts w:hint="eastAsia" w:ascii="宋体" w:hAnsi="宋体" w:cs="宋体"/>
          <w:sz w:val="24"/>
          <w:lang w:val="en-US" w:eastAsia="zh-CN"/>
        </w:rPr>
        <w:t>该批次货款的70%部分不予支付（如已支付的，甲方有权在履约保证金、应付乙方款项中扣除或另行向乙方追缴）；甲方已经使用但但第三方检测结果中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水处理系统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u w:val="single"/>
        </w:rPr>
        <w:t>）</w:t>
      </w:r>
      <w:r>
        <w:rPr>
          <w:rFonts w:hint="eastAsia" w:ascii="宋体" w:hAnsi="宋体" w:cs="宋体"/>
          <w:color w:val="auto"/>
          <w:sz w:val="24"/>
          <w:highlight w:val="none"/>
          <w:u w:val="single"/>
        </w:rPr>
        <w:t>30%的</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pStyle w:val="2"/>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、第三章廉洁协议</w:t>
      </w:r>
      <w:r>
        <w:rPr>
          <w:rFonts w:hint="eastAsia" w:ascii="宋体" w:hAnsi="宋体"/>
          <w:lang w:eastAsia="zh-CN"/>
        </w:rPr>
        <w:t>、</w:t>
      </w:r>
      <w:r>
        <w:rPr>
          <w:rFonts w:hint="eastAsia" w:ascii="宋体" w:hAnsi="宋体"/>
          <w:lang w:val="en-US" w:eastAsia="zh-CN"/>
        </w:rPr>
        <w:t>第四章安全协议</w:t>
      </w:r>
      <w:r>
        <w:rPr>
          <w:rFonts w:hint="eastAsia" w:ascii="宋体" w:hAnsi="宋体"/>
        </w:rPr>
        <w:t>为本合同不可分割的一部分，</w:t>
      </w:r>
      <w:r>
        <w:rPr>
          <w:rFonts w:ascii="宋体" w:hAnsi="宋体"/>
        </w:rPr>
        <w:t>均具有同等法律效力</w:t>
      </w:r>
      <w:r>
        <w:rPr>
          <w:rFonts w:hint="eastAsia" w:ascii="宋体" w:hAnsi="宋体"/>
        </w:rPr>
        <w:t>。</w:t>
      </w: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14"/>
      <w:bookmarkStart w:id="409" w:name="_Toc28763"/>
      <w:bookmarkStart w:id="410" w:name="_Toc259093669"/>
      <w:bookmarkStart w:id="411" w:name="_Toc16917"/>
      <w:bookmarkStart w:id="412" w:name="_Ref467379195"/>
      <w:bookmarkStart w:id="413" w:name="_Ref467379101"/>
      <w:bookmarkStart w:id="414" w:name="_Ref467378463"/>
      <w:bookmarkStart w:id="415" w:name="_Toc279701240"/>
      <w:bookmarkStart w:id="416" w:name="_Ref467379225"/>
      <w:bookmarkStart w:id="417" w:name="_Ref467378404"/>
      <w:bookmarkStart w:id="418" w:name="_Toc19614"/>
      <w:bookmarkStart w:id="419" w:name="_Ref467379109"/>
      <w:bookmarkStart w:id="420" w:name="_Ref467379094"/>
      <w:bookmarkStart w:id="421" w:name="_Ref467378499"/>
      <w:bookmarkStart w:id="422" w:name="_Toc487900349"/>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32504"/>
      <w:bookmarkStart w:id="428" w:name="_Toc13336"/>
      <w:bookmarkStart w:id="429" w:name="_Toc279701241"/>
      <w:bookmarkStart w:id="430" w:name="_Toc487900350"/>
      <w:bookmarkStart w:id="431" w:name="_Toc27635"/>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27853"/>
      <w:bookmarkStart w:id="435" w:name="_Toc9829"/>
      <w:bookmarkStart w:id="436" w:name="_Toc31634"/>
      <w:bookmarkStart w:id="437" w:name="_Toc279701242"/>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Toc259093676"/>
      <w:bookmarkStart w:id="449" w:name="_Ref467379793"/>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Ref467379863"/>
      <w:bookmarkStart w:id="454" w:name="_Ref467379923"/>
      <w:bookmarkStart w:id="455" w:name="_Toc259093677"/>
      <w:bookmarkStart w:id="456" w:name="_Ref467379852"/>
      <w:bookmarkStart w:id="457" w:name="_Toc279701248"/>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689"/>
      <w:bookmarkStart w:id="483" w:name="_Toc259093684"/>
      <w:bookmarkStart w:id="484" w:name="_Toc487900365"/>
      <w:bookmarkStart w:id="485" w:name="_Toc27970125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59093687"/>
      <w:bookmarkStart w:id="488" w:name="_Toc279701258"/>
      <w:bookmarkStart w:id="489" w:name="_Toc7102"/>
      <w:bookmarkStart w:id="490" w:name="_Toc8298"/>
      <w:bookmarkStart w:id="491" w:name="_Toc48790036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rPr>
        <w:t>3.合同到期后，自</w:t>
      </w:r>
      <w:r>
        <w:rPr>
          <w:rFonts w:hint="eastAsia" w:ascii="宋体" w:hAnsi="宋体" w:cs="宋体"/>
          <w:sz w:val="24"/>
          <w:highlight w:val="none"/>
        </w:rPr>
        <w:t>动终止合同；</w:t>
      </w:r>
    </w:p>
    <w:p>
      <w:pPr>
        <w:spacing w:line="360" w:lineRule="auto"/>
        <w:ind w:firstLine="480" w:firstLineChars="200"/>
        <w:rPr>
          <w:rFonts w:ascii="宋体" w:hAnsi="宋体" w:cs="宋体"/>
          <w:sz w:val="24"/>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487900372"/>
      <w:bookmarkStart w:id="506" w:name="_Toc259093691"/>
      <w:bookmarkStart w:id="507" w:name="_Toc30599"/>
      <w:bookmarkStart w:id="508" w:name="_Toc4355"/>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279701263"/>
      <w:bookmarkStart w:id="512" w:name="_Toc12773"/>
      <w:bookmarkStart w:id="513" w:name="_Toc259093692"/>
      <w:bookmarkStart w:id="514" w:name="_Toc48790037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w:t>
      </w:r>
      <w:r>
        <w:rPr>
          <w:rFonts w:hint="eastAsia" w:ascii="宋体" w:hAnsi="宋体"/>
          <w:b/>
          <w:bCs/>
          <w:sz w:val="24"/>
          <w:u w:val="single"/>
          <w:lang w:eastAsia="zh-CN"/>
        </w:rPr>
        <w:t>、</w:t>
      </w:r>
      <w:r>
        <w:rPr>
          <w:rFonts w:hint="eastAsia" w:ascii="宋体" w:hAnsi="宋体"/>
          <w:b/>
          <w:bCs/>
          <w:sz w:val="24"/>
          <w:u w:val="single"/>
          <w:lang w:val="en-US" w:eastAsia="zh-CN"/>
        </w:rPr>
        <w:t>安全协议</w:t>
      </w:r>
      <w:r>
        <w:rPr>
          <w:rFonts w:hint="eastAsia" w:ascii="宋体" w:hAnsi="宋体"/>
          <w:b/>
          <w:bCs/>
          <w:sz w:val="24"/>
          <w:u w:val="single"/>
        </w:rPr>
        <w:t>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5045"/>
        <w:gridCol w:w="4681"/>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4681"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681"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681"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4681"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681"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681"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681"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13"/>
        <w:rPr>
          <w:rFonts w:ascii="宋体" w:hAnsi="宋体" w:eastAsia="宋体" w:cs="Times New Roman"/>
          <w:b/>
        </w:rPr>
      </w:pPr>
    </w:p>
    <w:p>
      <w:pPr>
        <w:rPr>
          <w:rFonts w:ascii="宋体" w:hAnsi="宋体" w:eastAsia="宋体" w:cs="Times New Roman"/>
          <w:b/>
        </w:rPr>
      </w:pPr>
    </w:p>
    <w:p>
      <w:pPr>
        <w:pStyle w:val="13"/>
        <w:rPr>
          <w:rFonts w:ascii="宋体" w:hAnsi="宋体" w:eastAsia="宋体" w:cs="Times New Roman"/>
          <w:b/>
        </w:rPr>
      </w:pPr>
    </w:p>
    <w:p>
      <w:pPr>
        <w:rPr>
          <w:rFonts w:ascii="宋体" w:hAnsi="宋体" w:eastAsia="宋体" w:cs="Times New Roman"/>
          <w:b/>
        </w:rPr>
      </w:pPr>
    </w:p>
    <w:p>
      <w:pPr>
        <w:pStyle w:val="13"/>
        <w:rPr>
          <w:rFonts w:ascii="宋体" w:hAnsi="宋体" w:eastAsia="宋体" w:cs="Times New Roman"/>
          <w:b/>
        </w:rPr>
      </w:pPr>
    </w:p>
    <w:p>
      <w:pPr>
        <w:rPr>
          <w:rFonts w:ascii="宋体" w:hAnsi="宋体" w:eastAsia="宋体" w:cs="Times New Roman"/>
          <w:b/>
        </w:rPr>
      </w:pPr>
    </w:p>
    <w:p>
      <w:pPr>
        <w:pStyle w:val="13"/>
        <w:rPr>
          <w:rFonts w:ascii="宋体" w:hAnsi="宋体" w:eastAsia="宋体" w:cs="Times New Roman"/>
          <w:b/>
        </w:rPr>
      </w:pPr>
    </w:p>
    <w:p/>
    <w:p>
      <w:pPr>
        <w:rPr>
          <w:rFonts w:ascii="宋体" w:hAnsi="宋体" w:eastAsia="宋体" w:cs="Times New Roman"/>
          <w:b/>
        </w:rPr>
      </w:pPr>
    </w:p>
    <w:p>
      <w:pPr>
        <w:pStyle w:val="13"/>
        <w:rPr>
          <w:rFonts w:ascii="宋体" w:hAnsi="宋体" w:eastAsia="宋体" w:cs="Times New Roman"/>
          <w:b/>
        </w:rPr>
      </w:pPr>
    </w:p>
    <w:p>
      <w:pPr>
        <w:rPr>
          <w:rFonts w:ascii="宋体" w:hAnsi="宋体" w:eastAsia="宋体" w:cs="Times New Roman"/>
          <w:b/>
        </w:rPr>
      </w:pPr>
    </w:p>
    <w:p>
      <w:pPr>
        <w:pStyle w:val="13"/>
        <w:rPr>
          <w:rFonts w:ascii="宋体" w:hAnsi="宋体" w:eastAsia="宋体" w:cs="Times New Roman"/>
          <w:b/>
        </w:rPr>
      </w:pPr>
    </w:p>
    <w:p>
      <w:pPr>
        <w:rPr>
          <w:rFonts w:ascii="宋体" w:hAnsi="宋体" w:eastAsia="宋体" w:cs="Times New Roman"/>
          <w:b/>
        </w:rPr>
      </w:pPr>
    </w:p>
    <w:p>
      <w:pPr>
        <w:pStyle w:val="2"/>
        <w:rPr>
          <w:rFonts w:ascii="宋体" w:hAnsi="宋体" w:eastAsia="宋体" w:cs="Times New Roman"/>
          <w:b/>
        </w:rPr>
      </w:pPr>
    </w:p>
    <w:p>
      <w:pPr>
        <w:pStyle w:val="3"/>
        <w:rPr>
          <w:rFonts w:ascii="宋体" w:hAnsi="宋体" w:eastAsia="宋体" w:cs="Times New Roman"/>
          <w:b/>
        </w:rPr>
      </w:pPr>
    </w:p>
    <w:p>
      <w:pPr>
        <w:rPr>
          <w:rFonts w:ascii="宋体" w:hAnsi="宋体" w:eastAsia="宋体" w:cs="Times New Roman"/>
          <w:b/>
        </w:rPr>
      </w:pPr>
    </w:p>
    <w:p>
      <w:pPr>
        <w:pStyle w:val="2"/>
        <w:rPr>
          <w:rFonts w:ascii="宋体" w:hAnsi="宋体" w:eastAsia="宋体" w:cs="Times New Roman"/>
          <w:b/>
        </w:rPr>
      </w:pPr>
    </w:p>
    <w:p>
      <w:pPr>
        <w:pStyle w:val="3"/>
        <w:rPr>
          <w:rFonts w:ascii="宋体" w:hAnsi="宋体" w:eastAsia="宋体" w:cs="Times New Roman"/>
          <w:b/>
        </w:rPr>
      </w:pPr>
    </w:p>
    <w:p>
      <w:pPr>
        <w:rPr>
          <w:rFonts w:ascii="宋体" w:hAnsi="宋体" w:eastAsia="宋体" w:cs="Times New Roman"/>
          <w:b/>
        </w:rPr>
      </w:pPr>
    </w:p>
    <w:p>
      <w:pPr>
        <w:pStyle w:val="2"/>
      </w:pPr>
    </w:p>
    <w:p>
      <w:pPr>
        <w:pStyle w:val="9"/>
        <w:ind w:left="0" w:leftChars="0" w:firstLine="0" w:firstLineChars="0"/>
        <w:rPr>
          <w:rFonts w:hint="eastAsia" w:ascii="宋体" w:hAnsi="宋体" w:cs="Times New Roman"/>
          <w:b/>
          <w:szCs w:val="24"/>
        </w:rPr>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pStyle w:val="2"/>
        <w:rPr>
          <w:rFonts w:ascii="宋体" w:hAnsi="宋体" w:eastAsia="宋体" w:cs="宋体"/>
          <w:color w:val="000000"/>
          <w:sz w:val="24"/>
        </w:rPr>
      </w:pPr>
    </w:p>
    <w:p>
      <w:pPr>
        <w:pStyle w:val="3"/>
        <w:rPr>
          <w:rFonts w:ascii="宋体" w:hAnsi="宋体" w:eastAsia="宋体" w:cs="宋体"/>
          <w:color w:val="000000"/>
          <w:sz w:val="24"/>
        </w:rPr>
      </w:pPr>
    </w:p>
    <w:p>
      <w:pPr>
        <w:rPr>
          <w:rFonts w:ascii="宋体" w:hAnsi="宋体" w:eastAsia="宋体" w:cs="宋体"/>
          <w:color w:val="000000"/>
          <w:sz w:val="24"/>
        </w:rPr>
      </w:pPr>
    </w:p>
    <w:p>
      <w:pPr>
        <w:pStyle w:val="2"/>
        <w:rPr>
          <w:rFonts w:ascii="宋体" w:hAnsi="宋体" w:eastAsia="宋体" w:cs="宋体"/>
          <w:color w:val="000000"/>
          <w:sz w:val="24"/>
        </w:rPr>
      </w:pPr>
    </w:p>
    <w:p>
      <w:pPr>
        <w:pStyle w:val="3"/>
        <w:ind w:left="0" w:leftChars="0" w:firstLine="0" w:firstLineChars="0"/>
        <w:rPr>
          <w:rFonts w:ascii="宋体" w:hAnsi="宋体" w:eastAsia="宋体" w:cs="宋体"/>
          <w:color w:val="000000"/>
          <w:sz w:val="24"/>
        </w:rPr>
      </w:pPr>
    </w:p>
    <w:p>
      <w:pPr>
        <w:rPr>
          <w:rFonts w:ascii="宋体" w:hAnsi="宋体" w:eastAsia="宋体" w:cs="宋体"/>
          <w:color w:val="000000"/>
          <w:sz w:val="24"/>
        </w:rPr>
      </w:pPr>
    </w:p>
    <w:p>
      <w:pPr>
        <w:pStyle w:val="2"/>
        <w:rPr>
          <w:rFonts w:ascii="宋体" w:hAnsi="宋体" w:eastAsia="宋体" w:cs="宋体"/>
          <w:color w:val="000000"/>
          <w:sz w:val="24"/>
        </w:rPr>
      </w:pPr>
    </w:p>
    <w:p>
      <w:pPr>
        <w:pStyle w:val="3"/>
        <w:rPr>
          <w:rFonts w:ascii="宋体" w:hAnsi="宋体" w:eastAsia="宋体" w:cs="宋体"/>
          <w:color w:val="000000"/>
          <w:sz w:val="24"/>
        </w:rPr>
      </w:pPr>
    </w:p>
    <w:p>
      <w:pPr>
        <w:rPr>
          <w:rFonts w:ascii="宋体" w:hAnsi="宋体" w:eastAsia="宋体" w:cs="宋体"/>
          <w:color w:val="000000"/>
          <w:sz w:val="24"/>
        </w:rPr>
      </w:pPr>
    </w:p>
    <w:p>
      <w:pPr>
        <w:pStyle w:val="2"/>
        <w:rPr>
          <w:rFonts w:ascii="宋体" w:hAnsi="宋体" w:eastAsia="宋体" w:cs="宋体"/>
          <w:color w:val="000000"/>
          <w:sz w:val="24"/>
        </w:rPr>
      </w:pPr>
    </w:p>
    <w:p>
      <w:pPr>
        <w:pStyle w:val="3"/>
        <w:rPr>
          <w:rFonts w:ascii="宋体" w:hAnsi="宋体" w:eastAsia="宋体" w:cs="宋体"/>
          <w:color w:val="000000"/>
          <w:sz w:val="24"/>
        </w:rPr>
      </w:pPr>
    </w:p>
    <w:p>
      <w:pPr>
        <w:rPr>
          <w:rFonts w:ascii="宋体" w:hAnsi="宋体" w:eastAsia="宋体" w:cs="宋体"/>
          <w:color w:val="000000"/>
          <w:sz w:val="24"/>
        </w:rPr>
      </w:pPr>
    </w:p>
    <w:p>
      <w:pPr>
        <w:pStyle w:val="2"/>
      </w:pPr>
    </w:p>
    <w:p>
      <w:pPr>
        <w:rPr>
          <w:rFonts w:ascii="宋体" w:hAnsi="宋体" w:eastAsia="宋体" w:cs="宋体"/>
          <w:color w:val="000000"/>
          <w:sz w:val="24"/>
        </w:rPr>
      </w:pPr>
    </w:p>
    <w:p>
      <w:pPr>
        <w:pStyle w:val="24"/>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w:t>
      </w:r>
      <w:r>
        <w:rPr>
          <w:rFonts w:hint="eastAsia" w:ascii="宋体" w:hAnsi="宋体"/>
          <w:b/>
          <w:color w:val="auto"/>
          <w:szCs w:val="24"/>
          <w:lang w:val="en-US" w:eastAsia="zh-CN"/>
        </w:rPr>
        <w:t>四</w:t>
      </w:r>
      <w:r>
        <w:rPr>
          <w:rFonts w:hint="eastAsia" w:ascii="宋体" w:hAnsi="宋体"/>
          <w:b/>
          <w:color w:val="auto"/>
          <w:szCs w:val="24"/>
        </w:rPr>
        <w:t>章  安全协议</w:t>
      </w:r>
    </w:p>
    <w:p>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w:t>
      </w:r>
      <w:r>
        <w:rPr>
          <w:rFonts w:hint="eastAsia" w:hAnsi="宋体" w:cs="宋体"/>
          <w:color w:val="auto"/>
          <w:sz w:val="24"/>
          <w:lang w:bidi="ar"/>
        </w:rPr>
        <w:t xml:space="preserve">（简称乙方）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p>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合同附件1：</w:t>
      </w:r>
    </w:p>
    <w:p>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yellow"/>
                <w:u w:val="none"/>
                <w:lang w:val="en-US" w:eastAsia="zh-CN"/>
              </w:rPr>
              <w:t>以上为供应商发货前填写，以下为到货验收的时候填写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pPr>
        <w:rPr>
          <w:rFonts w:hint="default" w:ascii="仿宋_GB2312" w:hAnsi="仿宋_GB2312" w:eastAsia="仿宋_GB2312" w:cs="仿宋_GB2312"/>
          <w:sz w:val="32"/>
          <w:szCs w:val="32"/>
          <w:highlight w:val="none"/>
          <w:lang w:val="en-US" w:eastAsia="zh-CN"/>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6"/>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2025年-2026年循环水氧化性杀菌剂、非氧化性杀菌剂、缓蚀阻垢剂采购项目</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202412040</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 xml:space="preserve">询价保证金退还申请单  </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14"/>
      </w:pPr>
    </w:p>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2025年-2026年循环水氧化性杀菌剂、非氧化性杀菌剂、缓蚀阻垢剂采购项目</w:t>
      </w:r>
      <w:r>
        <w:rPr>
          <w:rFonts w:hint="eastAsia" w:cs="仿宋" w:asciiTheme="minorEastAsia" w:hAnsiTheme="minorEastAsia"/>
          <w:sz w:val="24"/>
        </w:rPr>
        <w:t>【项目</w:t>
      </w:r>
      <w:r>
        <w:rPr>
          <w:rFonts w:hint="eastAsia" w:cs="仿宋" w:asciiTheme="minorEastAsia" w:hAnsiTheme="minorEastAsia"/>
          <w:sz w:val="24"/>
          <w:highlight w:val="none"/>
        </w:rPr>
        <w:t>编号：</w:t>
      </w:r>
      <w:r>
        <w:rPr>
          <w:rFonts w:hint="eastAsia" w:cs="仿宋" w:asciiTheme="minorEastAsia" w:hAnsiTheme="minorEastAsia"/>
          <w:sz w:val="24"/>
          <w:highlight w:val="none"/>
          <w:u w:val="single"/>
          <w:lang w:eastAsia="zh-CN"/>
        </w:rPr>
        <w:t>202412040</w:t>
      </w:r>
      <w:r>
        <w:rPr>
          <w:rFonts w:hint="eastAsia" w:cs="仿宋" w:asciiTheme="minorEastAsia" w:hAnsiTheme="minorEastAsia"/>
          <w:sz w:val="24"/>
          <w:highlight w:val="none"/>
        </w:rPr>
        <w:t>】</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pPr>
    </w:p>
    <w:p>
      <w:pPr>
        <w:pStyle w:val="3"/>
      </w:pPr>
    </w:p>
    <w:p/>
    <w:p>
      <w:pPr>
        <w:pStyle w:val="2"/>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3"/>
        <w:jc w:val="center"/>
        <w:rPr>
          <w:rFonts w:hint="eastAsia" w:eastAsiaTheme="minorEastAsia"/>
          <w:lang w:eastAsia="zh-CN"/>
        </w:rPr>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3"/>
        <w:ind w:left="0" w:leftChars="0" w:firstLine="0" w:firstLineChars="0"/>
      </w:pPr>
    </w:p>
    <w:p/>
    <w:p>
      <w:pPr>
        <w:pStyle w:val="2"/>
      </w:pPr>
    </w:p>
    <w:p>
      <w:pPr>
        <w:pStyle w:val="3"/>
      </w:pPr>
    </w:p>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2025年-2026年循环水氧化性杀菌剂、非氧化性杀菌剂、缓蚀阻垢剂采购项目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202412040</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w:t>
      </w:r>
      <w:r>
        <w:rPr>
          <w:rFonts w:hint="eastAsia" w:cs="仿宋" w:asciiTheme="minorEastAsia" w:hAnsiTheme="minorEastAsia"/>
          <w:sz w:val="24"/>
        </w:rPr>
        <w:t>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2025年-2026年循环水氧化性杀菌剂、非氧化性杀菌剂、缓蚀阻垢剂采购项目</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eastAsia="zh-CN"/>
        </w:rPr>
        <w:t>202412040</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w:t>
      </w:r>
      <w:r>
        <w:rPr>
          <w:rFonts w:hint="eastAsia" w:cs="仿宋" w:asciiTheme="minorEastAsia" w:hAnsiTheme="minorEastAsia"/>
          <w:kern w:val="0"/>
          <w:sz w:val="24"/>
          <w:highlight w:val="none"/>
          <w:lang w:val="zh-CN"/>
        </w:rPr>
        <w:t>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w:t>
      </w:r>
      <w:r>
        <w:rPr>
          <w:rFonts w:hint="eastAsia" w:cs="仿宋" w:asciiTheme="minorEastAsia" w:hAnsiTheme="minorEastAsia"/>
          <w:kern w:val="0"/>
          <w:sz w:val="24"/>
        </w:rPr>
        <w:t>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2025年-2026年循环水氧化性杀菌剂、非氧化性杀菌剂、缓蚀阻垢剂采购项目</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eastAsia="zh-CN"/>
        </w:rPr>
        <w:t>202412040</w:t>
      </w:r>
      <w:r>
        <w:rPr>
          <w:rFonts w:hint="eastAsia" w:cs="仿宋" w:asciiTheme="minorEastAsia" w:hAnsiTheme="minorEastAsia"/>
          <w:sz w:val="24"/>
          <w:highlight w:val="none"/>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5520" w:firstLineChars="2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val="en-US" w:eastAsia="zh-CN"/>
        </w:rPr>
        <w:t xml:space="preserve">               </w:t>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6"/>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2025年-2026年循环水氧化性杀菌剂、非氧化性杀菌剂、缓蚀阻垢剂采购项目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202412040</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询</w:t>
      </w:r>
      <w:r>
        <w:rPr>
          <w:rFonts w:hint="eastAsia" w:ascii="宋体" w:hAnsi="宋体" w:eastAsia="宋体" w:cs="宋体"/>
          <w:sz w:val="24"/>
        </w:rPr>
        <w:t>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pStyle w:val="2"/>
        <w:tabs>
          <w:tab w:val="left" w:pos="4101"/>
        </w:tabs>
        <w:jc w:val="left"/>
        <w:rPr>
          <w:rFonts w:hint="eastAsia" w:hAnsi="宋体" w:cs="宋体"/>
        </w:rPr>
        <w:sectPr>
          <w:pgSz w:w="11906" w:h="16838"/>
          <w:pgMar w:top="1440" w:right="1800" w:bottom="1440" w:left="1800" w:header="851" w:footer="992" w:gutter="0"/>
          <w:cols w:space="425" w:num="1"/>
          <w:docGrid w:type="lines" w:linePitch="312" w:charSpace="0"/>
        </w:sectPr>
      </w:pPr>
      <w:r>
        <w:rPr>
          <w:rFonts w:hint="eastAsia" w:hAnsi="宋体" w:cs="宋体"/>
        </w:rPr>
        <w:t>日 期 ：</w:t>
      </w:r>
      <w:r>
        <w:rPr>
          <w:rFonts w:hint="eastAsia" w:hAnsi="宋体" w:cs="宋体"/>
          <w:lang w:val="en-US" w:eastAsia="zh-CN"/>
        </w:rPr>
        <w:t xml:space="preserve">  </w:t>
      </w:r>
      <w:r>
        <w:rPr>
          <w:rFonts w:hint="eastAsia" w:hAnsi="宋体" w:cs="宋体"/>
        </w:rPr>
        <w:t xml:space="preserve"> 年 </w:t>
      </w:r>
      <w:r>
        <w:rPr>
          <w:rFonts w:hint="eastAsia" w:hAnsi="宋体" w:cs="宋体"/>
          <w:lang w:val="en-US" w:eastAsia="zh-CN"/>
        </w:rPr>
        <w:t xml:space="preserve">  </w:t>
      </w:r>
      <w:r>
        <w:rPr>
          <w:rFonts w:hint="eastAsia" w:hAnsi="宋体" w:cs="宋体"/>
        </w:rPr>
        <w:t>月</w:t>
      </w:r>
      <w:r>
        <w:rPr>
          <w:rFonts w:hint="eastAsia" w:hAnsi="宋体" w:cs="宋体"/>
          <w:lang w:val="en-US" w:eastAsia="zh-CN"/>
        </w:rPr>
        <w:t xml:space="preserve">  </w:t>
      </w:r>
      <w:r>
        <w:rPr>
          <w:rFonts w:hint="eastAsia" w:hAnsi="宋体" w:cs="宋体"/>
        </w:rPr>
        <w:t xml:space="preserve">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2025年-2026年循环水氧化性杀菌剂、非氧化性杀菌剂、缓蚀阻垢剂采购项目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202412040</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w:t>
      </w:r>
      <w:r>
        <w:rPr>
          <w:rFonts w:hint="eastAsia" w:cs="仿宋" w:asciiTheme="minorEastAsia" w:hAnsiTheme="minorEastAsia"/>
          <w:sz w:val="24"/>
        </w:rPr>
        <w:t>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06"/>
        <w:gridCol w:w="763"/>
        <w:gridCol w:w="3237"/>
        <w:gridCol w:w="963"/>
        <w:gridCol w:w="1000"/>
        <w:gridCol w:w="1125"/>
        <w:gridCol w:w="1137"/>
        <w:gridCol w:w="3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30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763"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323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963"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100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12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13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30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5"/>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306" w:type="dxa"/>
            <w:vAlign w:val="center"/>
          </w:tcPr>
          <w:p>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氧化性杀菌剂</w:t>
            </w:r>
          </w:p>
        </w:tc>
        <w:tc>
          <w:tcPr>
            <w:tcW w:w="763" w:type="dxa"/>
            <w:vAlign w:val="center"/>
          </w:tcPr>
          <w:p>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w:t>
            </w:r>
          </w:p>
        </w:tc>
        <w:tc>
          <w:tcPr>
            <w:tcW w:w="3237" w:type="dxa"/>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根据采购人的水质参数，达到灭菌效果。</w:t>
            </w:r>
          </w:p>
        </w:tc>
        <w:tc>
          <w:tcPr>
            <w:tcW w:w="963" w:type="dxa"/>
            <w:vAlign w:val="center"/>
          </w:tcPr>
          <w:p>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6.5</w:t>
            </w:r>
          </w:p>
        </w:tc>
        <w:tc>
          <w:tcPr>
            <w:tcW w:w="1000" w:type="dxa"/>
            <w:vAlign w:val="center"/>
          </w:tcPr>
          <w:p>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吨</w:t>
            </w:r>
          </w:p>
        </w:tc>
        <w:tc>
          <w:tcPr>
            <w:tcW w:w="1125" w:type="dxa"/>
            <w:vAlign w:val="center"/>
          </w:tcPr>
          <w:p>
            <w:pPr>
              <w:spacing w:line="360" w:lineRule="auto"/>
              <w:jc w:val="center"/>
              <w:rPr>
                <w:rFonts w:cs="仿宋" w:asciiTheme="minorEastAsia" w:hAnsiTheme="minorEastAsia"/>
                <w:b/>
                <w:sz w:val="24"/>
              </w:rPr>
            </w:pPr>
          </w:p>
        </w:tc>
        <w:tc>
          <w:tcPr>
            <w:tcW w:w="1137" w:type="dxa"/>
            <w:vAlign w:val="center"/>
          </w:tcPr>
          <w:p>
            <w:pPr>
              <w:spacing w:line="360" w:lineRule="auto"/>
              <w:jc w:val="center"/>
              <w:rPr>
                <w:rFonts w:cs="仿宋" w:asciiTheme="minorEastAsia" w:hAnsiTheme="minorEastAsia"/>
                <w:b/>
                <w:sz w:val="24"/>
              </w:rPr>
            </w:pPr>
          </w:p>
        </w:tc>
        <w:tc>
          <w:tcPr>
            <w:tcW w:w="3076" w:type="dxa"/>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数量以供应商自行制定投标加药方案为准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5"/>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306" w:type="dxa"/>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非氧化性杀菌剂</w:t>
            </w:r>
          </w:p>
        </w:tc>
        <w:tc>
          <w:tcPr>
            <w:tcW w:w="763" w:type="dxa"/>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3237" w:type="dxa"/>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根据采购人的水质参数，达到灭菌效果。</w:t>
            </w:r>
          </w:p>
        </w:tc>
        <w:tc>
          <w:tcPr>
            <w:tcW w:w="963" w:type="dxa"/>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3.5</w:t>
            </w:r>
          </w:p>
        </w:tc>
        <w:tc>
          <w:tcPr>
            <w:tcW w:w="1000" w:type="dxa"/>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吨</w:t>
            </w:r>
          </w:p>
        </w:tc>
        <w:tc>
          <w:tcPr>
            <w:tcW w:w="1125" w:type="dxa"/>
            <w:vAlign w:val="center"/>
          </w:tcPr>
          <w:p>
            <w:pPr>
              <w:spacing w:line="360" w:lineRule="auto"/>
              <w:jc w:val="center"/>
              <w:rPr>
                <w:rFonts w:cs="仿宋" w:asciiTheme="minorEastAsia" w:hAnsiTheme="minorEastAsia"/>
                <w:b/>
                <w:sz w:val="24"/>
              </w:rPr>
            </w:pPr>
          </w:p>
        </w:tc>
        <w:tc>
          <w:tcPr>
            <w:tcW w:w="1137" w:type="dxa"/>
            <w:vAlign w:val="center"/>
          </w:tcPr>
          <w:p>
            <w:pPr>
              <w:spacing w:line="360" w:lineRule="auto"/>
              <w:jc w:val="center"/>
              <w:rPr>
                <w:rFonts w:cs="仿宋" w:asciiTheme="minorEastAsia" w:hAnsiTheme="minorEastAsia"/>
                <w:b/>
                <w:sz w:val="24"/>
              </w:rPr>
            </w:pPr>
          </w:p>
        </w:tc>
        <w:tc>
          <w:tcPr>
            <w:tcW w:w="3076" w:type="dxa"/>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数量以供应商自行制定投标加药方案为准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5"/>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3</w:t>
            </w:r>
          </w:p>
        </w:tc>
        <w:tc>
          <w:tcPr>
            <w:tcW w:w="1306" w:type="dxa"/>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缓蚀阻垢剂</w:t>
            </w:r>
          </w:p>
        </w:tc>
        <w:tc>
          <w:tcPr>
            <w:tcW w:w="763" w:type="dxa"/>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3237" w:type="dxa"/>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根据采购人的水质参数，达到阻垢效果。</w:t>
            </w:r>
          </w:p>
        </w:tc>
        <w:tc>
          <w:tcPr>
            <w:tcW w:w="963" w:type="dxa"/>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17</w:t>
            </w:r>
          </w:p>
        </w:tc>
        <w:tc>
          <w:tcPr>
            <w:tcW w:w="1000" w:type="dxa"/>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吨</w:t>
            </w:r>
          </w:p>
        </w:tc>
        <w:tc>
          <w:tcPr>
            <w:tcW w:w="1125" w:type="dxa"/>
            <w:vAlign w:val="center"/>
          </w:tcPr>
          <w:p>
            <w:pPr>
              <w:spacing w:line="360" w:lineRule="auto"/>
              <w:jc w:val="center"/>
              <w:rPr>
                <w:rFonts w:cs="仿宋" w:asciiTheme="minorEastAsia" w:hAnsiTheme="minorEastAsia"/>
                <w:b/>
                <w:sz w:val="24"/>
              </w:rPr>
            </w:pPr>
          </w:p>
        </w:tc>
        <w:tc>
          <w:tcPr>
            <w:tcW w:w="1137" w:type="dxa"/>
            <w:vAlign w:val="center"/>
          </w:tcPr>
          <w:p>
            <w:pPr>
              <w:spacing w:line="360" w:lineRule="auto"/>
              <w:jc w:val="center"/>
              <w:rPr>
                <w:rFonts w:cs="仿宋" w:asciiTheme="minorEastAsia" w:hAnsiTheme="minorEastAsia"/>
                <w:b/>
                <w:sz w:val="24"/>
              </w:rPr>
            </w:pPr>
          </w:p>
        </w:tc>
        <w:tc>
          <w:tcPr>
            <w:tcW w:w="3076" w:type="dxa"/>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数量以供应商自行制定投标加药方案为准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3"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538"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3"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538"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3"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538"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2"/>
      </w:pPr>
    </w:p>
    <w:p>
      <w:pPr>
        <w:pStyle w:val="3"/>
      </w:pPr>
    </w:p>
    <w:p/>
    <w:p>
      <w:pPr>
        <w:pStyle w:val="2"/>
      </w:pPr>
    </w:p>
    <w:p>
      <w:pPr>
        <w:pStyle w:val="3"/>
      </w:pPr>
    </w:p>
    <w:p/>
    <w:p>
      <w:pPr>
        <w:pStyle w:val="2"/>
      </w:pPr>
    </w:p>
    <w:p>
      <w:pPr>
        <w:pStyle w:val="3"/>
      </w:pPr>
    </w:p>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如有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2025年-2026年循环水氧化性杀菌剂、非氧化性杀菌剂、缓蚀阻垢剂采购项目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202412040</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w:t>
      </w:r>
      <w:r>
        <w:rPr>
          <w:rFonts w:hint="eastAsia" w:ascii="宋体" w:hAnsi="宋体" w:cs="宋体"/>
          <w:sz w:val="24"/>
          <w:lang w:val="en-US" w:eastAsia="zh-CN"/>
        </w:rPr>
        <w:t>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2025年-2026年循环水氧化性杀菌剂、非氧化性杀菌剂、缓蚀阻垢剂采购项目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202412040</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cs="仿宋" w:asciiTheme="minorEastAsia" w:hAnsiTheme="minorEastAsia"/>
          <w:b/>
          <w:spacing w:val="6"/>
          <w:sz w:val="32"/>
          <w:szCs w:val="32"/>
        </w:r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2025年-2026年循环水氧化性杀菌剂、非氧化性杀菌剂、缓蚀阻垢剂采购项目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202412040</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2025年-2026年循环水氧化性杀菌剂、非氧化性杀菌剂、缓蚀阻垢剂采购项目</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eastAsia="zh-CN"/>
        </w:rPr>
        <w:t>202412040</w:t>
      </w:r>
      <w:r>
        <w:rPr>
          <w:rFonts w:hint="eastAsia" w:cs="仿宋" w:asciiTheme="minorEastAsia" w:hAnsiTheme="minorEastAsia"/>
          <w:sz w:val="24"/>
          <w:highlight w:val="none"/>
          <w:u w:val="single"/>
        </w:rPr>
        <w:t>】</w:t>
      </w:r>
      <w:r>
        <w:rPr>
          <w:rFonts w:hint="eastAsia" w:cs="仿宋" w:asciiTheme="minorEastAsia" w:hAnsiTheme="minorEastAsia"/>
          <w:kern w:val="0"/>
          <w:sz w:val="24"/>
          <w:highlight w:val="none"/>
          <w:lang w:val="zh-CN"/>
        </w:rPr>
        <w:t>的成</w:t>
      </w:r>
      <w:r>
        <w:rPr>
          <w:rFonts w:hint="eastAsia" w:cs="仿宋" w:asciiTheme="minorEastAsia" w:hAnsiTheme="minorEastAsia"/>
          <w:kern w:val="0"/>
          <w:sz w:val="24"/>
          <w:lang w:val="zh-CN"/>
        </w:rPr>
        <w:t>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5"/>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NmQ0MjhkMGM4Mzg1ODY1ZDIyZWMyZGI5YTNiZmI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23E1286"/>
    <w:rsid w:val="029C7664"/>
    <w:rsid w:val="02C122C8"/>
    <w:rsid w:val="030669ED"/>
    <w:rsid w:val="032B7E17"/>
    <w:rsid w:val="034B5FC8"/>
    <w:rsid w:val="03BE4770"/>
    <w:rsid w:val="03C74493"/>
    <w:rsid w:val="03CA5C6D"/>
    <w:rsid w:val="04366EA4"/>
    <w:rsid w:val="04E634F4"/>
    <w:rsid w:val="057311F3"/>
    <w:rsid w:val="05A4392C"/>
    <w:rsid w:val="05B622F4"/>
    <w:rsid w:val="06803F38"/>
    <w:rsid w:val="06897EFF"/>
    <w:rsid w:val="07013F3A"/>
    <w:rsid w:val="078B333A"/>
    <w:rsid w:val="07A67451"/>
    <w:rsid w:val="07C24B12"/>
    <w:rsid w:val="07D15ABF"/>
    <w:rsid w:val="087E795F"/>
    <w:rsid w:val="08916754"/>
    <w:rsid w:val="09104908"/>
    <w:rsid w:val="09EC7123"/>
    <w:rsid w:val="09ED56C9"/>
    <w:rsid w:val="0A995D83"/>
    <w:rsid w:val="0B530D41"/>
    <w:rsid w:val="0B652758"/>
    <w:rsid w:val="0BF7590B"/>
    <w:rsid w:val="0BFE313E"/>
    <w:rsid w:val="0C177D5B"/>
    <w:rsid w:val="0C2A044F"/>
    <w:rsid w:val="0C492847"/>
    <w:rsid w:val="0C983DD0"/>
    <w:rsid w:val="0CF31D21"/>
    <w:rsid w:val="0D89320B"/>
    <w:rsid w:val="0D8B0B2E"/>
    <w:rsid w:val="0EC870E3"/>
    <w:rsid w:val="0F0601C4"/>
    <w:rsid w:val="0F111837"/>
    <w:rsid w:val="0F2F6501"/>
    <w:rsid w:val="0F81598B"/>
    <w:rsid w:val="0FB91E94"/>
    <w:rsid w:val="10C76755"/>
    <w:rsid w:val="11B04EDA"/>
    <w:rsid w:val="11C46A46"/>
    <w:rsid w:val="11D64215"/>
    <w:rsid w:val="11F35B37"/>
    <w:rsid w:val="12D86145"/>
    <w:rsid w:val="12E110C3"/>
    <w:rsid w:val="135A601C"/>
    <w:rsid w:val="143E2438"/>
    <w:rsid w:val="14422232"/>
    <w:rsid w:val="14DF7D0B"/>
    <w:rsid w:val="152B7330"/>
    <w:rsid w:val="152C0D1B"/>
    <w:rsid w:val="15515F0C"/>
    <w:rsid w:val="15CB2DA0"/>
    <w:rsid w:val="16135A37"/>
    <w:rsid w:val="166F3635"/>
    <w:rsid w:val="16806E74"/>
    <w:rsid w:val="17AF353E"/>
    <w:rsid w:val="17D0041E"/>
    <w:rsid w:val="185870FA"/>
    <w:rsid w:val="185A544F"/>
    <w:rsid w:val="18890233"/>
    <w:rsid w:val="18A60DE5"/>
    <w:rsid w:val="190D49C0"/>
    <w:rsid w:val="198737C7"/>
    <w:rsid w:val="19976A31"/>
    <w:rsid w:val="19DC6BDA"/>
    <w:rsid w:val="1A003734"/>
    <w:rsid w:val="1A4B1C44"/>
    <w:rsid w:val="1A972372"/>
    <w:rsid w:val="1AA56FDE"/>
    <w:rsid w:val="1B1B25BA"/>
    <w:rsid w:val="1B582F76"/>
    <w:rsid w:val="1B7913A6"/>
    <w:rsid w:val="1CFD08FE"/>
    <w:rsid w:val="1D04247A"/>
    <w:rsid w:val="1D61352C"/>
    <w:rsid w:val="1D882867"/>
    <w:rsid w:val="1DCF6B00"/>
    <w:rsid w:val="1DFA0457"/>
    <w:rsid w:val="1E5F5CBE"/>
    <w:rsid w:val="1E8307F5"/>
    <w:rsid w:val="1F457921"/>
    <w:rsid w:val="1FAD5F5A"/>
    <w:rsid w:val="20457135"/>
    <w:rsid w:val="2075762A"/>
    <w:rsid w:val="2091148E"/>
    <w:rsid w:val="20D12777"/>
    <w:rsid w:val="20FB672E"/>
    <w:rsid w:val="213339C4"/>
    <w:rsid w:val="21677697"/>
    <w:rsid w:val="21C81DCC"/>
    <w:rsid w:val="228D26CE"/>
    <w:rsid w:val="22916FA5"/>
    <w:rsid w:val="230E1A60"/>
    <w:rsid w:val="23922209"/>
    <w:rsid w:val="23C64579"/>
    <w:rsid w:val="247C6E9E"/>
    <w:rsid w:val="24A51F50"/>
    <w:rsid w:val="24AA7B6C"/>
    <w:rsid w:val="25650E5F"/>
    <w:rsid w:val="25C26B32"/>
    <w:rsid w:val="26010880"/>
    <w:rsid w:val="26F15921"/>
    <w:rsid w:val="27653FCF"/>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EFD0F67"/>
    <w:rsid w:val="2F4D3609"/>
    <w:rsid w:val="2F5836E9"/>
    <w:rsid w:val="300206D5"/>
    <w:rsid w:val="30062480"/>
    <w:rsid w:val="30556F21"/>
    <w:rsid w:val="30853026"/>
    <w:rsid w:val="308C5F1F"/>
    <w:rsid w:val="30CE282F"/>
    <w:rsid w:val="31111553"/>
    <w:rsid w:val="31191AA6"/>
    <w:rsid w:val="314B6E80"/>
    <w:rsid w:val="31A05328"/>
    <w:rsid w:val="3212293E"/>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8802194"/>
    <w:rsid w:val="39C31C6C"/>
    <w:rsid w:val="3A207904"/>
    <w:rsid w:val="3A6303AE"/>
    <w:rsid w:val="3A993EAE"/>
    <w:rsid w:val="3AB61186"/>
    <w:rsid w:val="3B9B06CC"/>
    <w:rsid w:val="3C283344"/>
    <w:rsid w:val="3C485F9D"/>
    <w:rsid w:val="3C687E7B"/>
    <w:rsid w:val="3C7C70D7"/>
    <w:rsid w:val="3C940DD1"/>
    <w:rsid w:val="3E0C6463"/>
    <w:rsid w:val="3EE43BF5"/>
    <w:rsid w:val="403E57B7"/>
    <w:rsid w:val="411A0F39"/>
    <w:rsid w:val="415A5C88"/>
    <w:rsid w:val="41CE08E1"/>
    <w:rsid w:val="41FB6872"/>
    <w:rsid w:val="42112513"/>
    <w:rsid w:val="433C7ACC"/>
    <w:rsid w:val="435518AD"/>
    <w:rsid w:val="43C04259"/>
    <w:rsid w:val="43C354C4"/>
    <w:rsid w:val="44A040E0"/>
    <w:rsid w:val="44C67F95"/>
    <w:rsid w:val="4557347D"/>
    <w:rsid w:val="4559568A"/>
    <w:rsid w:val="45A47533"/>
    <w:rsid w:val="45F97EF6"/>
    <w:rsid w:val="46AB7CFB"/>
    <w:rsid w:val="46BC402D"/>
    <w:rsid w:val="472961BF"/>
    <w:rsid w:val="475528CD"/>
    <w:rsid w:val="47B265AF"/>
    <w:rsid w:val="47EA4529"/>
    <w:rsid w:val="4916491B"/>
    <w:rsid w:val="496717C4"/>
    <w:rsid w:val="4A063A4F"/>
    <w:rsid w:val="4A4C0518"/>
    <w:rsid w:val="4A5046CD"/>
    <w:rsid w:val="4A875AD1"/>
    <w:rsid w:val="4ACA5D2E"/>
    <w:rsid w:val="4AE27CAC"/>
    <w:rsid w:val="4B1B2ECF"/>
    <w:rsid w:val="4B2E6F39"/>
    <w:rsid w:val="4B6E282F"/>
    <w:rsid w:val="4BAC48C9"/>
    <w:rsid w:val="4BB27DC6"/>
    <w:rsid w:val="4C192E4D"/>
    <w:rsid w:val="4C883C6A"/>
    <w:rsid w:val="4CAE18D6"/>
    <w:rsid w:val="4CD52BD1"/>
    <w:rsid w:val="4CEA2347"/>
    <w:rsid w:val="4D19039B"/>
    <w:rsid w:val="4D243428"/>
    <w:rsid w:val="4D2D7FC0"/>
    <w:rsid w:val="4DFB0D50"/>
    <w:rsid w:val="4E1E04FA"/>
    <w:rsid w:val="4E543575"/>
    <w:rsid w:val="4E604FB7"/>
    <w:rsid w:val="4EFA25EF"/>
    <w:rsid w:val="4F0B04A7"/>
    <w:rsid w:val="4F2C043D"/>
    <w:rsid w:val="4F9246A8"/>
    <w:rsid w:val="4FBC621D"/>
    <w:rsid w:val="4FC275AB"/>
    <w:rsid w:val="4FD07B3F"/>
    <w:rsid w:val="4FEB08B0"/>
    <w:rsid w:val="50A13664"/>
    <w:rsid w:val="50EE1EB6"/>
    <w:rsid w:val="51937E4D"/>
    <w:rsid w:val="52383592"/>
    <w:rsid w:val="523875F5"/>
    <w:rsid w:val="52506204"/>
    <w:rsid w:val="52BE22AC"/>
    <w:rsid w:val="53FA1DF3"/>
    <w:rsid w:val="54AB2D04"/>
    <w:rsid w:val="557B35BC"/>
    <w:rsid w:val="565C1CF5"/>
    <w:rsid w:val="56E235EF"/>
    <w:rsid w:val="571F3A0C"/>
    <w:rsid w:val="574E47D2"/>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44139F"/>
    <w:rsid w:val="5E8E347A"/>
    <w:rsid w:val="5F0279C4"/>
    <w:rsid w:val="5F944466"/>
    <w:rsid w:val="5FBE7D8F"/>
    <w:rsid w:val="60470EFE"/>
    <w:rsid w:val="60844C26"/>
    <w:rsid w:val="60A9029A"/>
    <w:rsid w:val="60DA29A7"/>
    <w:rsid w:val="60FA16F8"/>
    <w:rsid w:val="6139287F"/>
    <w:rsid w:val="618B0AB2"/>
    <w:rsid w:val="61CA0C65"/>
    <w:rsid w:val="61DC4D09"/>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D277B9"/>
    <w:rsid w:val="6C321620"/>
    <w:rsid w:val="6CE30E35"/>
    <w:rsid w:val="6DA02882"/>
    <w:rsid w:val="6DA12E69"/>
    <w:rsid w:val="6DBB3B60"/>
    <w:rsid w:val="6E2C6F5B"/>
    <w:rsid w:val="6F0B4673"/>
    <w:rsid w:val="6F4831D1"/>
    <w:rsid w:val="700E4F44"/>
    <w:rsid w:val="70124E0E"/>
    <w:rsid w:val="70173239"/>
    <w:rsid w:val="70CA5173"/>
    <w:rsid w:val="711D3FA5"/>
    <w:rsid w:val="721A5B23"/>
    <w:rsid w:val="72B931C1"/>
    <w:rsid w:val="730100E0"/>
    <w:rsid w:val="734A515C"/>
    <w:rsid w:val="738D03F5"/>
    <w:rsid w:val="73987BB2"/>
    <w:rsid w:val="73E442FB"/>
    <w:rsid w:val="73EF1E6D"/>
    <w:rsid w:val="74173DA2"/>
    <w:rsid w:val="75465FCB"/>
    <w:rsid w:val="75D75DE4"/>
    <w:rsid w:val="75E32067"/>
    <w:rsid w:val="76471CF3"/>
    <w:rsid w:val="76723FC6"/>
    <w:rsid w:val="767E5B01"/>
    <w:rsid w:val="76930879"/>
    <w:rsid w:val="76AE4262"/>
    <w:rsid w:val="778F44F9"/>
    <w:rsid w:val="77CF28FD"/>
    <w:rsid w:val="77F2017E"/>
    <w:rsid w:val="78A551F0"/>
    <w:rsid w:val="78D16A46"/>
    <w:rsid w:val="78D36201"/>
    <w:rsid w:val="79017606"/>
    <w:rsid w:val="79D7762B"/>
    <w:rsid w:val="79EB254B"/>
    <w:rsid w:val="7A9F54DB"/>
    <w:rsid w:val="7B671E81"/>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autoRedefine/>
    <w:qFormat/>
    <w:uiPriority w:val="0"/>
    <w:pPr>
      <w:ind w:firstLine="420"/>
    </w:pPr>
    <w:rPr>
      <w:rFonts w:hAnsi="Times New Roman" w:cs="Times New Roman"/>
      <w:snapToGrid/>
      <w:szCs w:val="20"/>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qFormat/>
    <w:uiPriority w:val="0"/>
    <w:pPr>
      <w:jc w:val="left"/>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4"/>
    <w:autoRedefine/>
    <w:qFormat/>
    <w:uiPriority w:val="0"/>
  </w:style>
  <w:style w:type="character" w:customStyle="1" w:styleId="34">
    <w:name w:val="font21"/>
    <w:basedOn w:val="18"/>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12563</Words>
  <Characters>13470</Characters>
  <Lines>224</Lines>
  <Paragraphs>63</Paragraphs>
  <TotalTime>6</TotalTime>
  <ScaleCrop>false</ScaleCrop>
  <LinksUpToDate>false</LinksUpToDate>
  <CharactersWithSpaces>13835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Echo</cp:lastModifiedBy>
  <cp:lastPrinted>2024-09-24T02:01:00Z</cp:lastPrinted>
  <dcterms:modified xsi:type="dcterms:W3CDTF">2024-12-27T06:16:30Z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DAAF9957D0D257E573E8CE665B1D8A7A_43</vt:lpwstr>
  </property>
  <property fmtid="{D5CDD505-2E9C-101B-9397-08002B2CF9AE}" pid="4" name="KSOTemplateDocerSaveRecord">
    <vt:lpwstr>eyJoZGlkIjoiMDJmOTM3NjY4ZWU2NDcyOGYxNjlhZTBkZDRjY2ExZmUifQ==</vt:lpwstr>
  </property>
</Properties>
</file>