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2024年临江公司冷却塔备件采购项目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202409012</w:t>
      </w:r>
    </w:p>
    <w:p>
      <w:pPr>
        <w:spacing w:line="360" w:lineRule="auto"/>
        <w:jc w:val="center"/>
        <w:rPr>
          <w:rFonts w:cs="仿宋" w:asciiTheme="minorEastAsia" w:hAnsiTheme="minorEastAsia"/>
          <w:b/>
          <w:bCs/>
          <w:sz w:val="72"/>
          <w:szCs w:val="72"/>
        </w:rPr>
      </w:pPr>
    </w:p>
    <w:p>
      <w:pPr>
        <w:pStyle w:val="3"/>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bookmarkStart w:id="517" w:name="_GoBack"/>
      <w:r>
        <w:rPr>
          <w:rFonts w:hint="eastAsia" w:cs="仿宋" w:asciiTheme="minorEastAsia" w:hAnsiTheme="minorEastAsia"/>
          <w:b/>
          <w:sz w:val="36"/>
          <w:szCs w:val="36"/>
        </w:rPr>
        <w:t>第一部分 采购公告</w:t>
      </w:r>
    </w:p>
    <w:bookmarkEnd w:id="517"/>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2024年临江公司冷却塔备件采购项目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202409012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2024年临江公司冷却塔备件采购项目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lang w:val="en-US" w:eastAsia="zh-CN"/>
        </w:rPr>
        <w:t xml:space="preserve"> </w:t>
      </w:r>
      <w:r>
        <w:rPr>
          <w:rFonts w:hint="eastAsia" w:cs="仿宋" w:asciiTheme="minorEastAsia" w:hAnsiTheme="minorEastAsia"/>
          <w:b w:val="0"/>
          <w:bCs w:val="0"/>
          <w:sz w:val="24"/>
          <w:u w:val="single"/>
          <w:lang w:val="en-US" w:eastAsia="zh-CN"/>
        </w:rPr>
        <w:t>18.5</w:t>
      </w:r>
      <w:r>
        <w:rPr>
          <w:rFonts w:hint="eastAsia" w:cs="仿宋" w:asciiTheme="minorEastAsia" w:hAnsiTheme="minorEastAsia"/>
          <w:b w:val="0"/>
          <w:bCs w:val="0"/>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冷却塔</w:t>
      </w:r>
      <w:r>
        <w:rPr>
          <w:rFonts w:hint="eastAsia" w:cs="仿宋" w:asciiTheme="minorEastAsia" w:hAnsiTheme="minorEastAsia"/>
          <w:sz w:val="24"/>
          <w:u w:val="none"/>
          <w:lang w:val="en-US" w:eastAsia="zh-CN"/>
        </w:rPr>
        <w:t>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自合同签订生效后6个月</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其中国产备件40天内完成供货、ADDAX备件6个月内完成供货</w:t>
      </w:r>
      <w:r>
        <w:rPr>
          <w:rFonts w:hint="eastAsia" w:cs="仿宋" w:asciiTheme="minorEastAsia" w:hAnsiTheme="minorEastAsia"/>
          <w:sz w:val="24"/>
          <w:u w:val="single"/>
          <w:lang w:eastAsia="zh-CN"/>
        </w:rPr>
        <w:t>）</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ascii="宋体" w:hAnsi="宋体" w:eastAsia="宋体" w:cs="宋体"/>
          <w:color w:val="auto"/>
          <w:sz w:val="24"/>
          <w:highlight w:val="none"/>
          <w:u w:val="single"/>
          <w:lang w:val="en-US" w:eastAsia="zh-CN"/>
        </w:rPr>
        <w:t>/</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r>
        <w:rPr>
          <w:rFonts w:hint="eastAsia" w:cs="仿宋" w:asciiTheme="minorEastAsia" w:hAnsiTheme="minorEastAsia"/>
          <w:sz w:val="24"/>
          <w:lang w:val="en-US" w:eastAsia="zh-CN"/>
        </w:rPr>
        <w:t xml:space="preserve"> 15258849018</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09月15</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b/>
                <w:bCs/>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3"/>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3"/>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3"/>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3"/>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3"/>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lang w:val="en-US" w:eastAsia="zh-CN"/>
        </w:rPr>
        <w:t>一批冷却塔</w:t>
      </w:r>
      <w:r>
        <w:rPr>
          <w:rFonts w:hint="eastAsia"/>
          <w:lang w:val="en-US" w:eastAsia="zh-CN"/>
        </w:rPr>
        <w:t>备件。</w:t>
      </w:r>
      <w:r>
        <w:rPr>
          <w:rFonts w:hint="eastAsia"/>
          <w:lang w:val="en-US"/>
        </w:rPr>
        <w:t>具体如下：</w:t>
      </w:r>
    </w:p>
    <w:tbl>
      <w:tblPr>
        <w:tblStyle w:val="15"/>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9"/>
        <w:gridCol w:w="1816"/>
        <w:gridCol w:w="1322"/>
        <w:gridCol w:w="3570"/>
        <w:gridCol w:w="613"/>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3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816"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减速机</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尔华杰</w:t>
            </w:r>
          </w:p>
        </w:tc>
        <w:tc>
          <w:tcPr>
            <w:tcW w:w="357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MSRL400/12.78</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816"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散热风扇</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357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MSRL400-FS-</w:t>
            </w:r>
            <w:r>
              <w:rPr>
                <w:rFonts w:ascii="等线" w:hAnsi="等线" w:eastAsia="等线" w:cs="等线"/>
                <w:i w:val="0"/>
                <w:iCs w:val="0"/>
                <w:color w:val="000000"/>
                <w:kern w:val="0"/>
                <w:sz w:val="22"/>
                <w:szCs w:val="22"/>
                <w:u w:val="none"/>
                <w:lang w:val="en-US" w:eastAsia="zh-CN" w:bidi="ar"/>
              </w:rPr>
              <w:t>Φ95，材质</w:t>
            </w:r>
            <w:r>
              <w:rPr>
                <w:rStyle w:val="35"/>
                <w:lang w:val="en-US" w:eastAsia="zh-CN" w:bidi="ar"/>
              </w:rPr>
              <w:t>ABS</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816"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铝衬轴套</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357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MSRL400-FSB(d-2)-</w:t>
            </w:r>
            <w:r>
              <w:rPr>
                <w:rFonts w:ascii="等线" w:hAnsi="等线" w:eastAsia="等线" w:cs="等线"/>
                <w:i w:val="0"/>
                <w:iCs w:val="0"/>
                <w:color w:val="000000"/>
                <w:kern w:val="0"/>
                <w:sz w:val="22"/>
                <w:szCs w:val="22"/>
                <w:u w:val="none"/>
                <w:lang w:val="en-US" w:eastAsia="zh-CN" w:bidi="ar"/>
              </w:rPr>
              <w:t>Φ</w:t>
            </w:r>
            <w:r>
              <w:rPr>
                <w:rStyle w:val="35"/>
                <w:lang w:val="en-US" w:eastAsia="zh-CN" w:bidi="ar"/>
              </w:rPr>
              <w:t>95，材</w:t>
            </w:r>
            <w:r>
              <w:rPr>
                <w:rStyle w:val="35"/>
                <w:lang w:val="en-US" w:eastAsia="zh-CN" w:bidi="ar"/>
              </w:rPr>
              <w:br w:type="textWrapping"/>
            </w:r>
            <w:r>
              <w:rPr>
                <w:rStyle w:val="35"/>
                <w:lang w:val="en-US" w:eastAsia="zh-CN" w:bidi="ar"/>
              </w:rPr>
              <w:t>质铝</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816"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叶片</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357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9754DXZ06，材质FRP</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816"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轮毂</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357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4430SG140，热镀锌组合件，内含卡套</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8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联轴器电机端</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357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TC229-6R-D，材质304</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8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联轴器减速机端</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357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TC229-6R-J，材质304</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8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碳纤维轴</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ADDAX</w:t>
            </w:r>
          </w:p>
        </w:tc>
        <w:tc>
          <w:tcPr>
            <w:tcW w:w="357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DBSE4200，材质碳纤维</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8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膜片</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ADDAX</w:t>
            </w:r>
          </w:p>
        </w:tc>
        <w:tc>
          <w:tcPr>
            <w:tcW w:w="357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REXNORD/PART-D，复合型</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膜片</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ADDAX</w:t>
            </w:r>
          </w:p>
        </w:tc>
        <w:tc>
          <w:tcPr>
            <w:tcW w:w="357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REXNORD/PART-J，复合型</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81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下喷头</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35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VK-1，材质PP</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81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喷嘴</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35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VK-1，口径</w:t>
            </w:r>
            <w:r>
              <w:rPr>
                <w:rFonts w:ascii="等线" w:hAnsi="等线" w:eastAsia="等线" w:cs="等线"/>
                <w:i w:val="0"/>
                <w:iCs w:val="0"/>
                <w:color w:val="000000"/>
                <w:kern w:val="0"/>
                <w:sz w:val="22"/>
                <w:szCs w:val="22"/>
                <w:u w:val="none"/>
                <w:lang w:val="en-US" w:eastAsia="zh-CN" w:bidi="ar"/>
              </w:rPr>
              <w:t>Φ34</w:t>
            </w:r>
            <w:r>
              <w:rPr>
                <w:rStyle w:val="35"/>
                <w:lang w:val="en-US" w:eastAsia="zh-CN" w:bidi="ar"/>
              </w:rPr>
              <w:t>，材质PP</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816"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接长管</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357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VK-1，口径Φ50，材质ABS</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8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底座</w:t>
            </w:r>
          </w:p>
        </w:tc>
        <w:tc>
          <w:tcPr>
            <w:tcW w:w="13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35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VK-1P，材质PP</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自合同签订生效后6个月内完成供货（其中国产备件45天内完成供货，ADDAX进口件6个月内完成供货）。</w:t>
      </w:r>
    </w:p>
    <w:p>
      <w:pPr>
        <w:pStyle w:val="3"/>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按合同约定完成供货。</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3"/>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供应商所提</w:t>
      </w:r>
      <w:r>
        <w:rPr>
          <w:rFonts w:hint="eastAsia" w:ascii="宋体"/>
          <w:color w:val="auto"/>
          <w:highlight w:val="none"/>
          <w:lang w:val="en-US" w:eastAsia="zh-CN"/>
        </w:rPr>
        <w:t>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，质保有效期1年</w:t>
      </w:r>
      <w:r>
        <w:rPr>
          <w:rFonts w:hint="eastAsia" w:ascii="宋体"/>
          <w:color w:val="auto"/>
          <w:highlight w:val="none"/>
          <w:lang w:val="en-US" w:eastAsia="zh-CN"/>
        </w:rPr>
        <w:t>。</w:t>
      </w:r>
    </w:p>
    <w:p>
      <w:pPr>
        <w:pStyle w:val="3"/>
        <w:ind w:firstLine="480" w:firstLineChars="200"/>
        <w:rPr>
          <w:rFonts w:hint="default" w:eastAsiaTheme="minor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3"/>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3"/>
        <w:numPr>
          <w:ilvl w:val="0"/>
          <w:numId w:val="0"/>
        </w:numPr>
        <w:ind w:firstLine="480" w:firstLineChars="200"/>
        <w:rPr>
          <w:rFonts w:hint="default" w:eastAsiaTheme="minorEastAsia"/>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w:t>
      </w:r>
      <w:r>
        <w:rPr>
          <w:rFonts w:hint="eastAsia"/>
          <w:lang w:val="en-US" w:eastAsia="zh-CN"/>
        </w:rPr>
        <w:t>国产件</w:t>
      </w:r>
      <w:r>
        <w:rPr>
          <w:rFonts w:hint="eastAsia"/>
          <w:lang w:val="en-US"/>
        </w:rPr>
        <w:t>在</w:t>
      </w:r>
      <w:r>
        <w:rPr>
          <w:rFonts w:hint="eastAsia"/>
          <w:lang w:val="en-US" w:eastAsia="zh-CN"/>
        </w:rPr>
        <w:t>45天</w:t>
      </w:r>
      <w:r>
        <w:rPr>
          <w:rFonts w:hint="eastAsia"/>
          <w:lang w:val="en-US"/>
        </w:rPr>
        <w:t>内</w:t>
      </w:r>
      <w:r>
        <w:rPr>
          <w:rFonts w:hint="eastAsia"/>
          <w:lang w:val="en-US" w:eastAsia="zh-CN"/>
        </w:rPr>
        <w:t>一次性完成</w:t>
      </w:r>
      <w:r>
        <w:rPr>
          <w:rFonts w:hint="eastAsia"/>
          <w:lang w:val="en-US"/>
        </w:rPr>
        <w:t>供货</w:t>
      </w:r>
      <w:r>
        <w:rPr>
          <w:rFonts w:hint="eastAsia"/>
          <w:lang w:val="en-US" w:eastAsia="zh-CN"/>
        </w:rPr>
        <w:t>，</w:t>
      </w:r>
      <w:r>
        <w:rPr>
          <w:rFonts w:hint="eastAsia" w:ascii="宋体" w:hAnsi="宋体" w:cs="宋体"/>
          <w:sz w:val="24"/>
          <w:highlight w:val="none"/>
          <w:u w:val="none"/>
          <w:lang w:val="en-US" w:eastAsia="zh-CN"/>
        </w:rPr>
        <w:t>ADDAX</w:t>
      </w:r>
      <w:r>
        <w:rPr>
          <w:rFonts w:hint="eastAsia"/>
          <w:lang w:val="en-US" w:eastAsia="zh-CN"/>
        </w:rPr>
        <w:t>进口件6个月完成供货。</w:t>
      </w:r>
    </w:p>
    <w:p>
      <w:pPr>
        <w:pStyle w:val="3"/>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2"/>
        <w:ind w:firstLine="480" w:firstLineChars="200"/>
        <w:rPr>
          <w:lang w:val="en-US"/>
        </w:rPr>
      </w:pPr>
      <w:r>
        <w:rPr>
          <w:rFonts w:hint="eastAsia"/>
          <w:lang w:val="en-US"/>
        </w:rPr>
        <w:t>以本询价采购文件中的合同条款为准。</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3"/>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3"/>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3"/>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pPr>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53"/>
      <w:bookmarkEnd w:id="19"/>
      <w:bookmarkStart w:id="20" w:name="_Toc184308059"/>
      <w:bookmarkEnd w:id="20"/>
      <w:bookmarkStart w:id="21" w:name="_Toc184313291"/>
      <w:bookmarkEnd w:id="21"/>
      <w:bookmarkStart w:id="22" w:name="_Toc184310328"/>
      <w:bookmarkEnd w:id="22"/>
      <w:bookmarkStart w:id="23" w:name="_Toc184312109"/>
      <w:bookmarkEnd w:id="23"/>
      <w:bookmarkStart w:id="24" w:name="_Toc184314432"/>
      <w:bookmarkEnd w:id="24"/>
      <w:bookmarkStart w:id="25" w:name="_Toc184310320"/>
      <w:bookmarkEnd w:id="25"/>
      <w:bookmarkStart w:id="26" w:name="_Toc184313309"/>
      <w:bookmarkEnd w:id="26"/>
      <w:bookmarkStart w:id="27" w:name="_Toc184312129"/>
      <w:bookmarkEnd w:id="27"/>
      <w:bookmarkStart w:id="28" w:name="_Toc184310294"/>
      <w:bookmarkEnd w:id="28"/>
      <w:bookmarkStart w:id="29" w:name="_Toc184308040"/>
      <w:bookmarkEnd w:id="29"/>
      <w:bookmarkStart w:id="30" w:name="_Toc184312090"/>
      <w:bookmarkEnd w:id="30"/>
      <w:bookmarkStart w:id="31" w:name="_Toc184314429"/>
      <w:bookmarkEnd w:id="31"/>
      <w:bookmarkStart w:id="32" w:name="_Toc184312114"/>
      <w:bookmarkEnd w:id="32"/>
      <w:bookmarkStart w:id="33" w:name="_Toc184308108"/>
      <w:bookmarkEnd w:id="33"/>
      <w:bookmarkStart w:id="34" w:name="_Toc184314462"/>
      <w:bookmarkEnd w:id="34"/>
      <w:bookmarkStart w:id="35" w:name="_Toc184314439"/>
      <w:bookmarkEnd w:id="35"/>
      <w:bookmarkStart w:id="36" w:name="_Toc184313262"/>
      <w:bookmarkEnd w:id="36"/>
      <w:bookmarkStart w:id="37" w:name="_Toc184314456"/>
      <w:bookmarkEnd w:id="37"/>
      <w:bookmarkStart w:id="38" w:name="_Toc184310337"/>
      <w:bookmarkEnd w:id="38"/>
      <w:bookmarkStart w:id="39" w:name="_Toc184313257"/>
      <w:bookmarkEnd w:id="39"/>
      <w:bookmarkStart w:id="40" w:name="_Toc184314411"/>
      <w:bookmarkEnd w:id="40"/>
      <w:bookmarkStart w:id="41" w:name="_Toc184308074"/>
      <w:bookmarkEnd w:id="41"/>
      <w:bookmarkStart w:id="42" w:name="_Toc184308070"/>
      <w:bookmarkEnd w:id="42"/>
      <w:bookmarkStart w:id="43" w:name="_Toc184313277"/>
      <w:bookmarkEnd w:id="43"/>
      <w:bookmarkStart w:id="44" w:name="_Toc184312087"/>
      <w:bookmarkEnd w:id="44"/>
      <w:bookmarkStart w:id="45" w:name="_Toc184314472"/>
      <w:bookmarkEnd w:id="45"/>
      <w:bookmarkStart w:id="46" w:name="_Toc184310343"/>
      <w:bookmarkEnd w:id="46"/>
      <w:bookmarkStart w:id="47" w:name="_Toc184314454"/>
      <w:bookmarkEnd w:id="47"/>
      <w:bookmarkStart w:id="48" w:name="_Toc184310310"/>
      <w:bookmarkEnd w:id="48"/>
      <w:bookmarkStart w:id="49" w:name="_Toc184313307"/>
      <w:bookmarkEnd w:id="49"/>
      <w:bookmarkStart w:id="50" w:name="_Toc184310272"/>
      <w:bookmarkEnd w:id="50"/>
      <w:bookmarkStart w:id="51" w:name="_Toc184312094"/>
      <w:bookmarkEnd w:id="51"/>
      <w:bookmarkStart w:id="52" w:name="_Toc184314482"/>
      <w:bookmarkEnd w:id="52"/>
      <w:bookmarkStart w:id="53" w:name="_Toc184312124"/>
      <w:bookmarkEnd w:id="53"/>
      <w:bookmarkStart w:id="54" w:name="_Toc184312115"/>
      <w:bookmarkEnd w:id="54"/>
      <w:bookmarkStart w:id="55" w:name="_Toc184308078"/>
      <w:bookmarkEnd w:id="55"/>
      <w:bookmarkStart w:id="56" w:name="_Toc184313241"/>
      <w:bookmarkEnd w:id="56"/>
      <w:bookmarkStart w:id="57" w:name="_Toc184310323"/>
      <w:bookmarkEnd w:id="57"/>
      <w:bookmarkStart w:id="58" w:name="_Toc184310273"/>
      <w:bookmarkEnd w:id="58"/>
      <w:bookmarkStart w:id="59" w:name="_Toc184312069"/>
      <w:bookmarkEnd w:id="59"/>
      <w:bookmarkStart w:id="60" w:name="_Toc184308071"/>
      <w:bookmarkEnd w:id="60"/>
      <w:bookmarkStart w:id="61" w:name="_Toc184313297"/>
      <w:bookmarkEnd w:id="61"/>
      <w:bookmarkStart w:id="62" w:name="_Toc184308060"/>
      <w:bookmarkEnd w:id="62"/>
      <w:bookmarkStart w:id="63" w:name="_Toc184314455"/>
      <w:bookmarkEnd w:id="63"/>
      <w:bookmarkStart w:id="64" w:name="_Toc184313293"/>
      <w:bookmarkEnd w:id="64"/>
      <w:bookmarkStart w:id="65" w:name="_Toc184308087"/>
      <w:bookmarkEnd w:id="65"/>
      <w:bookmarkStart w:id="66" w:name="_Toc184310319"/>
      <w:bookmarkEnd w:id="66"/>
      <w:bookmarkStart w:id="67" w:name="_Toc184313289"/>
      <w:bookmarkEnd w:id="67"/>
      <w:bookmarkStart w:id="68" w:name="_Toc184308086"/>
      <w:bookmarkEnd w:id="68"/>
      <w:bookmarkStart w:id="69" w:name="_Toc184312118"/>
      <w:bookmarkEnd w:id="69"/>
      <w:bookmarkStart w:id="70" w:name="_Toc184312071"/>
      <w:bookmarkEnd w:id="70"/>
      <w:bookmarkStart w:id="71" w:name="_Toc184310288"/>
      <w:bookmarkEnd w:id="71"/>
      <w:bookmarkStart w:id="72" w:name="_Toc184312076"/>
      <w:bookmarkEnd w:id="72"/>
      <w:bookmarkStart w:id="73" w:name="_Toc184308094"/>
      <w:bookmarkEnd w:id="73"/>
      <w:bookmarkStart w:id="74" w:name="_Toc184312086"/>
      <w:bookmarkEnd w:id="74"/>
      <w:bookmarkStart w:id="75" w:name="_Toc184314452"/>
      <w:bookmarkEnd w:id="75"/>
      <w:bookmarkStart w:id="76" w:name="_Toc184310289"/>
      <w:bookmarkEnd w:id="76"/>
      <w:bookmarkStart w:id="77" w:name="_Toc184308041"/>
      <w:bookmarkEnd w:id="77"/>
      <w:bookmarkStart w:id="78" w:name="_Toc184308037"/>
      <w:bookmarkEnd w:id="78"/>
      <w:bookmarkStart w:id="79" w:name="_Toc184308100"/>
      <w:bookmarkEnd w:id="79"/>
      <w:bookmarkStart w:id="80" w:name="_Toc184313242"/>
      <w:bookmarkEnd w:id="80"/>
      <w:bookmarkStart w:id="81" w:name="_Toc184314468"/>
      <w:bookmarkEnd w:id="81"/>
      <w:bookmarkStart w:id="82" w:name="_Toc184313249"/>
      <w:bookmarkEnd w:id="82"/>
      <w:bookmarkStart w:id="83" w:name="_Toc184308056"/>
      <w:bookmarkEnd w:id="83"/>
      <w:bookmarkStart w:id="84" w:name="_Toc184313296"/>
      <w:bookmarkEnd w:id="84"/>
      <w:bookmarkStart w:id="85" w:name="_Toc184312107"/>
      <w:bookmarkEnd w:id="85"/>
      <w:bookmarkStart w:id="86" w:name="_Toc184310285"/>
      <w:bookmarkEnd w:id="86"/>
      <w:bookmarkStart w:id="87" w:name="_Toc184313238"/>
      <w:bookmarkEnd w:id="87"/>
      <w:bookmarkStart w:id="88" w:name="_Toc184314444"/>
      <w:bookmarkEnd w:id="88"/>
      <w:bookmarkStart w:id="89" w:name="_Toc184313263"/>
      <w:bookmarkEnd w:id="89"/>
      <w:bookmarkStart w:id="90" w:name="_Toc184310339"/>
      <w:bookmarkEnd w:id="90"/>
      <w:bookmarkStart w:id="91" w:name="_Toc184314436"/>
      <w:bookmarkEnd w:id="91"/>
      <w:bookmarkStart w:id="92" w:name="_Toc184308073"/>
      <w:bookmarkEnd w:id="92"/>
      <w:bookmarkStart w:id="93" w:name="_Toc184310308"/>
      <w:bookmarkEnd w:id="93"/>
      <w:bookmarkStart w:id="94" w:name="_Toc184308049"/>
      <w:bookmarkEnd w:id="94"/>
      <w:bookmarkStart w:id="95" w:name="_Toc184312117"/>
      <w:bookmarkEnd w:id="95"/>
      <w:bookmarkStart w:id="96" w:name="_Toc184313269"/>
      <w:bookmarkEnd w:id="96"/>
      <w:bookmarkStart w:id="97" w:name="_Toc184314441"/>
      <w:bookmarkEnd w:id="97"/>
      <w:bookmarkStart w:id="98" w:name="_Toc184313272"/>
      <w:bookmarkEnd w:id="98"/>
      <w:bookmarkStart w:id="99" w:name="_Toc184310334"/>
      <w:bookmarkEnd w:id="99"/>
      <w:bookmarkStart w:id="100" w:name="_Toc184308045"/>
      <w:bookmarkEnd w:id="100"/>
      <w:bookmarkStart w:id="101" w:name="_Toc184312106"/>
      <w:bookmarkEnd w:id="101"/>
      <w:bookmarkStart w:id="102" w:name="_Toc184312075"/>
      <w:bookmarkEnd w:id="102"/>
      <w:bookmarkStart w:id="103" w:name="_Toc184314430"/>
      <w:bookmarkEnd w:id="103"/>
      <w:bookmarkStart w:id="104" w:name="_Toc184314458"/>
      <w:bookmarkEnd w:id="104"/>
      <w:bookmarkStart w:id="105" w:name="_Toc184312123"/>
      <w:bookmarkEnd w:id="105"/>
      <w:bookmarkStart w:id="106" w:name="_Toc184313239"/>
      <w:bookmarkEnd w:id="106"/>
      <w:bookmarkStart w:id="107" w:name="_Toc184312131"/>
      <w:bookmarkEnd w:id="107"/>
      <w:bookmarkStart w:id="108" w:name="_Toc184308063"/>
      <w:bookmarkEnd w:id="108"/>
      <w:bookmarkStart w:id="109" w:name="_Toc184310291"/>
      <w:bookmarkEnd w:id="109"/>
      <w:bookmarkStart w:id="110" w:name="_Toc184310300"/>
      <w:bookmarkEnd w:id="110"/>
      <w:bookmarkStart w:id="111" w:name="_Toc184312103"/>
      <w:bookmarkEnd w:id="111"/>
      <w:bookmarkStart w:id="112" w:name="_Toc184310321"/>
      <w:bookmarkEnd w:id="112"/>
      <w:bookmarkStart w:id="113" w:name="_Toc184314449"/>
      <w:bookmarkEnd w:id="113"/>
      <w:bookmarkStart w:id="114" w:name="_Toc184312095"/>
      <w:bookmarkEnd w:id="114"/>
      <w:bookmarkStart w:id="115" w:name="_Toc184314428"/>
      <w:bookmarkEnd w:id="115"/>
      <w:bookmarkStart w:id="116" w:name="_Toc184310338"/>
      <w:bookmarkEnd w:id="116"/>
      <w:bookmarkStart w:id="117" w:name="_Toc184314477"/>
      <w:bookmarkEnd w:id="117"/>
      <w:bookmarkStart w:id="118" w:name="_Toc184313300"/>
      <w:bookmarkEnd w:id="118"/>
      <w:bookmarkStart w:id="119" w:name="_Toc184312096"/>
      <w:bookmarkEnd w:id="119"/>
      <w:bookmarkStart w:id="120" w:name="_Toc184314420"/>
      <w:bookmarkEnd w:id="120"/>
      <w:bookmarkStart w:id="121" w:name="_Toc184310282"/>
      <w:bookmarkEnd w:id="121"/>
      <w:bookmarkStart w:id="122" w:name="_Toc184308075"/>
      <w:bookmarkEnd w:id="122"/>
      <w:bookmarkStart w:id="123" w:name="_Toc184312079"/>
      <w:bookmarkEnd w:id="123"/>
      <w:bookmarkStart w:id="124" w:name="_Toc184312122"/>
      <w:bookmarkEnd w:id="124"/>
      <w:bookmarkStart w:id="125" w:name="_Toc184313310"/>
      <w:bookmarkEnd w:id="125"/>
      <w:bookmarkStart w:id="126" w:name="_Toc184310281"/>
      <w:bookmarkEnd w:id="126"/>
      <w:bookmarkStart w:id="127" w:name="_Toc184308038"/>
      <w:bookmarkEnd w:id="127"/>
      <w:bookmarkStart w:id="128" w:name="_Toc184312111"/>
      <w:bookmarkEnd w:id="128"/>
      <w:bookmarkStart w:id="129" w:name="_Toc184310333"/>
      <w:bookmarkEnd w:id="129"/>
      <w:bookmarkStart w:id="130" w:name="_Toc184308050"/>
      <w:bookmarkEnd w:id="130"/>
      <w:bookmarkStart w:id="131" w:name="_Toc184313261"/>
      <w:bookmarkEnd w:id="131"/>
      <w:bookmarkStart w:id="132" w:name="_Toc184314445"/>
      <w:bookmarkEnd w:id="132"/>
      <w:bookmarkStart w:id="133" w:name="_Toc184308062"/>
      <w:bookmarkEnd w:id="133"/>
      <w:bookmarkStart w:id="134" w:name="_Toc184308055"/>
      <w:bookmarkEnd w:id="134"/>
      <w:bookmarkStart w:id="135" w:name="_Toc184313248"/>
      <w:bookmarkEnd w:id="135"/>
      <w:bookmarkStart w:id="136" w:name="_Toc184314442"/>
      <w:bookmarkEnd w:id="136"/>
      <w:bookmarkStart w:id="137" w:name="_Toc184308095"/>
      <w:bookmarkEnd w:id="137"/>
      <w:bookmarkStart w:id="138" w:name="_Toc184313271"/>
      <w:bookmarkEnd w:id="138"/>
      <w:bookmarkStart w:id="139" w:name="_Toc184314479"/>
      <w:bookmarkEnd w:id="139"/>
      <w:bookmarkStart w:id="140" w:name="_Toc184313308"/>
      <w:bookmarkEnd w:id="140"/>
      <w:bookmarkStart w:id="141" w:name="_Toc184310322"/>
      <w:bookmarkEnd w:id="141"/>
      <w:bookmarkStart w:id="142" w:name="_Toc184313306"/>
      <w:bookmarkEnd w:id="142"/>
      <w:bookmarkStart w:id="143" w:name="_Toc184308047"/>
      <w:bookmarkEnd w:id="143"/>
      <w:bookmarkStart w:id="144" w:name="_Toc184313280"/>
      <w:bookmarkEnd w:id="144"/>
      <w:bookmarkStart w:id="145" w:name="_Toc184312138"/>
      <w:bookmarkEnd w:id="145"/>
      <w:bookmarkStart w:id="146" w:name="_Toc184314448"/>
      <w:bookmarkEnd w:id="146"/>
      <w:bookmarkStart w:id="147" w:name="_Toc184314457"/>
      <w:bookmarkEnd w:id="147"/>
      <w:bookmarkStart w:id="148" w:name="_Toc184314460"/>
      <w:bookmarkEnd w:id="148"/>
      <w:bookmarkStart w:id="149" w:name="_Toc184310342"/>
      <w:bookmarkEnd w:id="149"/>
      <w:bookmarkStart w:id="150" w:name="_Toc184308058"/>
      <w:bookmarkEnd w:id="150"/>
      <w:bookmarkStart w:id="151" w:name="_Toc184314416"/>
      <w:bookmarkEnd w:id="151"/>
      <w:bookmarkStart w:id="152" w:name="_Toc184312120"/>
      <w:bookmarkEnd w:id="152"/>
      <w:bookmarkStart w:id="153" w:name="_Toc184313250"/>
      <w:bookmarkEnd w:id="153"/>
      <w:bookmarkStart w:id="154" w:name="_Toc184313245"/>
      <w:bookmarkEnd w:id="154"/>
      <w:bookmarkStart w:id="155" w:name="_Toc184312088"/>
      <w:bookmarkEnd w:id="155"/>
      <w:bookmarkStart w:id="156" w:name="_Toc184313270"/>
      <w:bookmarkEnd w:id="156"/>
      <w:bookmarkStart w:id="157" w:name="_Toc184314418"/>
      <w:bookmarkEnd w:id="157"/>
      <w:bookmarkStart w:id="158" w:name="_Toc184314466"/>
      <w:bookmarkEnd w:id="158"/>
      <w:bookmarkStart w:id="159" w:name="_Toc184308081"/>
      <w:bookmarkEnd w:id="159"/>
      <w:bookmarkStart w:id="160" w:name="_Toc184310335"/>
      <w:bookmarkEnd w:id="160"/>
      <w:bookmarkStart w:id="161" w:name="_Toc184310325"/>
      <w:bookmarkEnd w:id="161"/>
      <w:bookmarkStart w:id="162" w:name="_Toc184308068"/>
      <w:bookmarkEnd w:id="162"/>
      <w:bookmarkStart w:id="163" w:name="_Toc184312093"/>
      <w:bookmarkEnd w:id="163"/>
      <w:bookmarkStart w:id="164" w:name="_Toc184308085"/>
      <w:bookmarkEnd w:id="164"/>
      <w:bookmarkStart w:id="165" w:name="_Toc184308053"/>
      <w:bookmarkEnd w:id="165"/>
      <w:bookmarkStart w:id="166" w:name="_Toc184313267"/>
      <w:bookmarkEnd w:id="166"/>
      <w:bookmarkStart w:id="167" w:name="_Toc184313252"/>
      <w:bookmarkEnd w:id="167"/>
      <w:bookmarkStart w:id="168" w:name="_Toc184312073"/>
      <w:bookmarkEnd w:id="168"/>
      <w:bookmarkStart w:id="169" w:name="_Toc184310299"/>
      <w:bookmarkEnd w:id="169"/>
      <w:bookmarkStart w:id="170" w:name="_Toc184308089"/>
      <w:bookmarkEnd w:id="170"/>
      <w:bookmarkStart w:id="171" w:name="_Toc184313243"/>
      <w:bookmarkEnd w:id="171"/>
      <w:bookmarkStart w:id="172" w:name="_Toc184313282"/>
      <w:bookmarkEnd w:id="172"/>
      <w:bookmarkStart w:id="173" w:name="_Toc184308101"/>
      <w:bookmarkEnd w:id="173"/>
      <w:bookmarkStart w:id="174" w:name="_Toc184313304"/>
      <w:bookmarkEnd w:id="174"/>
      <w:bookmarkStart w:id="175" w:name="_Toc184308061"/>
      <w:bookmarkEnd w:id="175"/>
      <w:bookmarkStart w:id="176" w:name="_Toc184310329"/>
      <w:bookmarkEnd w:id="176"/>
      <w:bookmarkStart w:id="177" w:name="_Toc184314480"/>
      <w:bookmarkEnd w:id="177"/>
      <w:bookmarkStart w:id="178" w:name="_Toc184308103"/>
      <w:bookmarkEnd w:id="178"/>
      <w:bookmarkStart w:id="179" w:name="_Toc184313294"/>
      <w:bookmarkEnd w:id="179"/>
      <w:bookmarkStart w:id="180" w:name="_Toc184308082"/>
      <w:bookmarkEnd w:id="180"/>
      <w:bookmarkStart w:id="181" w:name="_Toc184308066"/>
      <w:bookmarkEnd w:id="181"/>
      <w:bookmarkStart w:id="182" w:name="_Toc184313292"/>
      <w:bookmarkEnd w:id="182"/>
      <w:bookmarkStart w:id="183" w:name="_Toc184313254"/>
      <w:bookmarkEnd w:id="183"/>
      <w:bookmarkStart w:id="184" w:name="_Toc184310283"/>
      <w:bookmarkEnd w:id="184"/>
      <w:bookmarkStart w:id="185" w:name="_Toc184310286"/>
      <w:bookmarkEnd w:id="185"/>
      <w:bookmarkStart w:id="186" w:name="_Toc184308069"/>
      <w:bookmarkEnd w:id="186"/>
      <w:bookmarkStart w:id="187" w:name="_Toc184314417"/>
      <w:bookmarkEnd w:id="187"/>
      <w:bookmarkStart w:id="188" w:name="_Toc184314433"/>
      <w:bookmarkEnd w:id="188"/>
      <w:bookmarkStart w:id="189" w:name="_Toc184314423"/>
      <w:bookmarkEnd w:id="189"/>
      <w:bookmarkStart w:id="190" w:name="_Toc184312081"/>
      <w:bookmarkEnd w:id="190"/>
      <w:bookmarkStart w:id="191" w:name="_Toc184313266"/>
      <w:bookmarkEnd w:id="191"/>
      <w:bookmarkStart w:id="192" w:name="_Toc184313295"/>
      <w:bookmarkEnd w:id="192"/>
      <w:bookmarkStart w:id="193" w:name="_Toc184313287"/>
      <w:bookmarkEnd w:id="193"/>
      <w:bookmarkStart w:id="194" w:name="_Toc184312132"/>
      <w:bookmarkEnd w:id="194"/>
      <w:bookmarkStart w:id="195" w:name="_Toc184314478"/>
      <w:bookmarkEnd w:id="195"/>
      <w:bookmarkStart w:id="196" w:name="_Toc184310275"/>
      <w:bookmarkEnd w:id="196"/>
      <w:bookmarkStart w:id="197" w:name="_Toc184308036"/>
      <w:bookmarkEnd w:id="197"/>
      <w:bookmarkStart w:id="198" w:name="_Toc184308067"/>
      <w:bookmarkEnd w:id="198"/>
      <w:bookmarkStart w:id="199" w:name="_Toc184312097"/>
      <w:bookmarkEnd w:id="199"/>
      <w:bookmarkStart w:id="200" w:name="_Toc184310290"/>
      <w:bookmarkEnd w:id="200"/>
      <w:bookmarkStart w:id="201" w:name="_Toc184310330"/>
      <w:bookmarkEnd w:id="201"/>
      <w:bookmarkStart w:id="202" w:name="_Toc184313264"/>
      <w:bookmarkEnd w:id="202"/>
      <w:bookmarkStart w:id="203" w:name="_Toc184308052"/>
      <w:bookmarkEnd w:id="203"/>
      <w:bookmarkStart w:id="204" w:name="_Toc184310287"/>
      <w:bookmarkEnd w:id="204"/>
      <w:bookmarkStart w:id="205" w:name="_Toc184308097"/>
      <w:bookmarkEnd w:id="205"/>
      <w:bookmarkStart w:id="206" w:name="_Toc184308039"/>
      <w:bookmarkEnd w:id="206"/>
      <w:bookmarkStart w:id="207" w:name="_Toc184308051"/>
      <w:bookmarkEnd w:id="207"/>
      <w:bookmarkStart w:id="208" w:name="_Toc184308054"/>
      <w:bookmarkEnd w:id="208"/>
      <w:bookmarkStart w:id="209" w:name="_Toc184314467"/>
      <w:bookmarkEnd w:id="209"/>
      <w:bookmarkStart w:id="210" w:name="_Toc184313301"/>
      <w:bookmarkEnd w:id="210"/>
      <w:bookmarkStart w:id="211" w:name="_Toc184312133"/>
      <w:bookmarkEnd w:id="211"/>
      <w:bookmarkStart w:id="212" w:name="_Toc184310316"/>
      <w:bookmarkEnd w:id="212"/>
      <w:bookmarkStart w:id="213" w:name="_Toc184312102"/>
      <w:bookmarkEnd w:id="213"/>
      <w:bookmarkStart w:id="214" w:name="_Toc184314426"/>
      <w:bookmarkEnd w:id="214"/>
      <w:bookmarkStart w:id="215" w:name="_Toc184308072"/>
      <w:bookmarkEnd w:id="215"/>
      <w:bookmarkStart w:id="216" w:name="_Toc184310274"/>
      <w:bookmarkEnd w:id="216"/>
      <w:bookmarkStart w:id="217" w:name="_Toc184312082"/>
      <w:bookmarkEnd w:id="217"/>
      <w:bookmarkStart w:id="218" w:name="_Toc184312083"/>
      <w:bookmarkEnd w:id="218"/>
      <w:bookmarkStart w:id="219" w:name="_Toc184312077"/>
      <w:bookmarkEnd w:id="219"/>
      <w:bookmarkStart w:id="220" w:name="_Toc184308092"/>
      <w:bookmarkEnd w:id="220"/>
      <w:bookmarkStart w:id="221" w:name="_Toc184312126"/>
      <w:bookmarkEnd w:id="221"/>
      <w:bookmarkStart w:id="222" w:name="_Toc184310306"/>
      <w:bookmarkEnd w:id="222"/>
      <w:bookmarkStart w:id="223" w:name="_Toc184313251"/>
      <w:bookmarkEnd w:id="223"/>
      <w:bookmarkStart w:id="224" w:name="_Toc184310336"/>
      <w:bookmarkEnd w:id="224"/>
      <w:bookmarkStart w:id="225" w:name="_Toc184313284"/>
      <w:bookmarkEnd w:id="225"/>
      <w:bookmarkStart w:id="226" w:name="_Toc184314415"/>
      <w:bookmarkEnd w:id="226"/>
      <w:bookmarkStart w:id="227" w:name="_Toc184310305"/>
      <w:bookmarkEnd w:id="227"/>
      <w:bookmarkStart w:id="228" w:name="_Toc184310297"/>
      <w:bookmarkEnd w:id="228"/>
      <w:bookmarkStart w:id="229" w:name="_Toc184308096"/>
      <w:bookmarkEnd w:id="229"/>
      <w:bookmarkStart w:id="230" w:name="_Toc184314431"/>
      <w:bookmarkEnd w:id="230"/>
      <w:bookmarkStart w:id="231" w:name="_Toc184314450"/>
      <w:bookmarkEnd w:id="231"/>
      <w:bookmarkStart w:id="232" w:name="_Toc184312137"/>
      <w:bookmarkEnd w:id="232"/>
      <w:bookmarkStart w:id="233" w:name="_Toc184312110"/>
      <w:bookmarkEnd w:id="233"/>
      <w:bookmarkStart w:id="234" w:name="_Toc184312135"/>
      <w:bookmarkEnd w:id="234"/>
      <w:bookmarkStart w:id="235" w:name="_Toc184308083"/>
      <w:bookmarkEnd w:id="235"/>
      <w:bookmarkStart w:id="236" w:name="_Toc184312119"/>
      <w:bookmarkEnd w:id="236"/>
      <w:bookmarkStart w:id="237" w:name="_Toc184313259"/>
      <w:bookmarkEnd w:id="237"/>
      <w:bookmarkStart w:id="238" w:name="_Toc184314465"/>
      <w:bookmarkEnd w:id="238"/>
      <w:bookmarkStart w:id="239" w:name="_Toc184308099"/>
      <w:bookmarkEnd w:id="239"/>
      <w:bookmarkStart w:id="240" w:name="_Toc184314470"/>
      <w:bookmarkEnd w:id="240"/>
      <w:bookmarkStart w:id="241" w:name="_Toc184310311"/>
      <w:bookmarkEnd w:id="241"/>
      <w:bookmarkStart w:id="242" w:name="_Toc184314443"/>
      <w:bookmarkEnd w:id="242"/>
      <w:bookmarkStart w:id="243" w:name="_Toc184310341"/>
      <w:bookmarkEnd w:id="243"/>
      <w:bookmarkStart w:id="244" w:name="_Toc184308088"/>
      <w:bookmarkEnd w:id="244"/>
      <w:bookmarkStart w:id="245" w:name="_Toc184314475"/>
      <w:bookmarkEnd w:id="245"/>
      <w:bookmarkStart w:id="246" w:name="_Toc184313260"/>
      <w:bookmarkEnd w:id="246"/>
      <w:bookmarkStart w:id="247" w:name="_Toc184308098"/>
      <w:bookmarkEnd w:id="247"/>
      <w:bookmarkStart w:id="248" w:name="_Toc184313276"/>
      <w:bookmarkEnd w:id="248"/>
      <w:bookmarkStart w:id="249" w:name="_Toc184310279"/>
      <w:bookmarkEnd w:id="249"/>
      <w:bookmarkStart w:id="250" w:name="_Toc184308084"/>
      <w:bookmarkEnd w:id="250"/>
      <w:bookmarkStart w:id="251" w:name="_Toc184314419"/>
      <w:bookmarkEnd w:id="251"/>
      <w:bookmarkStart w:id="252" w:name="_Toc184314471"/>
      <w:bookmarkEnd w:id="252"/>
      <w:bookmarkStart w:id="253" w:name="_Toc184310277"/>
      <w:bookmarkEnd w:id="253"/>
      <w:bookmarkStart w:id="254" w:name="_Toc184313279"/>
      <w:bookmarkEnd w:id="254"/>
      <w:bookmarkStart w:id="255" w:name="_Toc184310301"/>
      <w:bookmarkEnd w:id="255"/>
      <w:bookmarkStart w:id="256" w:name="_Toc184312091"/>
      <w:bookmarkEnd w:id="256"/>
      <w:bookmarkStart w:id="257" w:name="_Toc184314421"/>
      <w:bookmarkEnd w:id="257"/>
      <w:bookmarkStart w:id="258" w:name="_Toc184308106"/>
      <w:bookmarkEnd w:id="258"/>
      <w:bookmarkStart w:id="259" w:name="_Toc184313298"/>
      <w:bookmarkEnd w:id="259"/>
      <w:bookmarkStart w:id="260" w:name="_Toc184314435"/>
      <w:bookmarkEnd w:id="260"/>
      <w:bookmarkStart w:id="261" w:name="_Toc184312070"/>
      <w:bookmarkEnd w:id="261"/>
      <w:bookmarkStart w:id="262" w:name="_Toc184308093"/>
      <w:bookmarkEnd w:id="262"/>
      <w:bookmarkStart w:id="263" w:name="_Toc184314424"/>
      <w:bookmarkEnd w:id="263"/>
      <w:bookmarkStart w:id="264" w:name="_Toc184313281"/>
      <w:bookmarkEnd w:id="264"/>
      <w:bookmarkStart w:id="265" w:name="_Toc184310326"/>
      <w:bookmarkEnd w:id="265"/>
      <w:bookmarkStart w:id="266" w:name="_Toc184310298"/>
      <w:bookmarkEnd w:id="266"/>
      <w:bookmarkStart w:id="267" w:name="_Toc184310302"/>
      <w:bookmarkEnd w:id="267"/>
      <w:bookmarkStart w:id="268" w:name="_Toc184308057"/>
      <w:bookmarkEnd w:id="268"/>
      <w:bookmarkStart w:id="269" w:name="_Toc184314413"/>
      <w:bookmarkEnd w:id="269"/>
      <w:bookmarkStart w:id="270" w:name="_Toc184310304"/>
      <w:bookmarkEnd w:id="270"/>
      <w:bookmarkStart w:id="271" w:name="_Toc184308102"/>
      <w:bookmarkEnd w:id="271"/>
      <w:bookmarkStart w:id="272" w:name="_Toc184313273"/>
      <w:bookmarkEnd w:id="272"/>
      <w:bookmarkStart w:id="273" w:name="_Toc184314464"/>
      <w:bookmarkEnd w:id="273"/>
      <w:bookmarkStart w:id="274" w:name="_Toc184312067"/>
      <w:bookmarkEnd w:id="274"/>
      <w:bookmarkStart w:id="275" w:name="_Toc184312130"/>
      <w:bookmarkEnd w:id="275"/>
      <w:bookmarkStart w:id="276" w:name="_Toc184313240"/>
      <w:bookmarkEnd w:id="276"/>
      <w:bookmarkStart w:id="277" w:name="_Toc184314438"/>
      <w:bookmarkEnd w:id="277"/>
      <w:bookmarkStart w:id="278" w:name="_Toc184310344"/>
      <w:bookmarkEnd w:id="278"/>
      <w:bookmarkStart w:id="279" w:name="_Toc184308065"/>
      <w:bookmarkEnd w:id="279"/>
      <w:bookmarkStart w:id="280" w:name="_Toc184313275"/>
      <w:bookmarkEnd w:id="280"/>
      <w:bookmarkStart w:id="281" w:name="_Toc184313288"/>
      <w:bookmarkEnd w:id="281"/>
      <w:bookmarkStart w:id="282" w:name="_Toc184310276"/>
      <w:bookmarkEnd w:id="282"/>
      <w:bookmarkStart w:id="283" w:name="_Toc184313299"/>
      <w:bookmarkEnd w:id="283"/>
      <w:bookmarkStart w:id="284" w:name="_Toc184313247"/>
      <w:bookmarkEnd w:id="284"/>
      <w:bookmarkStart w:id="285" w:name="_Toc184310315"/>
      <w:bookmarkEnd w:id="285"/>
      <w:bookmarkStart w:id="286" w:name="_Toc184312112"/>
      <w:bookmarkEnd w:id="286"/>
      <w:bookmarkStart w:id="287" w:name="_Toc184313290"/>
      <w:bookmarkEnd w:id="287"/>
      <w:bookmarkStart w:id="288" w:name="_Toc184310303"/>
      <w:bookmarkEnd w:id="288"/>
      <w:bookmarkStart w:id="289" w:name="_Toc184314427"/>
      <w:bookmarkEnd w:id="289"/>
      <w:bookmarkStart w:id="290" w:name="_Toc184312068"/>
      <w:bookmarkEnd w:id="290"/>
      <w:bookmarkStart w:id="291" w:name="_Toc184314469"/>
      <w:bookmarkEnd w:id="291"/>
      <w:bookmarkStart w:id="292" w:name="_Toc184314473"/>
      <w:bookmarkEnd w:id="292"/>
      <w:bookmarkStart w:id="293" w:name="_Toc184314451"/>
      <w:bookmarkEnd w:id="293"/>
      <w:bookmarkStart w:id="294" w:name="_Toc184310309"/>
      <w:bookmarkEnd w:id="294"/>
      <w:bookmarkStart w:id="295" w:name="_Toc184310340"/>
      <w:bookmarkEnd w:id="295"/>
      <w:bookmarkStart w:id="296" w:name="_Toc184314459"/>
      <w:bookmarkEnd w:id="296"/>
      <w:bookmarkStart w:id="297" w:name="_Toc184310312"/>
      <w:bookmarkEnd w:id="297"/>
      <w:bookmarkStart w:id="298" w:name="_Toc184308048"/>
      <w:bookmarkEnd w:id="298"/>
      <w:bookmarkStart w:id="299" w:name="_Toc184308090"/>
      <w:bookmarkEnd w:id="299"/>
      <w:bookmarkStart w:id="300" w:name="_Toc184312121"/>
      <w:bookmarkEnd w:id="300"/>
      <w:bookmarkStart w:id="301" w:name="_Toc184310295"/>
      <w:bookmarkEnd w:id="301"/>
      <w:bookmarkStart w:id="302" w:name="_Toc184310280"/>
      <w:bookmarkEnd w:id="302"/>
      <w:bookmarkStart w:id="303" w:name="_Toc184314437"/>
      <w:bookmarkEnd w:id="303"/>
      <w:bookmarkStart w:id="304" w:name="_Toc184314414"/>
      <w:bookmarkEnd w:id="304"/>
      <w:bookmarkStart w:id="305" w:name="_Toc184308079"/>
      <w:bookmarkEnd w:id="305"/>
      <w:bookmarkStart w:id="306" w:name="_Toc184314412"/>
      <w:bookmarkEnd w:id="306"/>
      <w:bookmarkStart w:id="307" w:name="_Toc184313305"/>
      <w:bookmarkEnd w:id="307"/>
      <w:bookmarkStart w:id="308" w:name="_Toc184308046"/>
      <w:bookmarkEnd w:id="308"/>
      <w:bookmarkStart w:id="309" w:name="_Toc184308064"/>
      <w:bookmarkEnd w:id="309"/>
      <w:bookmarkStart w:id="310" w:name="_Toc184314481"/>
      <w:bookmarkEnd w:id="310"/>
      <w:bookmarkStart w:id="311" w:name="_Toc184310278"/>
      <w:bookmarkEnd w:id="311"/>
      <w:bookmarkStart w:id="312" w:name="_Toc184314476"/>
      <w:bookmarkEnd w:id="312"/>
      <w:bookmarkStart w:id="313" w:name="_Toc184308107"/>
      <w:bookmarkEnd w:id="313"/>
      <w:bookmarkStart w:id="314" w:name="_Toc184312104"/>
      <w:bookmarkEnd w:id="314"/>
      <w:bookmarkStart w:id="315" w:name="_Toc184308042"/>
      <w:bookmarkEnd w:id="315"/>
      <w:bookmarkStart w:id="316" w:name="_Toc184313285"/>
      <w:bookmarkEnd w:id="316"/>
      <w:bookmarkStart w:id="317" w:name="_Toc184313303"/>
      <w:bookmarkEnd w:id="317"/>
      <w:bookmarkStart w:id="318" w:name="_Toc184314463"/>
      <w:bookmarkEnd w:id="318"/>
      <w:bookmarkStart w:id="319" w:name="_Toc184314461"/>
      <w:bookmarkEnd w:id="319"/>
      <w:bookmarkStart w:id="320" w:name="_Toc184310331"/>
      <w:bookmarkEnd w:id="320"/>
      <w:bookmarkStart w:id="321" w:name="_Toc184312134"/>
      <w:bookmarkEnd w:id="321"/>
      <w:bookmarkStart w:id="322" w:name="_Toc184310293"/>
      <w:bookmarkEnd w:id="322"/>
      <w:bookmarkStart w:id="323" w:name="_Toc184312101"/>
      <w:bookmarkEnd w:id="323"/>
      <w:bookmarkStart w:id="324" w:name="_Toc184310324"/>
      <w:bookmarkEnd w:id="324"/>
      <w:bookmarkStart w:id="325" w:name="_Toc184312125"/>
      <w:bookmarkEnd w:id="325"/>
      <w:bookmarkStart w:id="326" w:name="_Toc184312084"/>
      <w:bookmarkEnd w:id="326"/>
      <w:bookmarkStart w:id="327" w:name="_Toc184313253"/>
      <w:bookmarkEnd w:id="327"/>
      <w:bookmarkStart w:id="328" w:name="_Toc184312139"/>
      <w:bookmarkEnd w:id="328"/>
      <w:bookmarkStart w:id="329" w:name="_Toc184313278"/>
      <w:bookmarkEnd w:id="329"/>
      <w:bookmarkStart w:id="330" w:name="_Toc184313244"/>
      <w:bookmarkEnd w:id="330"/>
      <w:bookmarkStart w:id="331" w:name="_Toc184308080"/>
      <w:bookmarkEnd w:id="331"/>
      <w:bookmarkStart w:id="332" w:name="_Toc184310284"/>
      <w:bookmarkEnd w:id="332"/>
      <w:bookmarkStart w:id="333" w:name="_Toc184312099"/>
      <w:bookmarkEnd w:id="333"/>
      <w:bookmarkStart w:id="334" w:name="_Toc184314474"/>
      <w:bookmarkEnd w:id="334"/>
      <w:bookmarkStart w:id="335" w:name="_Toc184312092"/>
      <w:bookmarkEnd w:id="335"/>
      <w:bookmarkStart w:id="336" w:name="_Toc184312105"/>
      <w:bookmarkEnd w:id="336"/>
      <w:bookmarkStart w:id="337" w:name="_Toc184308044"/>
      <w:bookmarkEnd w:id="337"/>
      <w:bookmarkStart w:id="338" w:name="_Toc184312113"/>
      <w:bookmarkEnd w:id="338"/>
      <w:bookmarkStart w:id="339" w:name="_Toc184312089"/>
      <w:bookmarkEnd w:id="339"/>
      <w:bookmarkStart w:id="340" w:name="_Toc184314434"/>
      <w:bookmarkEnd w:id="340"/>
      <w:bookmarkStart w:id="341" w:name="_Toc184314440"/>
      <w:bookmarkEnd w:id="341"/>
      <w:bookmarkStart w:id="342" w:name="_Toc184312085"/>
      <w:bookmarkEnd w:id="342"/>
      <w:bookmarkStart w:id="343" w:name="_Toc184313256"/>
      <w:bookmarkEnd w:id="343"/>
      <w:bookmarkStart w:id="344" w:name="_Toc184310313"/>
      <w:bookmarkEnd w:id="344"/>
      <w:bookmarkStart w:id="345" w:name="_Toc184313268"/>
      <w:bookmarkEnd w:id="345"/>
      <w:bookmarkStart w:id="346" w:name="_Toc184313283"/>
      <w:bookmarkEnd w:id="346"/>
      <w:bookmarkStart w:id="347" w:name="_Toc184312128"/>
      <w:bookmarkEnd w:id="347"/>
      <w:bookmarkStart w:id="348" w:name="_Toc184313302"/>
      <w:bookmarkEnd w:id="348"/>
      <w:bookmarkStart w:id="349" w:name="_Toc184310314"/>
      <w:bookmarkEnd w:id="349"/>
      <w:bookmarkStart w:id="350" w:name="_Toc184310318"/>
      <w:bookmarkEnd w:id="350"/>
      <w:bookmarkStart w:id="351" w:name="_Toc184312078"/>
      <w:bookmarkEnd w:id="351"/>
      <w:bookmarkStart w:id="352" w:name="_Toc184310296"/>
      <w:bookmarkEnd w:id="352"/>
      <w:bookmarkStart w:id="353" w:name="_Toc184312080"/>
      <w:bookmarkEnd w:id="353"/>
      <w:bookmarkStart w:id="354" w:name="_Toc184312108"/>
      <w:bookmarkEnd w:id="354"/>
      <w:bookmarkStart w:id="355" w:name="_Toc184308104"/>
      <w:bookmarkEnd w:id="355"/>
      <w:bookmarkStart w:id="356" w:name="_Toc184308091"/>
      <w:bookmarkEnd w:id="356"/>
      <w:bookmarkStart w:id="357" w:name="_Toc184312136"/>
      <w:bookmarkEnd w:id="357"/>
      <w:bookmarkStart w:id="358" w:name="_Toc184310292"/>
      <w:bookmarkEnd w:id="358"/>
      <w:bookmarkStart w:id="359" w:name="_Toc184312127"/>
      <w:bookmarkEnd w:id="359"/>
      <w:bookmarkStart w:id="360" w:name="_Toc184314425"/>
      <w:bookmarkEnd w:id="360"/>
      <w:bookmarkStart w:id="361" w:name="_Toc184312116"/>
      <w:bookmarkEnd w:id="361"/>
      <w:bookmarkStart w:id="362" w:name="_Toc184314446"/>
      <w:bookmarkEnd w:id="362"/>
      <w:bookmarkStart w:id="363" w:name="_Toc184310307"/>
      <w:bookmarkEnd w:id="363"/>
      <w:bookmarkStart w:id="364" w:name="_Toc184308043"/>
      <w:bookmarkEnd w:id="364"/>
      <w:bookmarkStart w:id="365" w:name="_Toc184308076"/>
      <w:bookmarkEnd w:id="365"/>
      <w:bookmarkStart w:id="366" w:name="_Toc184314422"/>
      <w:bookmarkEnd w:id="366"/>
      <w:bookmarkStart w:id="367" w:name="_Toc184313286"/>
      <w:bookmarkEnd w:id="367"/>
      <w:bookmarkStart w:id="368" w:name="_Toc184314410"/>
      <w:bookmarkEnd w:id="368"/>
      <w:bookmarkStart w:id="369" w:name="_Toc184313258"/>
      <w:bookmarkEnd w:id="369"/>
      <w:bookmarkStart w:id="370" w:name="_Toc184310332"/>
      <w:bookmarkEnd w:id="370"/>
      <w:bookmarkStart w:id="371" w:name="_Toc184312100"/>
      <w:bookmarkEnd w:id="371"/>
      <w:bookmarkStart w:id="372" w:name="_Toc184313265"/>
      <w:bookmarkEnd w:id="372"/>
      <w:bookmarkStart w:id="373" w:name="_Toc184313255"/>
      <w:bookmarkEnd w:id="373"/>
      <w:bookmarkStart w:id="374" w:name="_Toc184308105"/>
      <w:bookmarkEnd w:id="374"/>
      <w:bookmarkStart w:id="375" w:name="_Toc184312072"/>
      <w:bookmarkEnd w:id="375"/>
      <w:bookmarkStart w:id="376" w:name="_Toc184313274"/>
      <w:bookmarkEnd w:id="376"/>
      <w:bookmarkStart w:id="377" w:name="_Toc184314447"/>
      <w:bookmarkEnd w:id="377"/>
      <w:bookmarkStart w:id="378" w:name="_Toc184310327"/>
      <w:bookmarkEnd w:id="378"/>
      <w:bookmarkStart w:id="379" w:name="_Toc184308077"/>
      <w:bookmarkEnd w:id="379"/>
      <w:bookmarkStart w:id="380" w:name="_Toc184312074"/>
      <w:bookmarkEnd w:id="380"/>
      <w:bookmarkStart w:id="381" w:name="_Toc184312098"/>
      <w:bookmarkEnd w:id="381"/>
      <w:bookmarkStart w:id="382" w:name="_Toc184313246"/>
      <w:bookmarkEnd w:id="382"/>
      <w:bookmarkStart w:id="383" w:name="_Toc18431031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yellow"/>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3"/>
        <w:ind w:firstLine="480" w:firstLineChars="200"/>
        <w:rPr>
          <w:highlight w:val="none"/>
        </w:rPr>
      </w:pPr>
      <w:r>
        <w:rPr>
          <w:highlight w:val="none"/>
          <w:lang w:val="en-US"/>
        </w:rPr>
        <w:t>1.1</w:t>
      </w:r>
      <w:r>
        <w:rPr>
          <w:rFonts w:hint="eastAsia"/>
          <w:highlight w:val="none"/>
        </w:rPr>
        <w:t>若出现税率不一致的情况，以除税总金额相对比。</w:t>
      </w:r>
    </w:p>
    <w:p>
      <w:pPr>
        <w:pStyle w:val="3"/>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最低时，应按照询价文件或则税法的要求纠正税率，同意纠正的，视为满足要求；不同意纠正的，视为不满足要求，认定为无效报价，次低价按此规则执行。其他未成交单位不纠正税率。</w:t>
      </w:r>
    </w:p>
    <w:p>
      <w:pPr>
        <w:pStyle w:val="3"/>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hint="default" w:ascii="宋体" w:hAnsi="宋体" w:cs="宋体"/>
          <w:sz w:val="24"/>
          <w:u w:val="single"/>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2024年临江公司冷却塔备件采购项目</w:t>
      </w:r>
      <w:r>
        <w:rPr>
          <w:rFonts w:hint="eastAsia" w:ascii="宋体" w:hAnsi="宋体" w:cs="宋体"/>
          <w:sz w:val="24"/>
          <w:u w:val="single"/>
          <w:lang w:val="en-US" w:eastAsia="zh-CN"/>
        </w:rPr>
        <w:t xml:space="preserve">        </w:t>
      </w:r>
    </w:p>
    <w:p>
      <w:pPr>
        <w:spacing w:before="120" w:line="22" w:lineRule="atLeast"/>
        <w:rPr>
          <w:rFonts w:hint="default" w:ascii="宋体" w:hAnsi="宋体" w:cs="宋体"/>
          <w:sz w:val="24"/>
          <w:u w:val="single"/>
          <w:lang w:val="en-US" w:eastAsia="zh-CN"/>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2024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3"/>
        <w:ind w:left="0" w:leftChars="0" w:firstLine="0" w:firstLineChars="0"/>
        <w:rPr>
          <w:rFonts w:ascii="宋体" w:hAnsi="宋体" w:cs="宋体"/>
          <w:b/>
          <w:szCs w:val="24"/>
        </w:rPr>
      </w:pPr>
    </w:p>
    <w:p>
      <w:pPr>
        <w:pStyle w:val="2"/>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渣吊、汽机吊备件</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pStyle w:val="2"/>
        <w:rPr>
          <w:rFonts w:hint="eastAsia"/>
          <w:lang w:val="en-US" w:eastAsia="zh-CN"/>
        </w:rPr>
      </w:pPr>
    </w:p>
    <w:tbl>
      <w:tblPr>
        <w:tblStyle w:val="15"/>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9"/>
        <w:gridCol w:w="1594"/>
        <w:gridCol w:w="1200"/>
        <w:gridCol w:w="2905"/>
        <w:gridCol w:w="723"/>
        <w:gridCol w:w="913"/>
        <w:gridCol w:w="90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59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减速机</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尔华杰</w:t>
            </w:r>
          </w:p>
        </w:tc>
        <w:tc>
          <w:tcPr>
            <w:tcW w:w="29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MSRL400/12.78</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59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散热风扇</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29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MSRL400-FS-</w:t>
            </w:r>
            <w:r>
              <w:rPr>
                <w:rFonts w:ascii="等线" w:hAnsi="等线" w:eastAsia="等线" w:cs="等线"/>
                <w:i w:val="0"/>
                <w:iCs w:val="0"/>
                <w:color w:val="000000"/>
                <w:kern w:val="0"/>
                <w:sz w:val="22"/>
                <w:szCs w:val="22"/>
                <w:u w:val="none"/>
                <w:lang w:val="en-US" w:eastAsia="zh-CN" w:bidi="ar"/>
              </w:rPr>
              <w:t>Φ95，材质</w:t>
            </w:r>
            <w:r>
              <w:rPr>
                <w:rStyle w:val="35"/>
                <w:lang w:val="en-US" w:eastAsia="zh-CN" w:bidi="ar"/>
              </w:rPr>
              <w:t>ABS</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59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铝衬轴套</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29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MSRL400-FSB(d-2)-</w:t>
            </w:r>
            <w:r>
              <w:rPr>
                <w:rFonts w:ascii="等线" w:hAnsi="等线" w:eastAsia="等线" w:cs="等线"/>
                <w:i w:val="0"/>
                <w:iCs w:val="0"/>
                <w:color w:val="000000"/>
                <w:kern w:val="0"/>
                <w:sz w:val="22"/>
                <w:szCs w:val="22"/>
                <w:u w:val="none"/>
                <w:lang w:val="en-US" w:eastAsia="zh-CN" w:bidi="ar"/>
              </w:rPr>
              <w:t>Φ</w:t>
            </w:r>
            <w:r>
              <w:rPr>
                <w:rStyle w:val="35"/>
                <w:lang w:val="en-US" w:eastAsia="zh-CN" w:bidi="ar"/>
              </w:rPr>
              <w:t>95，材</w:t>
            </w:r>
            <w:r>
              <w:rPr>
                <w:rStyle w:val="35"/>
                <w:lang w:val="en-US" w:eastAsia="zh-CN" w:bidi="ar"/>
              </w:rPr>
              <w:br w:type="textWrapping"/>
            </w:r>
            <w:r>
              <w:rPr>
                <w:rStyle w:val="35"/>
                <w:lang w:val="en-US" w:eastAsia="zh-CN" w:bidi="ar"/>
              </w:rPr>
              <w:t>质铝</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59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叶片</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29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9754DXZ06，材质FRP</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59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轮毂</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29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4430SG140，热镀锌组合件，内含卡套</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59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联轴器电机端</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29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TC229-6R-D，材质304</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59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联轴器减速机端</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29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TC229-6R-J，材质304</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59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碳纤维轴</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ADDAX</w:t>
            </w:r>
          </w:p>
        </w:tc>
        <w:tc>
          <w:tcPr>
            <w:tcW w:w="29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DBSE4200，材质碳纤维</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59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膜片</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ADDAX</w:t>
            </w:r>
          </w:p>
        </w:tc>
        <w:tc>
          <w:tcPr>
            <w:tcW w:w="29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REXNORD/PART-D，复合型</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59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膜片</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ADDAX</w:t>
            </w:r>
          </w:p>
        </w:tc>
        <w:tc>
          <w:tcPr>
            <w:tcW w:w="29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REXNORD/PART-J，复合型</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5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下喷头</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29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VK-1，材质PP</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5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喷嘴</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29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VK-1，口径</w:t>
            </w:r>
            <w:r>
              <w:rPr>
                <w:rFonts w:ascii="等线" w:hAnsi="等线" w:eastAsia="等线" w:cs="等线"/>
                <w:i w:val="0"/>
                <w:iCs w:val="0"/>
                <w:color w:val="000000"/>
                <w:kern w:val="0"/>
                <w:sz w:val="22"/>
                <w:szCs w:val="22"/>
                <w:u w:val="none"/>
                <w:lang w:val="en-US" w:eastAsia="zh-CN" w:bidi="ar"/>
              </w:rPr>
              <w:t>Φ34</w:t>
            </w:r>
            <w:r>
              <w:rPr>
                <w:rStyle w:val="35"/>
                <w:lang w:val="en-US" w:eastAsia="zh-CN" w:bidi="ar"/>
              </w:rPr>
              <w:t>，材质PP</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59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接长管</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29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VK-1，口径Φ50，材质ABS</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59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底座</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上海瑞嘉化工</w:t>
            </w:r>
          </w:p>
        </w:tc>
        <w:tc>
          <w:tcPr>
            <w:tcW w:w="29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VK-1P，材质PP</w:t>
            </w:r>
          </w:p>
        </w:tc>
        <w:tc>
          <w:tcPr>
            <w:tcW w:w="7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6108" w:type="dxa"/>
            <w:gridSpan w:val="4"/>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461"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按合同清单数量供货。</w:t>
      </w:r>
    </w:p>
    <w:p>
      <w:pPr>
        <w:pStyle w:val="24"/>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自合同签订生效后6个月内完成供货（国产件45天内完成供货、进口件6个月内完成供货）；</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lang w:eastAsia="zh-CN"/>
        </w:rPr>
        <w:t>：</w:t>
      </w:r>
      <w:r>
        <w:rPr>
          <w:rFonts w:hint="eastAsia" w:ascii="宋体" w:hAnsi="宋体" w:cs="宋体"/>
          <w:sz w:val="24"/>
          <w:highlight w:val="none"/>
          <w:u w:val="single"/>
          <w:lang w:val="en-US" w:eastAsia="zh-CN"/>
        </w:rPr>
        <w:t>自合同签订生效后6个月内完成供货（国产件45天内完成供货、进口件6个月内完成供货）</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3"/>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备件</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2"/>
        <w:rPr>
          <w:rFonts w:hint="default"/>
          <w:lang w:val="en-US" w:eastAsia="zh-CN"/>
        </w:rPr>
      </w:pPr>
      <w:r>
        <w:rPr>
          <w:rFonts w:hint="eastAsia"/>
          <w:color w:val="auto"/>
          <w:highlight w:val="none"/>
          <w:lang w:val="en-US" w:eastAsia="zh-CN"/>
        </w:rPr>
        <w:t>3.乙方提供的备件质保期自到货验收合格起12个月。</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3"/>
        <w:ind w:firstLine="480" w:firstLineChars="200"/>
        <w:rPr>
          <w:lang w:val="en-US"/>
        </w:rPr>
      </w:pPr>
      <w:r>
        <w:rPr>
          <w:rFonts w:hint="eastAsia"/>
          <w:lang w:val="en-US"/>
        </w:rPr>
        <w:t>1.根据</w:t>
      </w:r>
      <w:r>
        <w:rPr>
          <w:rFonts w:hint="eastAsia"/>
          <w:lang w:val="en-US" w:eastAsia="zh-CN"/>
        </w:rPr>
        <w:t>甲方</w:t>
      </w:r>
      <w:r>
        <w:rPr>
          <w:rFonts w:hint="eastAsia"/>
          <w:lang w:val="en-US"/>
        </w:rPr>
        <w:t>生产计划，确定</w:t>
      </w:r>
      <w:r>
        <w:rPr>
          <w:rFonts w:hint="eastAsia"/>
          <w:lang w:val="en-US" w:eastAsia="zh-CN"/>
        </w:rPr>
        <w:t>供货及安装要求</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highlight w:val="none"/>
          <w:lang w:val="en-US" w:eastAsia="zh-CN"/>
        </w:rPr>
        <w:t>45天内</w:t>
      </w:r>
      <w:r>
        <w:rPr>
          <w:rFonts w:hint="eastAsia"/>
          <w:lang w:val="en-US" w:eastAsia="zh-CN"/>
        </w:rPr>
        <w:t>完成</w:t>
      </w:r>
      <w:r>
        <w:rPr>
          <w:rFonts w:hint="eastAsia"/>
          <w:lang w:val="en-US"/>
        </w:rPr>
        <w:t>供货。</w:t>
      </w:r>
    </w:p>
    <w:p>
      <w:pPr>
        <w:pStyle w:val="3"/>
        <w:ind w:firstLine="480" w:firstLineChars="200"/>
        <w:rPr>
          <w:lang w:val="en-US"/>
        </w:rPr>
      </w:pPr>
      <w:r>
        <w:rPr>
          <w:rFonts w:hint="eastAsia"/>
          <w:lang w:val="en-US" w:eastAsia="zh-CN"/>
        </w:rPr>
        <w:t>2</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3"/>
        <w:ind w:firstLine="480" w:firstLineChars="200"/>
        <w:rPr>
          <w:lang w:val="en-US"/>
        </w:rPr>
      </w:pPr>
      <w:r>
        <w:rPr>
          <w:rFonts w:hint="eastAsia"/>
          <w:lang w:val="en-US" w:eastAsia="zh-CN"/>
        </w:rPr>
        <w:t>3</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w:t>
      </w:r>
      <w:r>
        <w:rPr>
          <w:rFonts w:hint="eastAsia" w:ascii="宋体" w:hAnsi="宋体" w:eastAsia="宋体" w:cs="宋体"/>
          <w:sz w:val="24"/>
          <w:lang w:eastAsia="zh-CN"/>
        </w:rPr>
        <w:t>（</w:t>
      </w:r>
      <w:r>
        <w:rPr>
          <w:rFonts w:hint="eastAsia" w:ascii="宋体" w:hAnsi="宋体" w:eastAsia="宋体" w:cs="宋体"/>
          <w:sz w:val="24"/>
          <w:lang w:val="en-US" w:eastAsia="zh-CN"/>
        </w:rPr>
        <w:t>进口件需同步提供报关单</w:t>
      </w:r>
      <w:r>
        <w:rPr>
          <w:rFonts w:hint="eastAsia" w:ascii="宋体" w:hAnsi="宋体" w:eastAsia="宋体" w:cs="宋体"/>
          <w:sz w:val="24"/>
          <w:lang w:eastAsia="zh-CN"/>
        </w:rPr>
        <w:t>）</w:t>
      </w:r>
      <w:r>
        <w:rPr>
          <w:rFonts w:hint="eastAsia" w:ascii="宋体" w:hAnsi="宋体" w:eastAsia="宋体" w:cs="宋体"/>
          <w:sz w:val="24"/>
        </w:rPr>
        <w:t>、检测报告（制造厂家或者第三方机构）、质量承诺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3"/>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2"/>
        <w:rPr>
          <w:rFonts w:hint="default" w:eastAsiaTheme="minorEastAsia"/>
          <w:u w:val="single"/>
          <w:lang w:val="en-US" w:eastAsia="zh-CN"/>
        </w:rPr>
      </w:pPr>
      <w:r>
        <w:rPr>
          <w:rFonts w:hint="eastAsia"/>
          <w:u w:val="single"/>
          <w:lang w:val="en-US" w:eastAsia="zh-CN"/>
        </w:rPr>
        <w:t xml:space="preserve"> \ 。</w:t>
      </w:r>
    </w:p>
    <w:p>
      <w:pPr>
        <w:pStyle w:val="3"/>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12个月</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 xml:space="preserve">5 </w:t>
      </w:r>
      <w:r>
        <w:rPr>
          <w:rFonts w:hint="eastAsia" w:ascii="宋体" w:hAnsi="宋体" w:cs="宋体" w:eastAsiaTheme="minorEastAsia"/>
          <w:kern w:val="0"/>
          <w:sz w:val="24"/>
          <w:szCs w:val="24"/>
          <w:u w:val="single"/>
          <w:lang w:val="en-US" w:eastAsia="zh-CN" w:bidi="ar-SA"/>
        </w:rPr>
        <w:t>%</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4</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（4）其他付款方式：经甲方验收合格后，甲方收到乙方提供的增值税专用发票后，甲方在本合同约定时间内完成支付</w:t>
      </w:r>
      <w:r>
        <w:rPr>
          <w:rFonts w:hint="eastAsia"/>
          <w:u w:val="single"/>
          <w:lang w:val="en-US" w:eastAsia="zh-CN"/>
        </w:rPr>
        <w:t>95%</w:t>
      </w:r>
      <w:r>
        <w:rPr>
          <w:rFonts w:hint="eastAsia"/>
          <w:u w:val="single"/>
        </w:rPr>
        <w:t xml:space="preserve">货款 </w:t>
      </w:r>
      <w:r>
        <w:rPr>
          <w:rFonts w:hint="eastAsia"/>
          <w:u w:val="single"/>
          <w:lang w:eastAsia="zh-CN"/>
        </w:rPr>
        <w:t>，</w:t>
      </w:r>
      <w:r>
        <w:rPr>
          <w:rFonts w:hint="eastAsia"/>
          <w:u w:val="single"/>
        </w:rPr>
        <w:t>质保期内无任何质量问题，双方无任何遗留问题 ，质保期结束后30天内甲方无息支付</w:t>
      </w:r>
      <w:r>
        <w:rPr>
          <w:rFonts w:hint="eastAsia"/>
          <w:u w:val="single"/>
          <w:lang w:val="en-US" w:eastAsia="zh-CN"/>
        </w:rPr>
        <w:t>5%货款。</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pStyle w:val="24"/>
        <w:spacing w:before="0" w:beforeAutospacing="0" w:after="0" w:afterAutospacing="0" w:line="360" w:lineRule="auto"/>
        <w:ind w:firstLine="480"/>
        <w:rPr>
          <w:rFonts w:hint="eastAsia"/>
          <w:u w:val="none"/>
        </w:rPr>
      </w:pPr>
      <w:bookmarkStart w:id="402" w:name="_Toc16021"/>
      <w:bookmarkStart w:id="403" w:name="_Toc15583"/>
      <w:bookmarkStart w:id="404" w:name="_Toc28375"/>
      <w:r>
        <w:rPr>
          <w:rFonts w:hint="eastAsia"/>
          <w:u w:val="none"/>
        </w:rPr>
        <w:t>1.对于验收不合格的货物，双方按照以下方式处理：</w:t>
      </w:r>
    </w:p>
    <w:p>
      <w:pPr>
        <w:pStyle w:val="24"/>
        <w:spacing w:before="0" w:beforeAutospacing="0" w:after="0" w:afterAutospacing="0" w:line="360" w:lineRule="auto"/>
        <w:ind w:firstLine="480"/>
        <w:rPr>
          <w:rFonts w:hint="default"/>
          <w:u w:val="none"/>
          <w:lang w:val="en-US" w:eastAsia="zh-CN"/>
        </w:rPr>
      </w:pPr>
      <w:r>
        <w:rPr>
          <w:rFonts w:hint="eastAsia"/>
          <w:u w:val="none"/>
          <w:lang w:eastAsia="zh-CN"/>
        </w:rPr>
        <w:t>（</w:t>
      </w:r>
      <w:r>
        <w:rPr>
          <w:rFonts w:hint="eastAsia"/>
          <w:u w:val="none"/>
          <w:lang w:val="en-US" w:eastAsia="zh-CN"/>
        </w:rPr>
        <w:t>1</w:t>
      </w:r>
      <w:r>
        <w:rPr>
          <w:rFonts w:hint="eastAsia"/>
          <w:u w:val="none"/>
          <w:lang w:eastAsia="zh-CN"/>
        </w:rPr>
        <w:t>）</w:t>
      </w:r>
      <w:r>
        <w:rPr>
          <w:rFonts w:hint="eastAsia"/>
          <w:u w:val="none"/>
        </w:rPr>
        <w:t>甲方尚未使用的，乙方应当</w:t>
      </w:r>
      <w:r>
        <w:rPr>
          <w:rFonts w:hint="eastAsia"/>
          <w:u w:val="none"/>
          <w:lang w:val="en-US" w:eastAsia="zh-CN"/>
        </w:rPr>
        <w:t>在5个工作日</w:t>
      </w:r>
      <w:r>
        <w:rPr>
          <w:rFonts w:hint="eastAsia"/>
          <w:u w:val="none"/>
        </w:rPr>
        <w:t>自费运回，</w:t>
      </w:r>
      <w:r>
        <w:rPr>
          <w:rFonts w:hint="eastAsia"/>
          <w:u w:val="none"/>
          <w:lang w:val="en-US" w:eastAsia="zh-CN"/>
        </w:rPr>
        <w:t>否则</w:t>
      </w:r>
      <w:r>
        <w:rPr>
          <w:rFonts w:hint="eastAsia"/>
          <w:u w:val="none"/>
        </w:rPr>
        <w:t>视为遗弃</w:t>
      </w:r>
      <w:r>
        <w:rPr>
          <w:rFonts w:hint="eastAsia"/>
          <w:u w:val="none"/>
          <w:lang w:eastAsia="zh-CN"/>
        </w:rPr>
        <w:t>；</w:t>
      </w:r>
      <w:r>
        <w:rPr>
          <w:rFonts w:hint="eastAsia"/>
          <w:u w:val="none"/>
          <w:lang w:val="en-US" w:eastAsia="zh-CN"/>
        </w:rPr>
        <w:t>若乙方超过5个工作日</w:t>
      </w:r>
      <w:r>
        <w:rPr>
          <w:rFonts w:hint="default"/>
          <w:u w:val="none"/>
          <w:lang w:val="en-US" w:eastAsia="zh-CN"/>
        </w:rPr>
        <w:t>为</w:t>
      </w:r>
      <w:r>
        <w:rPr>
          <w:rFonts w:hint="eastAsia"/>
          <w:u w:val="none"/>
          <w:lang w:val="en-US" w:eastAsia="zh-CN"/>
        </w:rPr>
        <w:t>未取回，甲方有权在履约保证金或者</w:t>
      </w:r>
      <w:r>
        <w:rPr>
          <w:rFonts w:hint="eastAsia"/>
          <w:u w:val="none"/>
        </w:rPr>
        <w:t>应付乙方款项中</w:t>
      </w:r>
      <w:r>
        <w:rPr>
          <w:rFonts w:hint="eastAsia"/>
          <w:u w:val="none"/>
          <w:lang w:val="en-US" w:eastAsia="zh-CN"/>
        </w:rPr>
        <w:t>按200元/天收取仓储费</w:t>
      </w:r>
      <w:r>
        <w:rPr>
          <w:rFonts w:hint="eastAsia"/>
          <w:u w:val="none"/>
        </w:rPr>
        <w:t>。另</w:t>
      </w:r>
      <w:r>
        <w:rPr>
          <w:rFonts w:hint="eastAsia"/>
          <w:u w:val="none"/>
          <w:lang w:val="en-US" w:eastAsia="zh-CN"/>
        </w:rPr>
        <w:t>乙方</w:t>
      </w:r>
      <w:r>
        <w:rPr>
          <w:rFonts w:hint="eastAsia"/>
          <w:u w:val="none"/>
        </w:rPr>
        <w:t>应无条件</w:t>
      </w:r>
      <w:r>
        <w:rPr>
          <w:rFonts w:hint="eastAsia"/>
          <w:u w:val="none"/>
          <w:lang w:val="en-US" w:eastAsia="zh-CN"/>
        </w:rPr>
        <w:t>在5个工作日</w:t>
      </w:r>
      <w:r>
        <w:rPr>
          <w:rFonts w:hint="eastAsia"/>
          <w:u w:val="none"/>
        </w:rPr>
        <w:t>内更换合格的货物至甲方，由此产生的运输费、装卸费等一切费用由乙方承担。如乙方拒绝或逾期更换的，视同逾期交货，应承担逾期交货责任。</w:t>
      </w:r>
      <w:r>
        <w:rPr>
          <w:rFonts w:hint="eastAsia"/>
          <w:u w:val="none"/>
          <w:lang w:val="en-US" w:eastAsia="zh-CN"/>
        </w:rPr>
        <w:t>在乙方更换后的货物验收合格前，相应货款暂不予支付。</w:t>
      </w:r>
    </w:p>
    <w:p>
      <w:pPr>
        <w:pStyle w:val="24"/>
        <w:spacing w:before="0" w:beforeAutospacing="0" w:after="0" w:afterAutospacing="0" w:line="360" w:lineRule="auto"/>
        <w:ind w:firstLine="480"/>
        <w:rPr>
          <w:rFonts w:hint="eastAsia"/>
          <w:u w:val="none"/>
        </w:rPr>
      </w:pPr>
      <w:r>
        <w:rPr>
          <w:rFonts w:hint="eastAsia"/>
          <w:u w:val="none"/>
          <w:lang w:eastAsia="zh-CN"/>
        </w:rPr>
        <w:t>（</w:t>
      </w:r>
      <w:r>
        <w:rPr>
          <w:rFonts w:hint="eastAsia"/>
          <w:u w:val="none"/>
          <w:lang w:val="en-US" w:eastAsia="zh-CN"/>
        </w:rPr>
        <w:t>2</w:t>
      </w:r>
      <w:r>
        <w:rPr>
          <w:rFonts w:hint="eastAsia"/>
          <w:u w:val="none"/>
          <w:lang w:eastAsia="zh-CN"/>
        </w:rPr>
        <w:t>）</w:t>
      </w:r>
      <w:r>
        <w:rPr>
          <w:rFonts w:hint="eastAsia"/>
          <w:u w:val="none"/>
        </w:rPr>
        <w:t>甲方已经使用的，</w:t>
      </w:r>
      <w:r>
        <w:rPr>
          <w:rFonts w:hint="eastAsia"/>
          <w:u w:val="none"/>
          <w:lang w:val="en-US" w:eastAsia="zh-CN"/>
        </w:rPr>
        <w:t>若第三方</w:t>
      </w:r>
      <w:r>
        <w:rPr>
          <w:rFonts w:hint="eastAsia"/>
          <w:u w:val="none"/>
        </w:rPr>
        <w:t>检测出交付产品中含有</w:t>
      </w:r>
      <w:r>
        <w:rPr>
          <w:rFonts w:hint="eastAsia"/>
          <w:u w:val="none"/>
          <w:lang w:val="en-US" w:eastAsia="zh-CN"/>
        </w:rPr>
        <w:t>不符合本合同规定的基础参数要求</w:t>
      </w:r>
      <w:r>
        <w:rPr>
          <w:rFonts w:hint="eastAsia"/>
          <w:u w:val="none"/>
        </w:rPr>
        <w:t>（以具备相应资质的第三方认定为准）</w:t>
      </w:r>
      <w:r>
        <w:rPr>
          <w:rFonts w:hint="eastAsia"/>
          <w:u w:val="none"/>
          <w:lang w:val="en-US" w:eastAsia="zh-CN"/>
        </w:rPr>
        <w:t>的</w:t>
      </w:r>
      <w:r>
        <w:rPr>
          <w:rFonts w:hint="eastAsia"/>
          <w:u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pStyle w:val="24"/>
        <w:spacing w:before="0" w:beforeAutospacing="0" w:after="0" w:afterAutospacing="0" w:line="360" w:lineRule="auto"/>
        <w:ind w:firstLine="480"/>
        <w:rPr>
          <w:rFonts w:hint="default"/>
          <w:u w:val="single"/>
          <w:lang w:val="en-US" w:eastAsia="zh-CN"/>
        </w:rPr>
      </w:pPr>
      <w:r>
        <w:rPr>
          <w:rFonts w:hint="eastAsia"/>
          <w:u w:val="single"/>
          <w:lang w:val="en-US" w:eastAsia="zh-CN"/>
        </w:rPr>
        <w:t>为免争议，乙方确认其已明确知晓本合同下货物系用于冷却塔备件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pStyle w:val="24"/>
        <w:spacing w:before="0" w:beforeAutospacing="0" w:after="0" w:afterAutospacing="0" w:line="360" w:lineRule="auto"/>
        <w:ind w:firstLine="480"/>
        <w:rPr>
          <w:rFonts w:hint="eastAsia"/>
          <w:u w:val="none"/>
          <w:lang w:val="en-US" w:eastAsia="zh-CN"/>
        </w:rPr>
      </w:pPr>
      <w:r>
        <w:rPr>
          <w:rFonts w:hint="eastAsia"/>
          <w:u w:val="none"/>
          <w:lang w:val="en-US" w:eastAsia="zh-CN"/>
        </w:rPr>
        <w:t>2</w:t>
      </w:r>
      <w:r>
        <w:rPr>
          <w:rFonts w:hint="eastAsia"/>
          <w:u w:val="none"/>
        </w:rPr>
        <w:t>.除不可抗力外，如果乙方没有按照本合同约定的期限、地点和方式交付货物，那么甲方可要求乙方支付违约金，违约金每迟延交付货物一日按应交付而未交付</w:t>
      </w:r>
      <w:r>
        <w:rPr>
          <w:rFonts w:hint="eastAsia"/>
          <w:u w:val="none"/>
          <w:lang w:val="en-US" w:eastAsia="zh-CN"/>
        </w:rPr>
        <w:t>货物</w:t>
      </w:r>
      <w:r>
        <w:rPr>
          <w:rFonts w:hint="eastAsia"/>
          <w:u w:val="none"/>
        </w:rPr>
        <w:t xml:space="preserve">的含税总金额的 0.1 %计算，迟延交付货物  </w:t>
      </w:r>
      <w:r>
        <w:rPr>
          <w:rFonts w:hint="eastAsia"/>
          <w:u w:val="none"/>
          <w:lang w:val="en-US" w:eastAsia="zh-CN"/>
        </w:rPr>
        <w:t>15</w:t>
      </w:r>
      <w:r>
        <w:rPr>
          <w:rFonts w:hint="eastAsia"/>
          <w:u w:val="none"/>
        </w:rPr>
        <w:t xml:space="preserve"> 天的，甲方有权单方解除本合同，并要求乙方</w:t>
      </w:r>
      <w:r>
        <w:rPr>
          <w:rFonts w:hint="eastAsia"/>
          <w:u w:val="none"/>
          <w:lang w:val="en-US" w:eastAsia="zh-CN"/>
        </w:rPr>
        <w:t>一次性</w:t>
      </w:r>
      <w:r>
        <w:rPr>
          <w:rFonts w:hint="eastAsia"/>
          <w:u w:val="none"/>
        </w:rPr>
        <w:t>承担（□本合同累计已发生金额/□合同约定总金额</w:t>
      </w:r>
      <w:r>
        <w:rPr>
          <w:rFonts w:hint="eastAsia"/>
          <w:u w:val="none"/>
          <w:lang w:val="en-US" w:eastAsia="zh-CN"/>
        </w:rPr>
        <w:t>/</w:t>
      </w:r>
      <w:r>
        <w:rPr>
          <w:rFonts w:hint="eastAsia"/>
          <w:u w:val="none"/>
          <w:lang w:eastAsia="zh-CN"/>
        </w:rPr>
        <w:t>☑</w:t>
      </w:r>
      <w:r>
        <w:rPr>
          <w:rFonts w:hint="eastAsia"/>
          <w:u w:val="none"/>
          <w:lang w:val="en-US" w:eastAsia="zh-CN"/>
        </w:rPr>
        <w:t>应交付而未交付货物的含税总金额</w:t>
      </w:r>
      <w:r>
        <w:rPr>
          <w:rFonts w:hint="eastAsia"/>
          <w:u w:val="none"/>
        </w:rPr>
        <w:t>）30%的违约</w:t>
      </w:r>
      <w:r>
        <w:rPr>
          <w:rFonts w:hint="eastAsia"/>
          <w:u w:val="none"/>
          <w:lang w:val="en-US" w:eastAsia="zh-CN"/>
        </w:rPr>
        <w:t>金。经双方同意延期的情形不在此列。</w:t>
      </w:r>
    </w:p>
    <w:p>
      <w:pPr>
        <w:pStyle w:val="24"/>
        <w:spacing w:before="0" w:beforeAutospacing="0" w:after="0" w:afterAutospacing="0" w:line="360" w:lineRule="auto"/>
        <w:ind w:firstLine="480"/>
        <w:rPr>
          <w:rFonts w:hint="eastAsia"/>
          <w:u w:val="none"/>
          <w:lang w:val="en-US" w:eastAsia="zh-CN"/>
        </w:rPr>
      </w:pPr>
      <w:r>
        <w:rPr>
          <w:rFonts w:hint="eastAsia"/>
          <w:u w:val="none"/>
          <w:lang w:val="en-US" w:eastAsia="zh-CN"/>
        </w:rPr>
        <w:t>具体按以下情形执行：</w:t>
      </w:r>
    </w:p>
    <w:p>
      <w:pPr>
        <w:pStyle w:val="24"/>
        <w:spacing w:before="0" w:beforeAutospacing="0" w:after="0" w:afterAutospacing="0" w:line="360" w:lineRule="auto"/>
        <w:ind w:firstLine="480"/>
        <w:rPr>
          <w:rFonts w:hint="eastAsia"/>
          <w:u w:val="none"/>
          <w:lang w:val="en-US" w:eastAsia="zh-CN"/>
        </w:rPr>
      </w:pPr>
      <w:r>
        <w:rPr>
          <w:rFonts w:hint="eastAsia"/>
          <w:u w:val="none"/>
          <w:lang w:val="en-US" w:eastAsia="zh-CN"/>
        </w:rPr>
        <w:t>（1）未中止或解除合同的，</w:t>
      </w:r>
      <w:r>
        <w:rPr>
          <w:rFonts w:hint="eastAsia"/>
          <w:u w:val="none"/>
        </w:rPr>
        <w:t>违约</w:t>
      </w:r>
      <w:r>
        <w:rPr>
          <w:rFonts w:hint="eastAsia"/>
          <w:u w:val="none"/>
          <w:lang w:val="en-US" w:eastAsia="zh-CN"/>
        </w:rPr>
        <w:t>金甲方有权优先从履约保证金扣除，不足部分从已供货未结算的货款中扣除；若无履约保证金的，甲方有权直接从已供货未结算的货款中扣除</w:t>
      </w:r>
      <w:r>
        <w:rPr>
          <w:rFonts w:hint="eastAsia"/>
          <w:u w:val="none"/>
        </w:rPr>
        <w:t>违约</w:t>
      </w:r>
      <w:r>
        <w:rPr>
          <w:rFonts w:hint="eastAsia"/>
          <w:u w:val="none"/>
          <w:lang w:val="en-US" w:eastAsia="zh-CN"/>
        </w:rPr>
        <w:t>金。</w:t>
      </w:r>
    </w:p>
    <w:p>
      <w:pPr>
        <w:pStyle w:val="24"/>
        <w:spacing w:before="0" w:beforeAutospacing="0" w:after="0" w:afterAutospacing="0" w:line="360" w:lineRule="auto"/>
        <w:ind w:firstLine="480"/>
        <w:rPr>
          <w:rFonts w:hint="default"/>
          <w:u w:val="none"/>
          <w:lang w:val="en-US" w:eastAsia="zh-CN"/>
        </w:rPr>
      </w:pPr>
      <w:r>
        <w:rPr>
          <w:rFonts w:hint="eastAsia"/>
          <w:u w:val="none"/>
          <w:lang w:val="en-US" w:eastAsia="zh-CN"/>
        </w:rPr>
        <w:t>（2）中止或解除合同的，甲方扣除全额履约保证金，</w:t>
      </w:r>
      <w:r>
        <w:rPr>
          <w:rFonts w:hint="eastAsia"/>
          <w:u w:val="none"/>
        </w:rPr>
        <w:t>违约</w:t>
      </w:r>
      <w:r>
        <w:rPr>
          <w:rFonts w:hint="eastAsia"/>
          <w:u w:val="none"/>
          <w:lang w:val="en-US" w:eastAsia="zh-CN"/>
        </w:rPr>
        <w:t>金甲方从已供货未结算的货款中扣除；若无履约保证金的，甲方直接从已供货未结算的货款中扣除</w:t>
      </w:r>
      <w:r>
        <w:rPr>
          <w:rFonts w:hint="eastAsia"/>
          <w:u w:val="none"/>
        </w:rPr>
        <w:t>违约</w:t>
      </w:r>
      <w:r>
        <w:rPr>
          <w:rFonts w:hint="eastAsia"/>
          <w:u w:val="none"/>
          <w:lang w:val="en-US" w:eastAsia="zh-CN"/>
        </w:rPr>
        <w:t>金。</w:t>
      </w:r>
    </w:p>
    <w:p>
      <w:pPr>
        <w:pStyle w:val="24"/>
        <w:spacing w:before="0" w:beforeAutospacing="0" w:after="0" w:afterAutospacing="0" w:line="360" w:lineRule="auto"/>
        <w:ind w:firstLine="480"/>
        <w:rPr>
          <w:rFonts w:hint="eastAsia"/>
          <w:u w:val="none"/>
        </w:rPr>
      </w:pPr>
      <w:r>
        <w:rPr>
          <w:rFonts w:hint="eastAsia"/>
          <w:u w:val="none"/>
          <w:lang w:val="en-US" w:eastAsia="zh-CN"/>
        </w:rPr>
        <w:t>3</w:t>
      </w:r>
      <w:r>
        <w:rPr>
          <w:rFonts w:hint="eastAsia"/>
          <w:u w:val="none"/>
        </w:rPr>
        <w:t>.除不可抗力外，如果甲方</w:t>
      </w:r>
      <w:r>
        <w:rPr>
          <w:rFonts w:hint="eastAsia"/>
          <w:u w:val="none"/>
          <w:lang w:val="en-US" w:eastAsia="zh-CN"/>
        </w:rPr>
        <w:t>无故</w:t>
      </w:r>
      <w:r>
        <w:rPr>
          <w:rFonts w:hint="eastAsia"/>
          <w:u w:val="none"/>
        </w:rPr>
        <w:t xml:space="preserve">没有按照本合同约定的付款方式付款，那么乙方可要求甲方支付违约金，违约金按每迟延付款一日的应付而未付款的 0.05  %计算，迟延付款  </w:t>
      </w:r>
      <w:r>
        <w:rPr>
          <w:rFonts w:hint="eastAsia"/>
          <w:u w:val="none"/>
          <w:lang w:val="en-US" w:eastAsia="zh-CN"/>
        </w:rPr>
        <w:t xml:space="preserve">30 </w:t>
      </w:r>
      <w:r>
        <w:rPr>
          <w:rFonts w:hint="eastAsia"/>
          <w:u w:val="none"/>
        </w:rPr>
        <w:t>天的，乙方有权在要求甲方支付违约金的同时，书面通知甲方解除本合同；</w:t>
      </w:r>
    </w:p>
    <w:p>
      <w:pPr>
        <w:pStyle w:val="24"/>
        <w:spacing w:before="0" w:beforeAutospacing="0" w:after="0" w:afterAutospacing="0" w:line="360" w:lineRule="auto"/>
        <w:ind w:firstLine="480"/>
        <w:rPr>
          <w:rFonts w:hint="eastAsia"/>
          <w:u w:val="none"/>
        </w:rPr>
      </w:pPr>
      <w:r>
        <w:rPr>
          <w:rFonts w:hint="eastAsia"/>
          <w:u w:val="none"/>
          <w:lang w:val="en-US" w:eastAsia="zh-CN"/>
        </w:rPr>
        <w:t>4</w:t>
      </w:r>
      <w:r>
        <w:rPr>
          <w:rFonts w:hint="eastAsia"/>
          <w:u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24"/>
        <w:spacing w:before="0" w:beforeAutospacing="0" w:after="0" w:afterAutospacing="0" w:line="360" w:lineRule="auto"/>
        <w:ind w:firstLine="480"/>
        <w:rPr>
          <w:rFonts w:hint="eastAsia"/>
          <w:u w:val="none"/>
        </w:rPr>
      </w:pPr>
      <w:r>
        <w:rPr>
          <w:rFonts w:hint="eastAsia"/>
          <w:u w:val="none"/>
          <w:lang w:val="en-US" w:eastAsia="zh-CN"/>
        </w:rPr>
        <w:t>5</w:t>
      </w:r>
      <w:r>
        <w:rPr>
          <w:rFonts w:hint="eastAsia"/>
          <w:u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24"/>
        <w:spacing w:before="0" w:beforeAutospacing="0" w:after="0" w:afterAutospacing="0" w:line="360" w:lineRule="auto"/>
        <w:ind w:firstLine="480"/>
        <w:rPr>
          <w:rFonts w:hint="eastAsia"/>
          <w:u w:val="none"/>
        </w:rPr>
      </w:pPr>
      <w:r>
        <w:rPr>
          <w:rFonts w:hint="eastAsia"/>
          <w:u w:val="none"/>
          <w:lang w:val="en-US" w:eastAsia="zh-CN"/>
        </w:rPr>
        <w:t>6</w:t>
      </w:r>
      <w:r>
        <w:rPr>
          <w:rFonts w:hint="eastAsia"/>
          <w:u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pStyle w:val="24"/>
        <w:spacing w:before="0" w:beforeAutospacing="0" w:after="0" w:afterAutospacing="0" w:line="360" w:lineRule="auto"/>
        <w:ind w:firstLine="480"/>
        <w:rPr>
          <w:rFonts w:hint="eastAsia"/>
          <w:u w:val="single"/>
        </w:rPr>
      </w:pPr>
      <w:r>
        <w:rPr>
          <w:rFonts w:hint="eastAsia"/>
          <w:u w:val="single"/>
          <w:lang w:val="en-US" w:eastAsia="zh-CN"/>
        </w:rPr>
        <w:t>7</w:t>
      </w:r>
      <w:r>
        <w:rPr>
          <w:rFonts w:hint="eastAsia"/>
          <w:u w:val="single"/>
        </w:rPr>
        <w:t>.违约责任另有约定具体如下：</w:t>
      </w:r>
    </w:p>
    <w:p>
      <w:pPr>
        <w:pStyle w:val="24"/>
        <w:spacing w:before="0" w:beforeAutospacing="0" w:after="0" w:afterAutospacing="0" w:line="360" w:lineRule="auto"/>
        <w:ind w:firstLine="480"/>
        <w:rPr>
          <w:rFonts w:hint="default"/>
          <w:u w:val="single"/>
          <w:lang w:val="en-US" w:eastAsia="zh-CN"/>
        </w:rPr>
      </w:pPr>
      <w:r>
        <w:rPr>
          <w:rFonts w:hint="eastAsia"/>
          <w:u w:val="single"/>
        </w:rPr>
        <w:t>（1）乙方交付的货物不符合合同约定或验收不合格的，应当及时更换，因此延误交货期限的，按照逾期交货承担违约责任 ；</w:t>
      </w:r>
      <w:r>
        <w:rPr>
          <w:rFonts w:hint="eastAsia"/>
          <w:u w:val="single"/>
          <w:lang w:val="en-US" w:eastAsia="zh-CN"/>
        </w:rPr>
        <w:t>乙方交付的货物三次以上不符合合同约定/验收不合格，或乙方未及时更换且经甲方催告后仍未更换的，甲方有权解除本合同，并要求乙方承担本合同总金额30%的违约金。</w:t>
      </w:r>
    </w:p>
    <w:p>
      <w:pPr>
        <w:pStyle w:val="24"/>
        <w:spacing w:before="0" w:beforeAutospacing="0" w:after="0" w:afterAutospacing="0" w:line="360" w:lineRule="auto"/>
        <w:ind w:firstLine="480"/>
        <w:rPr>
          <w:rFonts w:hint="eastAsia"/>
          <w:u w:val="single"/>
        </w:rPr>
      </w:pPr>
      <w:r>
        <w:rPr>
          <w:rFonts w:hint="eastAsia"/>
          <w:u w:val="single"/>
        </w:rPr>
        <w:t>（2）乙方不履行售后服务义务的，每次应向甲方承担1000元的违约金，且仍应履行售后服务义务；违约</w:t>
      </w:r>
      <w:r>
        <w:rPr>
          <w:rFonts w:hint="eastAsia"/>
          <w:u w:val="single"/>
          <w:lang w:val="en-US" w:eastAsia="zh-CN"/>
        </w:rPr>
        <w:t>金甲方有权优先从履约保证金扣除，不足部分从已供货未结算的货款中扣除；若无履约保证金的，甲方有权直接从已供货未结算的货款中扣除；</w:t>
      </w:r>
    </w:p>
    <w:p>
      <w:pPr>
        <w:pStyle w:val="24"/>
        <w:spacing w:before="0" w:beforeAutospacing="0" w:after="0" w:afterAutospacing="0" w:line="360" w:lineRule="auto"/>
        <w:ind w:firstLine="480"/>
        <w:rPr>
          <w:rFonts w:hint="eastAsia"/>
          <w:u w:val="single"/>
          <w:lang w:eastAsia="zh-CN"/>
        </w:rPr>
      </w:pPr>
      <w:r>
        <w:rPr>
          <w:rFonts w:hint="eastAsia"/>
          <w:u w:val="single"/>
        </w:rPr>
        <w:t>（3）甲方无故拒收货物，乙方有权要求甲方按照合同原价支付货款</w:t>
      </w:r>
      <w:r>
        <w:rPr>
          <w:rFonts w:hint="eastAsia"/>
          <w:u w:val="single"/>
          <w:lang w:eastAsia="zh-CN"/>
        </w:rPr>
        <w:t>；</w:t>
      </w:r>
    </w:p>
    <w:p>
      <w:pPr>
        <w:pStyle w:val="24"/>
        <w:spacing w:before="0" w:beforeAutospacing="0" w:after="0" w:afterAutospacing="0" w:line="360" w:lineRule="auto"/>
        <w:ind w:firstLine="480"/>
        <w:rPr>
          <w:rFonts w:hint="eastAsia"/>
          <w:u w:val="single"/>
        </w:rPr>
      </w:pPr>
      <w:r>
        <w:rPr>
          <w:rFonts w:hint="eastAsia"/>
          <w:u w:val="single"/>
        </w:rPr>
        <w:t>（4）若质保期内出现质量问题，甲方有权从质保金中扣除违约金，同时乙方应免费维修或更换。</w:t>
      </w:r>
    </w:p>
    <w:p>
      <w:pPr>
        <w:pStyle w:val="24"/>
        <w:spacing w:before="0" w:beforeAutospacing="0" w:after="0" w:afterAutospacing="0" w:line="360" w:lineRule="auto"/>
        <w:ind w:firstLine="480"/>
        <w:rPr>
          <w:rFonts w:hint="eastAsia"/>
          <w:u w:val="none"/>
        </w:rPr>
      </w:pPr>
      <w:r>
        <w:rPr>
          <w:rFonts w:hint="eastAsia"/>
          <w:u w:val="none"/>
          <w:lang w:val="en-US" w:eastAsia="zh-CN"/>
        </w:rPr>
        <w:t>8.在使用乙方提供的货物或者服务过程中，因产品质量或乙方其他问题给机械设备造成故障或货物损坏，由乙方承担甲方的一切损失，包括直接和间接损失。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lang w:val="en-US" w:eastAsia="zh-CN"/>
        </w:rPr>
        <w:t>甲方三份，乙方一份，</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ind w:left="0" w:leftChars="0" w:firstLine="0" w:firstLineChars="0"/>
        <w:rPr>
          <w:rFonts w:hint="eastAsia" w:ascii="宋体" w:hAnsi="宋体"/>
        </w:rPr>
      </w:pPr>
    </w:p>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8763"/>
      <w:bookmarkStart w:id="409" w:name="_Ref467378404"/>
      <w:bookmarkStart w:id="410" w:name="_Ref467379214"/>
      <w:bookmarkStart w:id="411" w:name="_Ref467378499"/>
      <w:bookmarkStart w:id="412" w:name="_Ref467379101"/>
      <w:bookmarkStart w:id="413" w:name="_Toc19614"/>
      <w:bookmarkStart w:id="414" w:name="_Ref467379094"/>
      <w:bookmarkStart w:id="415" w:name="_Ref467379205"/>
      <w:bookmarkStart w:id="416" w:name="_Ref467378463"/>
      <w:bookmarkStart w:id="417" w:name="_Ref467379109"/>
      <w:bookmarkStart w:id="418" w:name="_Toc259093669"/>
      <w:bookmarkStart w:id="419" w:name="_Ref467379195"/>
      <w:bookmarkStart w:id="420" w:name="_Ref467379225"/>
      <w:bookmarkStart w:id="421" w:name="_Toc279701240"/>
      <w:bookmarkStart w:id="422" w:name="_Toc16917"/>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32504"/>
      <w:bookmarkStart w:id="429" w:name="_Toc279701241"/>
      <w:bookmarkStart w:id="430" w:name="_Toc259093670"/>
      <w:bookmarkStart w:id="431" w:name="_Toc487900350"/>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59093671"/>
      <w:bookmarkStart w:id="435" w:name="_Toc487900351"/>
      <w:bookmarkStart w:id="436" w:name="_Toc9829"/>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Toc27970124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Toc279701248"/>
      <w:bookmarkStart w:id="454" w:name="_Ref467379852"/>
      <w:bookmarkStart w:id="455" w:name="_Ref467379863"/>
      <w:bookmarkStart w:id="456" w:name="_Toc487900358"/>
      <w:bookmarkStart w:id="457" w:name="_Ref467379923"/>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487900365"/>
      <w:bookmarkStart w:id="483" w:name="_Toc689"/>
      <w:bookmarkStart w:id="484" w:name="_Toc259093684"/>
      <w:bookmarkStart w:id="485" w:name="_Toc27970125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259093687"/>
      <w:bookmarkStart w:id="489" w:name="_Toc279701258"/>
      <w:bookmarkStart w:id="490" w:name="_Toc16959"/>
      <w:bookmarkStart w:id="491" w:name="_Toc48790036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259093691"/>
      <w:bookmarkStart w:id="506" w:name="_Toc18540"/>
      <w:bookmarkStart w:id="507" w:name="_Toc487900372"/>
      <w:bookmarkStart w:id="508" w:name="_Toc4355"/>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2773"/>
      <w:bookmarkStart w:id="512" w:name="_Toc487900373"/>
      <w:bookmarkStart w:id="513" w:name="_Toc18567"/>
      <w:bookmarkStart w:id="514" w:name="_Toc10330"/>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3"/>
      </w:pPr>
    </w:p>
    <w:p/>
    <w:p>
      <w:pPr>
        <w:pStyle w:val="3"/>
      </w:pPr>
    </w:p>
    <w:p/>
    <w:p>
      <w:pPr>
        <w:pStyle w:val="3"/>
      </w:pPr>
    </w:p>
    <w:p>
      <w:pPr>
        <w:pStyle w:val="2"/>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left="2798" w:leftChars="399" w:hanging="1960" w:hangingChars="700"/>
        <w:jc w:val="left"/>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lang w:val="en-US" w:eastAsia="zh-CN"/>
        </w:rPr>
        <w:t xml:space="preserve"> </w:t>
      </w:r>
      <w:r>
        <w:rPr>
          <w:rFonts w:hint="eastAsia" w:ascii="宋体" w:hAnsi="宋体" w:eastAsia="宋体" w:cs="宋体"/>
          <w:sz w:val="28"/>
          <w:szCs w:val="22"/>
          <w:u w:val="single"/>
          <w:lang w:eastAsia="zh-CN"/>
        </w:rPr>
        <w:t>2024年临江公司冷却塔备件采购项目</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202409012</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3"/>
      </w:pPr>
    </w:p>
    <w:p>
      <w:pPr>
        <w:pStyle w:val="2"/>
      </w:pPr>
    </w:p>
    <w:p/>
    <w:p/>
    <w:p/>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2024年临江公司冷却塔备件采购项目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202409012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3"/>
      </w:pPr>
    </w:p>
    <w:p>
      <w:pPr>
        <w:pStyle w:val="2"/>
      </w:pPr>
    </w:p>
    <w:p/>
    <w:p>
      <w:pPr>
        <w:pStyle w:val="3"/>
      </w:pPr>
    </w:p>
    <w:p>
      <w:pPr>
        <w:pStyle w:val="2"/>
      </w:pPr>
    </w:p>
    <w:p/>
    <w:p>
      <w:pPr>
        <w:pStyle w:val="3"/>
      </w:pPr>
    </w:p>
    <w:p>
      <w:pPr>
        <w:pStyle w:val="2"/>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3"/>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3"/>
      </w:pPr>
    </w:p>
    <w:p>
      <w:pPr>
        <w:pStyle w:val="2"/>
      </w:pPr>
    </w:p>
    <w:p>
      <w:pPr>
        <w:rPr>
          <w:highlight w:val="none"/>
        </w:rPr>
      </w:pPr>
    </w:p>
    <w:p>
      <w:pPr>
        <w:pStyle w:val="3"/>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2"/>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3"/>
      </w:pPr>
    </w:p>
    <w:p>
      <w:pPr>
        <w:pStyle w:val="2"/>
      </w:pPr>
    </w:p>
    <w:p>
      <w:pPr>
        <w:pStyle w:val="3"/>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Pr>
        <w:pStyle w:val="2"/>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2024年临江公司冷却塔备件采购项目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3"/>
      </w:pPr>
    </w:p>
    <w:p>
      <w:pPr>
        <w:pStyle w:val="2"/>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2024年临江公司冷却塔备件采购项目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3"/>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2024年临江公司冷却塔备件采购项目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3"/>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2024年临江公司冷却塔备件采购项目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3"/>
        <w:ind w:firstLine="480" w:firstLineChars="200"/>
        <w:jc w:val="left"/>
        <w:rPr>
          <w:rFonts w:hAnsi="宋体" w:cs="宋体"/>
        </w:rPr>
      </w:pPr>
    </w:p>
    <w:p>
      <w:pPr>
        <w:pStyle w:val="3"/>
        <w:ind w:firstLine="480" w:firstLineChars="200"/>
        <w:jc w:val="left"/>
        <w:rPr>
          <w:rFonts w:hAnsi="宋体" w:cs="宋体"/>
        </w:rPr>
      </w:pPr>
    </w:p>
    <w:p>
      <w:pPr>
        <w:pStyle w:val="3"/>
        <w:jc w:val="left"/>
        <w:rPr>
          <w:rFonts w:hAnsi="宋体" w:cs="宋体"/>
        </w:rPr>
      </w:pPr>
      <w:r>
        <w:rPr>
          <w:rFonts w:hint="eastAsia" w:hAnsi="宋体" w:cs="宋体"/>
        </w:rPr>
        <w:t>供应商名称：（盖单位公章）</w:t>
      </w:r>
    </w:p>
    <w:p>
      <w:pPr>
        <w:pStyle w:val="3"/>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3"/>
        <w:tabs>
          <w:tab w:val="left" w:pos="4101"/>
        </w:tabs>
        <w:jc w:val="left"/>
        <w:rPr>
          <w:rFonts w:hAnsi="宋体" w:cs="宋体"/>
        </w:rPr>
      </w:pPr>
      <w:r>
        <w:rPr>
          <w:rFonts w:hint="eastAsia" w:hAnsi="宋体" w:cs="宋体"/>
        </w:rPr>
        <w:t>地址：</w:t>
      </w:r>
    </w:p>
    <w:p>
      <w:pPr>
        <w:pStyle w:val="3"/>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2024年临江公司冷却塔备件采购项目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2"/>
        <w:gridCol w:w="1920"/>
        <w:gridCol w:w="1980"/>
        <w:gridCol w:w="3660"/>
        <w:gridCol w:w="905"/>
        <w:gridCol w:w="913"/>
        <w:gridCol w:w="1507"/>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8" w:hRule="atLeast"/>
          <w:jc w:val="center"/>
        </w:trPr>
        <w:tc>
          <w:tcPr>
            <w:tcW w:w="1072"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序号</w:t>
            </w:r>
          </w:p>
        </w:tc>
        <w:tc>
          <w:tcPr>
            <w:tcW w:w="1920"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物资名称</w:t>
            </w:r>
          </w:p>
        </w:tc>
        <w:tc>
          <w:tcPr>
            <w:tcW w:w="1980" w:type="dxa"/>
            <w:shd w:val="clear" w:color="auto" w:fill="auto"/>
            <w:vAlign w:val="center"/>
          </w:tcPr>
          <w:p>
            <w:pPr>
              <w:jc w:val="center"/>
              <w:rPr>
                <w:rFonts w:hint="default"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品牌</w:t>
            </w:r>
          </w:p>
        </w:tc>
        <w:tc>
          <w:tcPr>
            <w:tcW w:w="3660"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型号规格</w:t>
            </w:r>
          </w:p>
        </w:tc>
        <w:tc>
          <w:tcPr>
            <w:tcW w:w="905"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单位</w:t>
            </w:r>
          </w:p>
        </w:tc>
        <w:tc>
          <w:tcPr>
            <w:tcW w:w="913"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数量</w:t>
            </w:r>
          </w:p>
        </w:tc>
        <w:tc>
          <w:tcPr>
            <w:tcW w:w="1507"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单价（元）</w:t>
            </w:r>
          </w:p>
        </w:tc>
        <w:tc>
          <w:tcPr>
            <w:tcW w:w="1646"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20"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减速机</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尔华杰</w:t>
            </w:r>
          </w:p>
        </w:tc>
        <w:tc>
          <w:tcPr>
            <w:tcW w:w="36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MSRL400/12.78</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20"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散热风扇</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上海瑞嘉化工</w:t>
            </w:r>
          </w:p>
        </w:tc>
        <w:tc>
          <w:tcPr>
            <w:tcW w:w="36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MSRL400-FS-Φ95，材质ABS</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920"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铝衬轴套</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上海瑞嘉化工</w:t>
            </w:r>
          </w:p>
        </w:tc>
        <w:tc>
          <w:tcPr>
            <w:tcW w:w="36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MSRL400-FSB(d-2)-Φ95，材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质铝</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20"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叶片</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上海瑞嘉化工</w:t>
            </w:r>
          </w:p>
        </w:tc>
        <w:tc>
          <w:tcPr>
            <w:tcW w:w="36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9754DXZ06，材质FRP</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920"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轮毂</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上海瑞嘉化工</w:t>
            </w:r>
          </w:p>
        </w:tc>
        <w:tc>
          <w:tcPr>
            <w:tcW w:w="36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4430SG140，热镀锌组合件，内含卡套</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92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联轴器电机端</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上海瑞嘉化工</w:t>
            </w:r>
          </w:p>
        </w:tc>
        <w:tc>
          <w:tcPr>
            <w:tcW w:w="36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TC229-6R-D，材质304</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92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联轴器减速机端</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上海瑞嘉化工</w:t>
            </w:r>
          </w:p>
        </w:tc>
        <w:tc>
          <w:tcPr>
            <w:tcW w:w="36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TC229-6R-J，材质304</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92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碳纤维轴</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ADDAX</w:t>
            </w:r>
          </w:p>
        </w:tc>
        <w:tc>
          <w:tcPr>
            <w:tcW w:w="36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DBSE4200，材质碳纤维</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92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膜片</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ADDAX</w:t>
            </w:r>
          </w:p>
        </w:tc>
        <w:tc>
          <w:tcPr>
            <w:tcW w:w="36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REXNORD/PART-D，复合型</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92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膜片</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ADDAX</w:t>
            </w:r>
          </w:p>
        </w:tc>
        <w:tc>
          <w:tcPr>
            <w:tcW w:w="36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REXNORD/PART-J，复合型</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9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下喷头</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上海瑞嘉化工</w:t>
            </w:r>
          </w:p>
        </w:tc>
        <w:tc>
          <w:tcPr>
            <w:tcW w:w="36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VK-1，材质PP</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9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喷嘴</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上海瑞嘉化工</w:t>
            </w:r>
          </w:p>
        </w:tc>
        <w:tc>
          <w:tcPr>
            <w:tcW w:w="36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VK-1，口径Φ34，材质PP</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920"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接长管</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上海瑞嘉化工</w:t>
            </w:r>
          </w:p>
        </w:tc>
        <w:tc>
          <w:tcPr>
            <w:tcW w:w="36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VK-1，口径Φ50，材质ABS</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0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92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底座</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上海瑞嘉化工</w:t>
            </w:r>
          </w:p>
        </w:tc>
        <w:tc>
          <w:tcPr>
            <w:tcW w:w="36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VK-1P，材质PP</w:t>
            </w:r>
          </w:p>
        </w:tc>
        <w:tc>
          <w:tcPr>
            <w:tcW w:w="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632" w:type="dxa"/>
            <w:gridSpan w:val="4"/>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1"/>
                <w:szCs w:val="21"/>
              </w:rPr>
              <w:t>响应报价合计（小写）</w:t>
            </w:r>
          </w:p>
        </w:tc>
        <w:tc>
          <w:tcPr>
            <w:tcW w:w="4971"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8632"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1"/>
                <w:szCs w:val="21"/>
              </w:rPr>
              <w:t>响应报价合计（大写）</w:t>
            </w:r>
          </w:p>
        </w:tc>
        <w:tc>
          <w:tcPr>
            <w:tcW w:w="4971"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632"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1"/>
                <w:szCs w:val="21"/>
              </w:rPr>
              <w:t>税率</w:t>
            </w:r>
          </w:p>
        </w:tc>
        <w:tc>
          <w:tcPr>
            <w:tcW w:w="4971"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en-US" w:eastAsia="zh-CN"/>
        </w:rPr>
        <w:t>3</w:t>
      </w:r>
      <w:r>
        <w:rPr>
          <w:rFonts w:hint="eastAsia" w:ascii="宋体" w:hAnsi="宋体" w:cs="宋体"/>
          <w:kern w:val="0"/>
          <w:sz w:val="24"/>
          <w:lang w:val="zh-CN"/>
        </w:rPr>
        <w:t>、特别提示：采购人将对项目名称和项目编号，成交供应商名称、成交金额予以公示。</w:t>
      </w:r>
    </w:p>
    <w:p>
      <w:pPr>
        <w:pStyle w:val="3"/>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r>
        <w:rPr>
          <w:rFonts w:hint="eastAsia" w:hAnsi="宋体" w:cs="宋体"/>
          <w:b/>
          <w:sz w:val="32"/>
          <w:szCs w:val="32"/>
          <w:lang w:val="en-US" w:eastAsia="zh-CN"/>
        </w:rPr>
        <w:t xml:space="preserve">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本项目无需提供</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2024年临江公司冷却塔备件采购项目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3"/>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2024年临江公司冷却塔备件采购项目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default" w:ascii="宋体" w:hAnsi="宋体" w:cs="宋体" w:eastAsiaTheme="minorEastAsia"/>
          <w:b/>
          <w:spacing w:val="6"/>
          <w:sz w:val="32"/>
          <w:szCs w:val="32"/>
          <w:lang w:val="en-US" w:eastAsia="zh-CN"/>
        </w:rPr>
      </w:pPr>
      <w:r>
        <w:rPr>
          <w:rFonts w:hint="eastAsia" w:ascii="宋体" w:hAnsi="宋体" w:cs="宋体"/>
          <w:b/>
          <w:spacing w:val="6"/>
          <w:sz w:val="32"/>
          <w:szCs w:val="32"/>
          <w:lang w:val="en-US" w:eastAsia="zh-CN"/>
        </w:rPr>
        <w:t>附件2：</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3</w:t>
      </w:r>
      <w:r>
        <w:rPr>
          <w:rFonts w:hint="eastAsia" w:cs="仿宋" w:asciiTheme="minorEastAsia" w:hAnsiTheme="minorEastAsia"/>
          <w:b/>
          <w:spacing w:val="6"/>
          <w:sz w:val="32"/>
          <w:szCs w:val="32"/>
        </w:rPr>
        <w:t>：</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2024年临江公司冷却塔备件采购项目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2024年临江公司冷却塔备件采购项目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202409012</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3"/>
      </w:pPr>
    </w:p>
    <w:p>
      <w:pPr>
        <w:pStyle w:val="2"/>
      </w:pPr>
    </w:p>
    <w:p>
      <w:pPr>
        <w:pStyle w:val="4"/>
      </w:pPr>
    </w:p>
    <w:p>
      <w:pPr>
        <w:pStyle w:val="10"/>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2802FC"/>
    <w:rsid w:val="023E1286"/>
    <w:rsid w:val="029C7664"/>
    <w:rsid w:val="030669ED"/>
    <w:rsid w:val="03114ABC"/>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4E3C28"/>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394A86"/>
    <w:rsid w:val="11B04EDA"/>
    <w:rsid w:val="11C46A46"/>
    <w:rsid w:val="11D64215"/>
    <w:rsid w:val="11F35B37"/>
    <w:rsid w:val="12D86145"/>
    <w:rsid w:val="12E110C3"/>
    <w:rsid w:val="135A601C"/>
    <w:rsid w:val="13AF5667"/>
    <w:rsid w:val="143E2438"/>
    <w:rsid w:val="14DF7D0B"/>
    <w:rsid w:val="152B7330"/>
    <w:rsid w:val="152C0D1B"/>
    <w:rsid w:val="15CB2DA0"/>
    <w:rsid w:val="16135A37"/>
    <w:rsid w:val="1656417E"/>
    <w:rsid w:val="166F3635"/>
    <w:rsid w:val="16806E74"/>
    <w:rsid w:val="171360CB"/>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BE44C9"/>
    <w:rsid w:val="25650E5F"/>
    <w:rsid w:val="2569246D"/>
    <w:rsid w:val="25C26B32"/>
    <w:rsid w:val="26010880"/>
    <w:rsid w:val="26C2328E"/>
    <w:rsid w:val="26F15921"/>
    <w:rsid w:val="27725FDB"/>
    <w:rsid w:val="279027DB"/>
    <w:rsid w:val="28261749"/>
    <w:rsid w:val="28D92620"/>
    <w:rsid w:val="294E0F60"/>
    <w:rsid w:val="2987716A"/>
    <w:rsid w:val="29AE18A7"/>
    <w:rsid w:val="2A6366FF"/>
    <w:rsid w:val="2B3D5BF4"/>
    <w:rsid w:val="2C4141D8"/>
    <w:rsid w:val="2C950AFD"/>
    <w:rsid w:val="2D210C4A"/>
    <w:rsid w:val="2D856C21"/>
    <w:rsid w:val="2E7A56DC"/>
    <w:rsid w:val="2E9F315C"/>
    <w:rsid w:val="2E9F5DB1"/>
    <w:rsid w:val="2EBA484A"/>
    <w:rsid w:val="2F4D3609"/>
    <w:rsid w:val="2F5836E9"/>
    <w:rsid w:val="300206D5"/>
    <w:rsid w:val="30062480"/>
    <w:rsid w:val="30556F21"/>
    <w:rsid w:val="308C5F1F"/>
    <w:rsid w:val="30AF5EDA"/>
    <w:rsid w:val="31111553"/>
    <w:rsid w:val="31191AA6"/>
    <w:rsid w:val="314B6E80"/>
    <w:rsid w:val="326E6078"/>
    <w:rsid w:val="32843E96"/>
    <w:rsid w:val="32C410E7"/>
    <w:rsid w:val="32EC2577"/>
    <w:rsid w:val="334341C1"/>
    <w:rsid w:val="34155E66"/>
    <w:rsid w:val="34321955"/>
    <w:rsid w:val="34454474"/>
    <w:rsid w:val="34AF40BC"/>
    <w:rsid w:val="35864E6E"/>
    <w:rsid w:val="36162BCB"/>
    <w:rsid w:val="364530C9"/>
    <w:rsid w:val="36483084"/>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3828"/>
    <w:rsid w:val="415A5C88"/>
    <w:rsid w:val="417A549F"/>
    <w:rsid w:val="41CE08E1"/>
    <w:rsid w:val="42112513"/>
    <w:rsid w:val="433C7ACC"/>
    <w:rsid w:val="435518AD"/>
    <w:rsid w:val="43C04259"/>
    <w:rsid w:val="43C354C4"/>
    <w:rsid w:val="43EB4D91"/>
    <w:rsid w:val="44A040E0"/>
    <w:rsid w:val="44C67F95"/>
    <w:rsid w:val="44F22D84"/>
    <w:rsid w:val="4557347D"/>
    <w:rsid w:val="4559568A"/>
    <w:rsid w:val="45A47533"/>
    <w:rsid w:val="45F97EF6"/>
    <w:rsid w:val="46445615"/>
    <w:rsid w:val="46BC402D"/>
    <w:rsid w:val="472961BF"/>
    <w:rsid w:val="475528CD"/>
    <w:rsid w:val="47B265AF"/>
    <w:rsid w:val="4916491B"/>
    <w:rsid w:val="496717C4"/>
    <w:rsid w:val="4992015A"/>
    <w:rsid w:val="49ED38CE"/>
    <w:rsid w:val="4A063A4F"/>
    <w:rsid w:val="4A875AD1"/>
    <w:rsid w:val="4AE27CAC"/>
    <w:rsid w:val="4B1B2ECF"/>
    <w:rsid w:val="4B2E6F39"/>
    <w:rsid w:val="4B6E282F"/>
    <w:rsid w:val="4B7A4FCA"/>
    <w:rsid w:val="4BAC48C9"/>
    <w:rsid w:val="4BB27DC6"/>
    <w:rsid w:val="4C192E4D"/>
    <w:rsid w:val="4CD52BD1"/>
    <w:rsid w:val="4CEA2347"/>
    <w:rsid w:val="4D19039B"/>
    <w:rsid w:val="4D243428"/>
    <w:rsid w:val="4D2D7FC0"/>
    <w:rsid w:val="4DA84D66"/>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21550"/>
    <w:rsid w:val="52665BE8"/>
    <w:rsid w:val="52BE22AC"/>
    <w:rsid w:val="534456B9"/>
    <w:rsid w:val="53FA1DF3"/>
    <w:rsid w:val="54160086"/>
    <w:rsid w:val="54AA2A85"/>
    <w:rsid w:val="54AB2D04"/>
    <w:rsid w:val="557B35BC"/>
    <w:rsid w:val="55E900A2"/>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EB97875"/>
    <w:rsid w:val="5F0279C4"/>
    <w:rsid w:val="5F944466"/>
    <w:rsid w:val="5FBE7D8F"/>
    <w:rsid w:val="60470EFE"/>
    <w:rsid w:val="60844C26"/>
    <w:rsid w:val="609617DE"/>
    <w:rsid w:val="60A9029A"/>
    <w:rsid w:val="60DA29A7"/>
    <w:rsid w:val="60FA16F8"/>
    <w:rsid w:val="6139287F"/>
    <w:rsid w:val="61CA0C65"/>
    <w:rsid w:val="62C642C8"/>
    <w:rsid w:val="631B2246"/>
    <w:rsid w:val="6320666B"/>
    <w:rsid w:val="63CF15A0"/>
    <w:rsid w:val="64055963"/>
    <w:rsid w:val="6509228E"/>
    <w:rsid w:val="651255BC"/>
    <w:rsid w:val="655D65FD"/>
    <w:rsid w:val="65A92947"/>
    <w:rsid w:val="661A50B7"/>
    <w:rsid w:val="664B13EA"/>
    <w:rsid w:val="66976C44"/>
    <w:rsid w:val="66DC55BD"/>
    <w:rsid w:val="66F30BCE"/>
    <w:rsid w:val="673C0170"/>
    <w:rsid w:val="673E5F91"/>
    <w:rsid w:val="677A6041"/>
    <w:rsid w:val="67BC07C3"/>
    <w:rsid w:val="67D6317A"/>
    <w:rsid w:val="67D649B5"/>
    <w:rsid w:val="68ED6365"/>
    <w:rsid w:val="690F3AB7"/>
    <w:rsid w:val="6A4E3ABD"/>
    <w:rsid w:val="6AE63D7E"/>
    <w:rsid w:val="6B420679"/>
    <w:rsid w:val="6B462C2B"/>
    <w:rsid w:val="6B8359E9"/>
    <w:rsid w:val="6BB076CA"/>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272F7D"/>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pPr>
    <w:rPr>
      <w:rFonts w:hAnsi="Times New Roman" w:cs="Times New Roman"/>
      <w:snapToGrid/>
      <w:szCs w:val="20"/>
    </w:rPr>
  </w:style>
  <w:style w:type="paragraph" w:styleId="3">
    <w:name w:val="Body Text"/>
    <w:basedOn w:val="1"/>
    <w:next w:val="2"/>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 w:type="character" w:customStyle="1" w:styleId="35">
    <w:name w:val="font0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28158</Words>
  <Characters>29932</Characters>
  <Lines>224</Lines>
  <Paragraphs>63</Paragraphs>
  <TotalTime>11</TotalTime>
  <ScaleCrop>false</ScaleCrop>
  <LinksUpToDate>false</LinksUpToDate>
  <CharactersWithSpaces>33126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2024-09-12T06:57:09Z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FE08141DBDE04979B037C7D423AC3B12_13</vt:lpwstr>
  </property>
</Properties>
</file>