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shd w:val="clear"/>
        <w:adjustRightInd w:val="0"/>
        <w:snapToGrid w:val="0"/>
        <w:spacing w:line="360" w:lineRule="auto"/>
        <w:jc w:val="center"/>
        <w:rPr>
          <w:rFonts w:hint="eastAsia" w:cs="宋体" w:asciiTheme="minorEastAsia" w:hAnsiTheme="minorEastAsia"/>
          <w:sz w:val="48"/>
          <w:szCs w:val="48"/>
          <w:u w:val="single"/>
          <w:lang w:eastAsia="zh-CN"/>
        </w:rPr>
      </w:pPr>
      <w:r>
        <w:rPr>
          <w:rFonts w:hint="eastAsia" w:cs="宋体" w:asciiTheme="minorEastAsia" w:hAnsiTheme="minorEastAsia"/>
          <w:sz w:val="48"/>
          <w:szCs w:val="48"/>
          <w:u w:val="single"/>
          <w:lang w:eastAsia="zh-CN"/>
        </w:rPr>
        <w:t>2024年临江公司电动阀门</w:t>
      </w:r>
      <w:bookmarkStart w:id="520" w:name="_GoBack"/>
      <w:bookmarkEnd w:id="520"/>
    </w:p>
    <w:p>
      <w:pPr>
        <w:shd w:val="clea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采购项目（</w:t>
      </w:r>
      <w:r>
        <w:rPr>
          <w:rFonts w:hint="eastAsia" w:cs="宋体" w:asciiTheme="minorEastAsia" w:hAnsiTheme="minorEastAsia"/>
          <w:sz w:val="48"/>
          <w:szCs w:val="48"/>
          <w:u w:val="single"/>
          <w:lang w:val="en-US" w:eastAsia="zh-CN"/>
        </w:rPr>
        <w:t>第四次</w:t>
      </w:r>
      <w:r>
        <w:rPr>
          <w:rFonts w:hint="eastAsia" w:cs="宋体" w:asciiTheme="minorEastAsia" w:hAnsiTheme="minorEastAsia"/>
          <w:sz w:val="48"/>
          <w:szCs w:val="48"/>
          <w:u w:val="single"/>
          <w:lang w:eastAsia="zh-CN"/>
        </w:rPr>
        <w:t>）</w:t>
      </w:r>
    </w:p>
    <w:p>
      <w:pPr>
        <w:shd w:val="clea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shd w:val="clea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202407036-3</w:t>
      </w:r>
    </w:p>
    <w:p>
      <w:pPr>
        <w:shd w:val="clear"/>
        <w:spacing w:line="360" w:lineRule="auto"/>
        <w:jc w:val="center"/>
        <w:rPr>
          <w:rFonts w:cs="仿宋" w:asciiTheme="minorEastAsia" w:hAnsiTheme="minorEastAsia"/>
          <w:b/>
          <w:bCs/>
          <w:sz w:val="72"/>
          <w:szCs w:val="72"/>
        </w:rPr>
      </w:pPr>
    </w:p>
    <w:p>
      <w:pPr>
        <w:pStyle w:val="7"/>
        <w:shd w:val="clear"/>
        <w:rPr>
          <w:rFonts w:asciiTheme="minorEastAsia" w:hAnsiTheme="minorEastAsia"/>
        </w:rPr>
      </w:pPr>
    </w:p>
    <w:p>
      <w:pPr>
        <w:shd w:val="clear"/>
        <w:spacing w:line="360" w:lineRule="auto"/>
        <w:jc w:val="center"/>
        <w:rPr>
          <w:rFonts w:cs="仿宋" w:asciiTheme="minorEastAsia" w:hAnsiTheme="minorEastAsia"/>
          <w:b/>
          <w:bCs/>
          <w:sz w:val="72"/>
          <w:szCs w:val="72"/>
        </w:rPr>
      </w:pPr>
    </w:p>
    <w:p>
      <w:pPr>
        <w:pStyle w:val="10"/>
        <w:shd w:val="clear"/>
      </w:pPr>
    </w:p>
    <w:p>
      <w:pPr>
        <w:shd w:val="clear"/>
      </w:pPr>
    </w:p>
    <w:p>
      <w:pPr>
        <w:pStyle w:val="10"/>
        <w:shd w:val="clear"/>
      </w:pPr>
    </w:p>
    <w:p>
      <w:pPr>
        <w:shd w:val="clear"/>
      </w:pPr>
    </w:p>
    <w:p>
      <w:pPr>
        <w:shd w:val="clear"/>
        <w:spacing w:line="360" w:lineRule="auto"/>
        <w:rPr>
          <w:rFonts w:cs="仿宋" w:asciiTheme="minorEastAsia" w:hAnsiTheme="minorEastAsia"/>
          <w:sz w:val="24"/>
        </w:rPr>
      </w:pPr>
    </w:p>
    <w:p>
      <w:pPr>
        <w:pStyle w:val="10"/>
        <w:shd w:val="clear"/>
        <w:rPr>
          <w:rFonts w:cs="仿宋" w:asciiTheme="minorEastAsia" w:hAnsiTheme="minorEastAsia"/>
          <w:sz w:val="24"/>
          <w:szCs w:val="24"/>
        </w:rPr>
      </w:pPr>
    </w:p>
    <w:p>
      <w:pPr>
        <w:pStyle w:val="10"/>
        <w:shd w:val="clear"/>
        <w:jc w:val="center"/>
        <w:rPr>
          <w:rFonts w:cs="仿宋" w:asciiTheme="minorEastAsia" w:hAnsiTheme="minorEastAsia"/>
          <w:sz w:val="24"/>
          <w:szCs w:val="24"/>
        </w:rPr>
      </w:pPr>
    </w:p>
    <w:p>
      <w:pPr>
        <w:shd w:val="clea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hd w:val="clea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9</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6</w:t>
      </w:r>
      <w:r>
        <w:rPr>
          <w:rFonts w:hint="eastAsia" w:cs="仿宋" w:asciiTheme="minorEastAsia" w:hAnsiTheme="minorEastAsia"/>
          <w:sz w:val="32"/>
          <w:szCs w:val="32"/>
        </w:rPr>
        <w:t>日</w:t>
      </w:r>
    </w:p>
    <w:p>
      <w:pPr>
        <w:shd w:val="clear"/>
        <w:spacing w:line="360" w:lineRule="auto"/>
        <w:ind w:firstLine="602" w:firstLineChars="200"/>
        <w:jc w:val="center"/>
        <w:rPr>
          <w:rFonts w:cs="仿宋" w:asciiTheme="minorEastAsia" w:hAnsiTheme="minorEastAsia"/>
          <w:b/>
          <w:sz w:val="30"/>
          <w:szCs w:val="30"/>
        </w:rPr>
      </w:pPr>
    </w:p>
    <w:p>
      <w:pPr>
        <w:shd w:val="clea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hd w:val="clea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hd w:val="clea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hd w:val="clea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hd w:val="clea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hd w:val="clear"/>
        <w:spacing w:line="460" w:lineRule="exact"/>
        <w:rPr>
          <w:rFonts w:cs="仿宋" w:asciiTheme="minorEastAsia" w:hAnsiTheme="minorEastAsia"/>
          <w:sz w:val="24"/>
        </w:rPr>
      </w:pPr>
      <w:bookmarkStart w:id="1" w:name="_Toc28359002"/>
      <w:bookmarkStart w:id="2" w:name="_Toc35393621"/>
      <w:bookmarkStart w:id="3" w:name="_Toc28359079"/>
      <w:bookmarkStart w:id="4" w:name="_Toc35393790"/>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hd w:val="clea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2024年临江公司电动阀门采购项目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shd w:val="clear"/>
        <w:spacing w:line="360" w:lineRule="auto"/>
        <w:ind w:firstLine="482" w:firstLineChars="200"/>
        <w:rPr>
          <w:rFonts w:hint="eastAsia" w:cs="仿宋" w:asciiTheme="minorEastAsia" w:hAnsiTheme="minorEastAsia"/>
          <w:b/>
          <w:bCs/>
          <w:sz w:val="24"/>
        </w:rPr>
      </w:pPr>
      <w:bookmarkStart w:id="6" w:name="OLE_LINK3"/>
      <w:r>
        <w:rPr>
          <w:rFonts w:hint="eastAsia" w:cs="仿宋" w:asciiTheme="minorEastAsia" w:hAnsiTheme="minorEastAsia"/>
          <w:b/>
          <w:bCs/>
          <w:sz w:val="24"/>
        </w:rPr>
        <w:t>一、项目基本情况</w:t>
      </w:r>
      <w:bookmarkEnd w:id="1"/>
      <w:bookmarkEnd w:id="2"/>
      <w:bookmarkEnd w:id="3"/>
      <w:bookmarkEnd w:id="4"/>
    </w:p>
    <w:p>
      <w:pPr>
        <w:shd w:val="clea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202407036-3</w:t>
      </w:r>
    </w:p>
    <w:p>
      <w:pPr>
        <w:shd w:val="clea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2024年临江公司电动阀门采购项目</w:t>
      </w:r>
    </w:p>
    <w:p>
      <w:pPr>
        <w:shd w:val="clea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hd w:val="clea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29.6</w:t>
      </w:r>
      <w:r>
        <w:rPr>
          <w:rFonts w:hint="eastAsia" w:cs="仿宋" w:asciiTheme="minorEastAsia" w:hAnsiTheme="minorEastAsia"/>
          <w:sz w:val="24"/>
          <w:u w:val="single"/>
        </w:rPr>
        <w:t>万元</w:t>
      </w:r>
    </w:p>
    <w:p>
      <w:pPr>
        <w:shd w:val="clea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hd w:val="clea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cs="仿宋" w:asciiTheme="minorEastAsia" w:hAnsiTheme="minorEastAsia"/>
          <w:sz w:val="24"/>
          <w:u w:val="single"/>
          <w:lang w:eastAsia="zh-CN"/>
        </w:rPr>
        <w:t>电动阀门</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hd w:val="clea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eastAsia="zh-CN"/>
        </w:rPr>
        <w:t xml:space="preserve"> 自合同签订后一年</w:t>
      </w:r>
      <w:r>
        <w:rPr>
          <w:rFonts w:hint="eastAsia" w:cs="仿宋" w:asciiTheme="minorEastAsia" w:hAnsiTheme="minorEastAsia"/>
          <w:sz w:val="24"/>
          <w:u w:val="single"/>
        </w:rPr>
        <w:t>。</w:t>
      </w:r>
    </w:p>
    <w:p>
      <w:pPr>
        <w:shd w:val="clea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hd w:val="clear"/>
        <w:spacing w:line="360" w:lineRule="auto"/>
        <w:ind w:firstLine="482" w:firstLineChars="200"/>
        <w:rPr>
          <w:rFonts w:cs="仿宋" w:asciiTheme="minorEastAsia" w:hAnsiTheme="minorEastAsia"/>
          <w:b/>
          <w:bCs/>
          <w:sz w:val="24"/>
        </w:rPr>
      </w:pPr>
      <w:bookmarkStart w:id="7" w:name="_Toc35393622"/>
      <w:bookmarkStart w:id="8" w:name="_Toc28359003"/>
      <w:bookmarkStart w:id="9" w:name="_Toc28359080"/>
      <w:bookmarkStart w:id="10" w:name="_Toc35393791"/>
      <w:r>
        <w:rPr>
          <w:rFonts w:hint="eastAsia" w:cs="仿宋" w:asciiTheme="minorEastAsia" w:hAnsiTheme="minorEastAsia"/>
          <w:b/>
          <w:bCs/>
          <w:sz w:val="24"/>
        </w:rPr>
        <w:t>二、供应商的资格要求</w:t>
      </w:r>
      <w:bookmarkEnd w:id="7"/>
      <w:bookmarkEnd w:id="8"/>
      <w:bookmarkEnd w:id="9"/>
      <w:bookmarkEnd w:id="10"/>
      <w:bookmarkStart w:id="11" w:name="_Toc35393623"/>
      <w:bookmarkStart w:id="12" w:name="_Toc28359004"/>
      <w:bookmarkStart w:id="13" w:name="_Toc35393792"/>
      <w:bookmarkStart w:id="14" w:name="_Toc28359081"/>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www.creditchina.gov.cn)、中国政府采购网</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www.ccgp.gov.cn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pPr>
        <w:shd w:val="clear"/>
        <w:spacing w:line="360" w:lineRule="auto"/>
        <w:ind w:firstLine="480" w:firstLineChars="200"/>
        <w:rPr>
          <w:rFonts w:hint="eastAsia" w:cs="仿宋" w:asciiTheme="minorEastAsia" w:hAnsiTheme="minorEastAsia"/>
          <w:bCs/>
          <w:sz w:val="24"/>
          <w:lang w:val="en-US" w:eastAsia="zh-CN"/>
        </w:rPr>
      </w:pPr>
      <w:r>
        <w:rPr>
          <w:rFonts w:hint="eastAsia" w:cs="仿宋" w:asciiTheme="minorEastAsia" w:hAnsiTheme="minorEastAsia"/>
          <w:bCs/>
          <w:sz w:val="24"/>
        </w:rPr>
        <w:t>3.</w:t>
      </w:r>
      <w:r>
        <w:rPr>
          <w:rFonts w:hint="eastAsia" w:cs="仿宋" w:asciiTheme="minorEastAsia" w:hAnsiTheme="minorEastAsia"/>
          <w:bCs/>
          <w:sz w:val="24"/>
          <w:lang w:val="en-US" w:eastAsia="zh-CN"/>
        </w:rPr>
        <w:t>业绩要求：无。</w:t>
      </w:r>
    </w:p>
    <w:p>
      <w:pPr>
        <w:shd w:val="clear"/>
        <w:spacing w:line="360" w:lineRule="auto"/>
        <w:ind w:firstLine="480" w:firstLineChars="200"/>
        <w:rPr>
          <w:rFonts w:hint="eastAsia" w:cs="仿宋" w:asciiTheme="minorEastAsia" w:hAnsiTheme="minorEastAsia"/>
          <w:bCs/>
          <w:sz w:val="24"/>
        </w:rPr>
      </w:pPr>
      <w:r>
        <w:rPr>
          <w:rFonts w:hint="eastAsia" w:cs="仿宋" w:asciiTheme="minorEastAsia" w:hAnsiTheme="minorEastAsia"/>
          <w:bCs/>
          <w:sz w:val="24"/>
          <w:lang w:val="en-US" w:eastAsia="zh-CN"/>
        </w:rPr>
        <w:t>4.</w:t>
      </w:r>
      <w:r>
        <w:rPr>
          <w:rFonts w:hint="eastAsia" w:cs="仿宋" w:asciiTheme="minorEastAsia" w:hAnsiTheme="minorEastAsia"/>
          <w:bCs/>
          <w:sz w:val="24"/>
        </w:rPr>
        <w:t>供应商不得为杭州市环境集团有限公司不合格供应商或者在黑名单之内。</w:t>
      </w:r>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lang w:val="en-US" w:eastAsia="zh-CN"/>
        </w:rPr>
        <w:t>5</w:t>
      </w:r>
      <w:r>
        <w:rPr>
          <w:rFonts w:hint="eastAsia" w:cs="仿宋" w:asciiTheme="minorEastAsia" w:hAnsiTheme="minorEastAsia"/>
          <w:bCs/>
          <w:sz w:val="24"/>
        </w:rPr>
        <w:t xml:space="preserve">.供应商负责人为同一人或者存在控股、管理关系的不同单位，不得同时参加本项目。  </w:t>
      </w:r>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lang w:val="en-US" w:eastAsia="zh-CN"/>
        </w:rPr>
        <w:t>6</w:t>
      </w:r>
      <w:r>
        <w:rPr>
          <w:rFonts w:hint="eastAsia" w:cs="仿宋" w:asciiTheme="minorEastAsia" w:hAnsiTheme="minorEastAsia"/>
          <w:bCs/>
          <w:sz w:val="24"/>
        </w:rPr>
        <w:t>.供应商须提供其股东信息及出资比例信息。</w:t>
      </w:r>
    </w:p>
    <w:p>
      <w:pPr>
        <w:shd w:val="clea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lang w:val="en-US" w:eastAsia="zh-CN"/>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1"/>
      <w:bookmarkEnd w:id="12"/>
      <w:bookmarkEnd w:id="13"/>
      <w:bookmarkEnd w:id="14"/>
      <w:r>
        <w:rPr>
          <w:rFonts w:hint="eastAsia" w:cs="仿宋" w:asciiTheme="minorEastAsia" w:hAnsiTheme="minorEastAsia"/>
          <w:b/>
          <w:bCs/>
          <w:sz w:val="24"/>
        </w:rPr>
        <w:t>获取（下载）询价采购文件</w:t>
      </w:r>
    </w:p>
    <w:p>
      <w:pPr>
        <w:pStyle w:val="4"/>
        <w:shd w:val="clear"/>
        <w:spacing w:before="0" w:after="0" w:line="360" w:lineRule="auto"/>
        <w:ind w:firstLine="480" w:firstLineChars="200"/>
        <w:rPr>
          <w:rFonts w:cs="仿宋" w:asciiTheme="minorEastAsia" w:hAnsiTheme="minorEastAsia" w:eastAsiaTheme="minorEastAsia"/>
          <w:b w:val="0"/>
          <w:sz w:val="24"/>
          <w:szCs w:val="24"/>
        </w:rPr>
      </w:pPr>
      <w:bookmarkStart w:id="15" w:name="_Toc28359082"/>
      <w:bookmarkStart w:id="16" w:name="_Toc35393793"/>
      <w:bookmarkStart w:id="17" w:name="_Toc35393624"/>
      <w:bookmarkStart w:id="18" w:name="_Toc28359005"/>
      <w:r>
        <w:rPr>
          <w:rFonts w:hint="eastAsia" w:cs="仿宋" w:asciiTheme="minorEastAsia" w:hAnsiTheme="minorEastAsia" w:eastAsiaTheme="minorEastAsia"/>
          <w:b w:val="0"/>
          <w:sz w:val="24"/>
          <w:szCs w:val="24"/>
        </w:rPr>
        <w:t xml:space="preserve">1.时间：报价截止时间前。   </w:t>
      </w:r>
    </w:p>
    <w:p>
      <w:pPr>
        <w:pStyle w:val="4"/>
        <w:shd w:val="clear"/>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hd w:val="clear"/>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5"/>
    <w:bookmarkEnd w:id="16"/>
    <w:bookmarkEnd w:id="17"/>
    <w:bookmarkEnd w:id="18"/>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9</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13</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hd w:val="clea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9</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13</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hd w:val="clea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hd w:val="clea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hd w:val="clea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华工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val="en-US" w:eastAsia="zh-CN"/>
        </w:rPr>
        <w:t>十</w:t>
      </w:r>
      <w:r>
        <w:rPr>
          <w:rFonts w:hint="eastAsia" w:cs="仿宋" w:asciiTheme="minorEastAsia" w:hAnsiTheme="minorEastAsia"/>
          <w:b/>
          <w:bCs/>
          <w:color w:val="auto"/>
          <w:sz w:val="24"/>
          <w:lang w:eastAsia="zh-CN"/>
        </w:rPr>
        <w:t>、</w:t>
      </w:r>
      <w:r>
        <w:rPr>
          <w:rFonts w:hint="eastAsia" w:cs="仿宋" w:asciiTheme="minorEastAsia" w:hAnsiTheme="minorEastAsia"/>
          <w:b/>
          <w:bCs/>
          <w:color w:val="auto"/>
          <w:sz w:val="24"/>
        </w:rPr>
        <w:t>监督部门</w:t>
      </w:r>
    </w:p>
    <w:p>
      <w:pPr>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shd w:val="clear"/>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shd w:val="clear"/>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2024年9月6</w:t>
      </w:r>
      <w:r>
        <w:rPr>
          <w:rFonts w:hint="eastAsia" w:cs="仿宋" w:asciiTheme="minorEastAsia" w:hAnsiTheme="minorEastAsia"/>
          <w:color w:val="auto"/>
          <w:sz w:val="24"/>
        </w:rPr>
        <w:t>日</w:t>
      </w:r>
    </w:p>
    <w:bookmarkEnd w:id="6"/>
    <w:p>
      <w:pPr>
        <w:shd w:val="clear"/>
        <w:spacing w:line="460" w:lineRule="exact"/>
        <w:jc w:val="center"/>
        <w:rPr>
          <w:rFonts w:cs="仿宋" w:asciiTheme="minorEastAsia" w:hAnsiTheme="minorEastAsia"/>
          <w:b/>
          <w:bCs/>
          <w:sz w:val="36"/>
          <w:szCs w:val="36"/>
        </w:rPr>
      </w:pPr>
    </w:p>
    <w:p>
      <w:pPr>
        <w:shd w:val="clear"/>
        <w:spacing w:line="460" w:lineRule="exact"/>
        <w:jc w:val="center"/>
        <w:rPr>
          <w:rFonts w:cs="仿宋" w:asciiTheme="minorEastAsia" w:hAnsiTheme="minorEastAsia"/>
          <w:b/>
          <w:bCs/>
          <w:sz w:val="36"/>
          <w:szCs w:val="36"/>
        </w:rPr>
      </w:pPr>
    </w:p>
    <w:p>
      <w:pPr>
        <w:shd w:val="clear"/>
        <w:spacing w:line="460" w:lineRule="exact"/>
        <w:jc w:val="center"/>
        <w:rPr>
          <w:rFonts w:cs="仿宋" w:asciiTheme="minorEastAsia" w:hAnsiTheme="minorEastAsia"/>
          <w:b/>
          <w:bCs/>
          <w:sz w:val="36"/>
          <w:szCs w:val="36"/>
        </w:rPr>
      </w:pPr>
    </w:p>
    <w:p>
      <w:pPr>
        <w:shd w:val="clear"/>
        <w:rPr>
          <w:rFonts w:hint="eastAsia" w:cs="仿宋" w:asciiTheme="minorEastAsia" w:hAnsiTheme="minorEastAsia"/>
          <w:b/>
          <w:bCs/>
          <w:sz w:val="36"/>
          <w:szCs w:val="36"/>
        </w:rPr>
      </w:pPr>
      <w:r>
        <w:rPr>
          <w:rFonts w:hint="eastAsia" w:cs="仿宋" w:asciiTheme="minorEastAsia" w:hAnsiTheme="minorEastAsia"/>
          <w:b/>
          <w:bCs/>
          <w:sz w:val="36"/>
          <w:szCs w:val="36"/>
        </w:rPr>
        <w:br w:type="page"/>
      </w:r>
    </w:p>
    <w:p>
      <w:pPr>
        <w:shd w:val="clea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hd w:val="clea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shd w:val="clear"/>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shd w:val="clear"/>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8"/>
              <w:shd w:val="clear"/>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8"/>
              <w:shd w:val="clear"/>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r>
                  <w:rPr>
                    <w:rFonts w:hint="eastAsia" w:ascii="宋体" w:hAnsi="宋体" w:eastAsia="宋体" w:cs="宋体"/>
                    <w:color w:val="auto"/>
                    <w:kern w:val="0"/>
                    <w:szCs w:val="21"/>
                  </w:rPr>
                  <w:t>A不组织,供应商经采购人同意后可自行前往对项目现场和周围环境进行踏勘和了解。</w:t>
                </w:r>
              </w:sdtContent>
            </w:sdt>
          </w:p>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hd w:val="clea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hd w:val="clea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hd w:val="clea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hd w:val="clea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bookmarkStart w:id="19" w:name="OLE_LINK1"/>
            <w:r>
              <w:rPr>
                <w:rFonts w:hint="eastAsia" w:ascii="宋体" w:hAnsi="宋体" w:eastAsia="宋体" w:cs="宋体"/>
                <w:color w:val="auto"/>
                <w:szCs w:val="21"/>
                <w:u w:val="single"/>
                <w:lang w:val="en-US" w:eastAsia="zh-CN"/>
              </w:rPr>
              <w:t>5900</w:t>
            </w:r>
            <w:bookmarkEnd w:id="19"/>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bookmarkStart w:id="20" w:name="OLE_LINK2"/>
            <w:r>
              <w:rPr>
                <w:rFonts w:hint="eastAsia" w:cs="仿宋" w:asciiTheme="minorEastAsia" w:hAnsiTheme="minorEastAsia"/>
                <w:sz w:val="24"/>
                <w:u w:val="single"/>
                <w:lang w:eastAsia="zh-CN"/>
              </w:rPr>
              <w:t>2024年临江公司电动阀门采购项目</w:t>
            </w:r>
            <w:bookmarkEnd w:id="20"/>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hd w:val="clea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hd w:val="clea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hd w:val="clea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hd w:val="clea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lang w:eastAsia="zh-CN"/>
                  </w:rPr>
                  <w:t>投标文件份数：1正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p>
              <w:p>
                <w:pPr>
                  <w:shd w:val="clea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提交电子版文件：</w:t>
                </w:r>
              </w:p>
              <w:p>
                <w:pPr>
                  <w:shd w:val="clear"/>
                  <w:spacing w:line="360" w:lineRule="auto"/>
                  <w:outlineLvl w:val="1"/>
                  <w:rPr>
                    <w:rFonts w:hint="eastAsia" w:ascii="宋体" w:hAnsi="宋体" w:eastAsia="宋体" w:cs="宋体"/>
                    <w:b/>
                    <w:bCs/>
                    <w:color w:val="auto"/>
                    <w:szCs w:val="21"/>
                    <w:lang w:eastAsia="zh-CN"/>
                  </w:rPr>
                </w:pPr>
                <w:r>
                  <w:rPr>
                    <w:rFonts w:hint="eastAsia" w:ascii="宋体" w:hAnsi="宋体" w:eastAsia="宋体" w:cs="宋体"/>
                    <w:color w:val="auto"/>
                    <w:szCs w:val="21"/>
                  </w:rPr>
                  <w:sym w:font="Wingdings" w:char="00A8"/>
                </w:r>
                <w:r>
                  <w:rPr>
                    <w:rFonts w:hint="eastAsia" w:ascii="宋体" w:hAnsi="宋体" w:eastAsia="宋体" w:cs="宋体"/>
                    <w:color w:val="auto"/>
                    <w:szCs w:val="21"/>
                  </w:rPr>
                  <w:t>是，</w:t>
                </w:r>
                <w:r>
                  <w:rPr>
                    <w:rFonts w:hint="eastAsia" w:ascii="宋体" w:hAnsi="宋体" w:eastAsia="宋体" w:cs="宋体"/>
                    <w:b/>
                    <w:bCs/>
                    <w:color w:val="auto"/>
                    <w:szCs w:val="21"/>
                  </w:rPr>
                  <w:t>提交电子版带红章的PDF文件及word版本各1份（U盘形式）</w:t>
                </w:r>
                <w:r>
                  <w:rPr>
                    <w:rFonts w:hint="eastAsia" w:ascii="宋体" w:hAnsi="宋体" w:eastAsia="宋体" w:cs="宋体"/>
                    <w:b/>
                    <w:bCs/>
                    <w:color w:val="auto"/>
                    <w:szCs w:val="21"/>
                    <w:lang w:eastAsia="zh-CN"/>
                  </w:rPr>
                  <w:t>；</w:t>
                </w:r>
              </w:p>
              <w:p>
                <w:pPr>
                  <w:shd w:val="clea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rPr>
                  <w:sym w:font="Wingdings" w:char="00FE"/>
                </w:r>
                <w:r>
                  <w:rPr>
                    <w:rFonts w:hint="eastAsia" w:ascii="宋体" w:hAnsi="宋体" w:eastAsia="宋体" w:cs="宋体"/>
                    <w:b/>
                    <w:bCs/>
                    <w:color w:val="auto"/>
                    <w:szCs w:val="21"/>
                    <w:lang w:val="en-US" w:eastAsia="zh-CN"/>
                  </w:rPr>
                  <w:t>否</w:t>
                </w:r>
                <w:r>
                  <w:rPr>
                    <w:rFonts w:hint="eastAsia" w:ascii="宋体" w:hAnsi="宋体" w:eastAsia="宋体" w:cs="宋体"/>
                    <w:b/>
                    <w:bCs/>
                    <w:color w:val="auto"/>
                    <w:szCs w:val="21"/>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hd w:val="clea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shd w:val="clea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shd w:val="clea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shd w:val="clea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72"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详见第六章“应提交的有关格式范例”，委托代理人的则须提供授权委托书)原件。若密封在响应文件里，开启后查验符合要求也可以。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lang w:val="zh-CN"/>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jc w:val="both"/>
              <w:textAlignment w:val="auto"/>
              <w:rPr>
                <w:rFonts w:hint="eastAsia" w:ascii="宋体" w:hAnsi="宋体" w:eastAsia="宋体" w:cs="宋体"/>
                <w:color w:val="auto"/>
                <w:kern w:val="0"/>
                <w:szCs w:val="21"/>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hd w:val="clear"/>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hint="eastAsia" w:ascii="宋体" w:hAnsi="宋体" w:cs="宋体"/>
                <w:color w:val="auto"/>
                <w:lang w:val="en-US" w:eastAsia="zh-CN"/>
              </w:rPr>
              <w:t>10</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snapToGrid w:val="0"/>
                <w:color w:val="auto"/>
                <w:szCs w:val="21"/>
              </w:rPr>
              <w:t>是否分册装订：</w:t>
            </w:r>
          </w:p>
          <w:p>
            <w:pPr>
              <w:pStyle w:val="18"/>
              <w:shd w:val="clear"/>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8"/>
              <w:shd w:val="clear"/>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8"/>
              <w:shd w:val="clear"/>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hd w:val="clear"/>
        <w:spacing w:line="360" w:lineRule="auto"/>
        <w:jc w:val="center"/>
        <w:outlineLvl w:val="0"/>
        <w:rPr>
          <w:rFonts w:cs="仿宋" w:asciiTheme="minorEastAsia" w:hAnsiTheme="minorEastAsia"/>
          <w:b/>
          <w:sz w:val="32"/>
          <w:szCs w:val="20"/>
        </w:rPr>
      </w:pPr>
    </w:p>
    <w:p>
      <w:pPr>
        <w:shd w:val="clear"/>
        <w:spacing w:line="360" w:lineRule="auto"/>
        <w:jc w:val="center"/>
        <w:outlineLvl w:val="0"/>
        <w:rPr>
          <w:rFonts w:cs="仿宋" w:asciiTheme="minorEastAsia" w:hAnsiTheme="minorEastAsia"/>
          <w:b/>
          <w:sz w:val="32"/>
          <w:szCs w:val="20"/>
        </w:rPr>
      </w:pPr>
    </w:p>
    <w:p>
      <w:pPr>
        <w:shd w:val="clear"/>
        <w:spacing w:line="360" w:lineRule="auto"/>
        <w:jc w:val="center"/>
        <w:outlineLvl w:val="0"/>
        <w:rPr>
          <w:rFonts w:cs="仿宋" w:asciiTheme="minorEastAsia" w:hAnsiTheme="minorEastAsia"/>
          <w:b/>
          <w:sz w:val="32"/>
          <w:szCs w:val="20"/>
        </w:rPr>
      </w:pPr>
    </w:p>
    <w:p>
      <w:pPr>
        <w:pStyle w:val="7"/>
        <w:shd w:val="clear"/>
        <w:rPr>
          <w:rFonts w:cs="仿宋" w:asciiTheme="minorEastAsia" w:hAnsiTheme="minorEastAsia"/>
          <w:b/>
          <w:sz w:val="32"/>
          <w:szCs w:val="20"/>
        </w:rPr>
      </w:pPr>
    </w:p>
    <w:p>
      <w:pPr>
        <w:shd w:val="clear"/>
      </w:pPr>
    </w:p>
    <w:p>
      <w:pPr>
        <w:rPr>
          <w:rFonts w:hint="eastAsia" w:cs="仿宋" w:asciiTheme="minorEastAsia" w:hAnsiTheme="minorEastAsia"/>
          <w:b/>
          <w:sz w:val="32"/>
          <w:szCs w:val="20"/>
        </w:rPr>
      </w:pPr>
      <w:r>
        <w:rPr>
          <w:rFonts w:hint="eastAsia" w:cs="仿宋" w:asciiTheme="minorEastAsia" w:hAnsiTheme="minorEastAsia"/>
          <w:b/>
          <w:sz w:val="32"/>
          <w:szCs w:val="20"/>
        </w:rPr>
        <w:br w:type="page"/>
      </w:r>
    </w:p>
    <w:p>
      <w:pPr>
        <w:shd w:val="clea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hd w:val="clea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hd w:val="clea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hd w:val="clea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hd w:val="clea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hd w:val="clea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shd w:val="clear"/>
        <w:rPr>
          <w:rFonts w:cs="仿宋" w:asciiTheme="minorEastAsia" w:hAnsiTheme="minorEastAsia"/>
          <w:sz w:val="18"/>
          <w:szCs w:val="18"/>
          <w:lang w:val="en-US"/>
        </w:rPr>
      </w:pPr>
    </w:p>
    <w:p>
      <w:pPr>
        <w:shd w:val="clea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hd w:val="clea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hd w:val="clea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hd w:val="clear"/>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shd w:val="clea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hd w:val="clea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hd w:val="clea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hd w:val="clea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hd w:val="clea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hd w:val="clea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hd w:val="clear"/>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hd w:val="clea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hd w:val="clea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hd w:val="clear"/>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hd w:val="clear"/>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hd w:val="clear"/>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hd w:val="clear"/>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hd w:val="clear"/>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hd w:val="clea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hd w:val="clear"/>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hd w:val="clear"/>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hd w:val="clear"/>
        <w:spacing w:before="0"/>
        <w:ind w:firstLine="0" w:firstLineChars="0"/>
        <w:jc w:val="center"/>
        <w:rPr>
          <w:rFonts w:cs="仿宋" w:asciiTheme="minorEastAsia" w:hAnsiTheme="minorEastAsia"/>
          <w:b/>
          <w:sz w:val="32"/>
        </w:rPr>
      </w:pPr>
    </w:p>
    <w:p>
      <w:pPr>
        <w:pStyle w:val="21"/>
        <w:shd w:val="clear"/>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hd w:val="clear"/>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hd w:val="clear"/>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hd w:val="clear"/>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hd w:val="clear"/>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hd w:val="clear"/>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hd w:val="clear"/>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1"/>
        <w:shd w:val="clear"/>
        <w:spacing w:before="0"/>
        <w:ind w:firstLine="495" w:firstLineChars="0"/>
        <w:rPr>
          <w:rFonts w:cs="仿宋" w:asciiTheme="minorEastAsia" w:hAnsiTheme="minorEastAsia"/>
          <w:kern w:val="0"/>
          <w:szCs w:val="24"/>
        </w:rPr>
      </w:pPr>
    </w:p>
    <w:p>
      <w:pPr>
        <w:pStyle w:val="21"/>
        <w:shd w:val="clear"/>
        <w:spacing w:before="0"/>
        <w:ind w:firstLine="480"/>
        <w:rPr>
          <w:rFonts w:cs="仿宋" w:asciiTheme="minorEastAsia" w:hAnsiTheme="minorEastAsia"/>
          <w:kern w:val="0"/>
          <w:szCs w:val="24"/>
        </w:rPr>
      </w:pPr>
    </w:p>
    <w:p>
      <w:pPr>
        <w:shd w:val="clea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hd w:val="clear"/>
        <w:spacing w:line="360" w:lineRule="auto"/>
        <w:ind w:firstLine="482" w:firstLineChars="200"/>
        <w:rPr>
          <w:rFonts w:cs="仿宋" w:asciiTheme="minorEastAsia" w:hAnsiTheme="minorEastAsia"/>
          <w:b/>
          <w:sz w:val="24"/>
        </w:rPr>
      </w:pPr>
      <w:bookmarkStart w:id="21"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hd w:val="clear"/>
        <w:spacing w:line="360" w:lineRule="auto"/>
        <w:rPr>
          <w:rFonts w:cs="仿宋" w:asciiTheme="minorEastAsia" w:hAnsiTheme="minorEastAsia"/>
          <w:b/>
          <w:sz w:val="24"/>
        </w:rPr>
      </w:pPr>
    </w:p>
    <w:p>
      <w:pPr>
        <w:shd w:val="clea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hd w:val="clear"/>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hd w:val="clear"/>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hd w:val="clear"/>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hd w:val="clear"/>
        <w:snapToGrid w:val="0"/>
        <w:spacing w:line="360" w:lineRule="auto"/>
        <w:ind w:left="120" w:leftChars="57" w:firstLine="482" w:firstLineChars="150"/>
        <w:jc w:val="center"/>
        <w:rPr>
          <w:rFonts w:cs="仿宋" w:asciiTheme="minorEastAsia" w:hAnsiTheme="minorEastAsia"/>
          <w:b/>
          <w:sz w:val="32"/>
        </w:rP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hd w:val="clear"/>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hd w:val="clear"/>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1"/>
        <w:shd w:val="clear"/>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hd w:val="clear"/>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w:t>
      </w:r>
      <w:r>
        <w:rPr>
          <w:rFonts w:hint="eastAsia" w:cs="仿宋" w:asciiTheme="minorEastAsia" w:hAnsiTheme="minorEastAsia"/>
          <w:sz w:val="24"/>
          <w:szCs w:val="20"/>
          <w:lang w:val="en-US" w:eastAsia="zh-CN"/>
        </w:rPr>
        <w:t>10</w:t>
      </w:r>
      <w:r>
        <w:rPr>
          <w:rFonts w:hint="eastAsia" w:cs="仿宋" w:asciiTheme="minorEastAsia" w:hAnsiTheme="minorEastAsia"/>
          <w:sz w:val="24"/>
          <w:szCs w:val="20"/>
        </w:rPr>
        <w:t>%</w:t>
      </w:r>
      <w:r>
        <w:rPr>
          <w:rFonts w:hint="eastAsia" w:ascii="宋体" w:hAnsi="宋体" w:cs="宋体"/>
          <w:sz w:val="24"/>
        </w:rPr>
        <w:t>，</w:t>
      </w:r>
      <w:r>
        <w:rPr>
          <w:rFonts w:hint="eastAsia" w:cs="仿宋" w:asciiTheme="minorEastAsia" w:hAnsiTheme="minorEastAsia"/>
          <w:sz w:val="24"/>
          <w:szCs w:val="20"/>
        </w:rPr>
        <w:t>项目验收结束后无息退还。</w:t>
      </w:r>
    </w:p>
    <w:p>
      <w:pPr>
        <w:shd w:val="clea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shd w:val="clear"/>
        <w:ind w:firstLine="480" w:firstLineChars="200"/>
      </w:pPr>
      <w:r>
        <w:rPr>
          <w:rFonts w:hint="eastAsia"/>
        </w:rPr>
        <w:t>本项目无预付款。</w:t>
      </w:r>
    </w:p>
    <w:p>
      <w:pPr>
        <w:shd w:val="clear"/>
        <w:tabs>
          <w:tab w:val="left" w:pos="0"/>
        </w:tabs>
        <w:spacing w:line="360" w:lineRule="auto"/>
        <w:ind w:firstLine="480"/>
        <w:rPr>
          <w:rFonts w:cs="仿宋" w:asciiTheme="minorEastAsia" w:hAnsiTheme="minorEastAsia"/>
          <w:sz w:val="24"/>
        </w:rP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shd w:val="clea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shd w:val="clear"/>
        <w:tabs>
          <w:tab w:val="left" w:pos="1121"/>
        </w:tabs>
        <w:adjustRightInd w:val="0"/>
        <w:snapToGrid w:val="0"/>
        <w:spacing w:line="360" w:lineRule="auto"/>
        <w:ind w:firstLine="480" w:firstLineChars="200"/>
        <w:jc w:val="left"/>
        <w:rPr>
          <w:rFonts w:hint="eastAsia" w:cs="仿宋" w:asciiTheme="minorEastAsia" w:hAnsiTheme="minorEastAsia"/>
          <w:sz w:val="24"/>
          <w:szCs w:val="20"/>
        </w:rPr>
      </w:pPr>
      <w:r>
        <w:rPr>
          <w:rFonts w:hint="eastAsia" w:cs="仿宋" w:asciiTheme="minorEastAsia" w:hAnsiTheme="minorEastAsia"/>
          <w:sz w:val="24"/>
          <w:szCs w:val="20"/>
          <w:lang w:val="en-US" w:eastAsia="zh-CN"/>
        </w:rPr>
        <w:t>25.1成交</w:t>
      </w:r>
      <w:r>
        <w:rPr>
          <w:rFonts w:hint="eastAsia" w:cs="仿宋" w:asciiTheme="minorEastAsia" w:hAnsiTheme="minorEastAsia"/>
          <w:sz w:val="24"/>
          <w:szCs w:val="20"/>
        </w:rPr>
        <w:t xml:space="preserve">供应商的询价保证金将在签订合同并按要求缴纳履约保证金后全额无息退还。退保证金前，供应商必须提供加盖公章或财务专用章的收款收据。  </w:t>
      </w:r>
    </w:p>
    <w:p>
      <w:pPr>
        <w:shd w:val="clear"/>
        <w:tabs>
          <w:tab w:val="left" w:pos="1121"/>
        </w:tabs>
        <w:adjustRightInd w:val="0"/>
        <w:snapToGrid w:val="0"/>
        <w:spacing w:line="360" w:lineRule="auto"/>
        <w:ind w:firstLine="480" w:firstLineChars="200"/>
        <w:jc w:val="left"/>
        <w:rPr>
          <w:rFonts w:hint="eastAsia" w:cs="仿宋" w:asciiTheme="minorEastAsia" w:hAnsiTheme="minorEastAsia"/>
          <w:sz w:val="24"/>
          <w:szCs w:val="20"/>
        </w:rPr>
      </w:pPr>
      <w:r>
        <w:rPr>
          <w:rFonts w:hint="eastAsia" w:cs="仿宋" w:asciiTheme="minorEastAsia" w:hAnsiTheme="minorEastAsia"/>
          <w:sz w:val="24"/>
          <w:szCs w:val="20"/>
          <w:lang w:val="en-US" w:eastAsia="zh-CN"/>
        </w:rPr>
        <w:t>25.2未成交</w:t>
      </w:r>
      <w:r>
        <w:rPr>
          <w:rFonts w:hint="eastAsia" w:cs="仿宋" w:asciiTheme="minorEastAsia" w:hAnsiTheme="minorEastAsia"/>
          <w:sz w:val="24"/>
          <w:szCs w:val="20"/>
        </w:rPr>
        <w:t>供应商的询价保证金将在</w:t>
      </w:r>
      <w:r>
        <w:rPr>
          <w:rFonts w:hint="eastAsia" w:cs="仿宋" w:asciiTheme="minorEastAsia" w:hAnsiTheme="minorEastAsia"/>
          <w:sz w:val="24"/>
          <w:szCs w:val="20"/>
          <w:lang w:val="en-US" w:eastAsia="zh-CN"/>
        </w:rPr>
        <w:t>预成交结果公示无异议后及时</w:t>
      </w:r>
      <w:r>
        <w:rPr>
          <w:rFonts w:hint="eastAsia" w:cs="仿宋" w:asciiTheme="minorEastAsia" w:hAnsiTheme="minorEastAsia"/>
          <w:sz w:val="24"/>
          <w:szCs w:val="20"/>
        </w:rPr>
        <w:t xml:space="preserve">全额无息退还。退保证金前，供应商必须提供加盖公章或财务专用章的收款收据。  </w:t>
      </w:r>
    </w:p>
    <w:p>
      <w:pPr>
        <w:shd w:val="clea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hd w:val="clear"/>
        <w:snapToGrid w:val="0"/>
        <w:spacing w:line="360" w:lineRule="auto"/>
        <w:ind w:left="120" w:leftChars="57" w:firstLine="482" w:firstLineChars="150"/>
        <w:jc w:val="center"/>
        <w:rPr>
          <w:rFonts w:cs="仿宋" w:asciiTheme="minorEastAsia" w:hAnsiTheme="minorEastAsia"/>
          <w:b/>
          <w:sz w:val="32"/>
        </w:rP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hd w:val="clear"/>
        <w:spacing w:line="360" w:lineRule="auto"/>
        <w:ind w:firstLine="489"/>
        <w:rPr>
          <w:rFonts w:cs="仿宋" w:asciiTheme="minorEastAsia" w:hAnsiTheme="minorEastAsia"/>
          <w:b/>
        </w:rPr>
      </w:pPr>
      <w:r>
        <w:rPr>
          <w:rFonts w:hint="eastAsia" w:cs="仿宋" w:asciiTheme="minorEastAsia" w:hAnsiTheme="minorEastAsia"/>
          <w:b/>
        </w:rPr>
        <w:t>27.验收</w:t>
      </w:r>
    </w:p>
    <w:p>
      <w:pPr>
        <w:shd w:val="clea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shd w:val="clea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hd w:val="clear"/>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21"/>
    </w:p>
    <w:p>
      <w:pPr>
        <w:shd w:val="clear"/>
        <w:rPr>
          <w:rFonts w:cs="仿宋" w:asciiTheme="minorEastAsia" w:hAnsiTheme="minorEastAsia"/>
          <w:kern w:val="0"/>
          <w:sz w:val="24"/>
        </w:rPr>
      </w:pPr>
    </w:p>
    <w:p>
      <w:pPr>
        <w:pStyle w:val="7"/>
        <w:shd w:val="clea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hd w:val="clea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hd w:val="clea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hd w:val="clea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hd w:val="clear"/>
        <w:spacing w:line="460" w:lineRule="exact"/>
        <w:jc w:val="center"/>
        <w:rPr>
          <w:sz w:val="24"/>
        </w:rPr>
      </w:pPr>
      <w:r>
        <w:rPr>
          <w:rFonts w:hint="eastAsia" w:cs="仿宋" w:asciiTheme="minorEastAsia" w:hAnsiTheme="minorEastAsia"/>
          <w:b/>
          <w:sz w:val="36"/>
          <w:szCs w:val="36"/>
        </w:rPr>
        <w:t>第三部分 采购需求</w:t>
      </w:r>
    </w:p>
    <w:p>
      <w:pPr>
        <w:pStyle w:val="7"/>
        <w:shd w:val="clear"/>
        <w:ind w:firstLine="480" w:firstLineChars="200"/>
        <w:rPr>
          <w:rFonts w:hint="eastAsia" w:cs="仿宋" w:asciiTheme="minorEastAsia" w:hAnsiTheme="minorEastAsia"/>
          <w:kern w:val="0"/>
        </w:rPr>
      </w:pPr>
      <w:r>
        <w:rPr>
          <w:rFonts w:hint="eastAsia" w:cs="仿宋" w:asciiTheme="minorEastAsia" w:hAnsiTheme="minorEastAsia"/>
          <w:kern w:val="0"/>
        </w:rPr>
        <w:t>一、采购内容</w:t>
      </w:r>
    </w:p>
    <w:p>
      <w:pPr>
        <w:pStyle w:val="7"/>
        <w:shd w:val="clear"/>
        <w:ind w:firstLine="480" w:firstLineChars="200"/>
        <w:rPr>
          <w:rFonts w:hint="eastAsia"/>
          <w:lang w:val="en-US" w:eastAsia="zh-CN"/>
        </w:rPr>
      </w:pPr>
      <w:r>
        <w:rPr>
          <w:rFonts w:hint="eastAsia"/>
          <w:lang w:val="en-US" w:eastAsia="zh-CN"/>
        </w:rPr>
        <w:t>杭州临江环境能源有限公司因日常生产需要，需采购电动阀门一批，具体如下：</w:t>
      </w:r>
    </w:p>
    <w:tbl>
      <w:tblPr>
        <w:tblStyle w:val="15"/>
        <w:tblW w:w="8796"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438"/>
        <w:gridCol w:w="932"/>
        <w:gridCol w:w="1368"/>
        <w:gridCol w:w="3605"/>
        <w:gridCol w:w="800"/>
        <w:gridCol w:w="718"/>
        <w:gridCol w:w="93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ascii="等线 Light" w:hAnsi="等线 Light" w:eastAsia="等线 Light" w:cs="等线 Light"/>
                <w:b/>
                <w:bCs/>
                <w:i w:val="0"/>
                <w:iCs w:val="0"/>
                <w:color w:val="000000"/>
                <w:sz w:val="21"/>
                <w:szCs w:val="21"/>
                <w:u w:val="none"/>
              </w:rPr>
            </w:pPr>
            <w:r>
              <w:rPr>
                <w:rFonts w:hint="eastAsia" w:ascii="等线 Light" w:hAnsi="等线 Light" w:eastAsia="等线 Light" w:cs="等线 Light"/>
                <w:b/>
                <w:bCs/>
                <w:i w:val="0"/>
                <w:iCs w:val="0"/>
                <w:color w:val="000000"/>
                <w:kern w:val="0"/>
                <w:sz w:val="21"/>
                <w:szCs w:val="21"/>
                <w:u w:val="none"/>
                <w:lang w:val="en-US" w:eastAsia="zh-CN" w:bidi="ar"/>
              </w:rPr>
              <w:t>序号</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b/>
                <w:bCs/>
                <w:i w:val="0"/>
                <w:iCs w:val="0"/>
                <w:color w:val="000000"/>
                <w:sz w:val="21"/>
                <w:szCs w:val="21"/>
                <w:u w:val="none"/>
              </w:rPr>
            </w:pPr>
            <w:r>
              <w:rPr>
                <w:rFonts w:hint="eastAsia" w:ascii="等线 Light" w:hAnsi="等线 Light" w:eastAsia="等线 Light" w:cs="等线 Light"/>
                <w:b/>
                <w:bCs/>
                <w:i w:val="0"/>
                <w:iCs w:val="0"/>
                <w:color w:val="000000"/>
                <w:kern w:val="0"/>
                <w:sz w:val="21"/>
                <w:szCs w:val="21"/>
                <w:u w:val="none"/>
                <w:lang w:val="en-US" w:eastAsia="zh-CN" w:bidi="ar"/>
              </w:rPr>
              <w:t>物资名称</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b/>
                <w:bCs/>
                <w:i w:val="0"/>
                <w:iCs w:val="0"/>
                <w:color w:val="000000"/>
                <w:sz w:val="21"/>
                <w:szCs w:val="21"/>
                <w:u w:val="none"/>
              </w:rPr>
            </w:pPr>
            <w:r>
              <w:rPr>
                <w:rFonts w:hint="eastAsia" w:ascii="等线 Light" w:hAnsi="等线 Light" w:eastAsia="等线 Light" w:cs="等线 Light"/>
                <w:b/>
                <w:bCs/>
                <w:i w:val="0"/>
                <w:iCs w:val="0"/>
                <w:color w:val="000000"/>
                <w:kern w:val="0"/>
                <w:sz w:val="21"/>
                <w:szCs w:val="21"/>
                <w:u w:val="none"/>
                <w:lang w:val="en-US" w:eastAsia="zh-CN" w:bidi="ar"/>
              </w:rPr>
              <w:t>品牌</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b/>
                <w:bCs/>
                <w:i w:val="0"/>
                <w:iCs w:val="0"/>
                <w:color w:val="000000"/>
                <w:sz w:val="21"/>
                <w:szCs w:val="21"/>
                <w:u w:val="none"/>
              </w:rPr>
            </w:pPr>
            <w:r>
              <w:rPr>
                <w:rFonts w:hint="eastAsia" w:ascii="等线 Light" w:hAnsi="等线 Light" w:eastAsia="等线 Light" w:cs="等线 Light"/>
                <w:b/>
                <w:bCs/>
                <w:i w:val="0"/>
                <w:iCs w:val="0"/>
                <w:color w:val="000000"/>
                <w:kern w:val="0"/>
                <w:sz w:val="21"/>
                <w:szCs w:val="21"/>
                <w:u w:val="none"/>
                <w:lang w:val="en-US" w:eastAsia="zh-CN" w:bidi="ar"/>
              </w:rPr>
              <w:t>型号规格</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b/>
                <w:bCs/>
                <w:i w:val="0"/>
                <w:iCs w:val="0"/>
                <w:color w:val="000000"/>
                <w:sz w:val="21"/>
                <w:szCs w:val="21"/>
                <w:u w:val="none"/>
              </w:rPr>
            </w:pPr>
            <w:r>
              <w:rPr>
                <w:rFonts w:hint="eastAsia" w:ascii="等线 Light" w:hAnsi="等线 Light" w:eastAsia="等线 Light" w:cs="等线 Light"/>
                <w:b/>
                <w:bCs/>
                <w:i w:val="0"/>
                <w:iCs w:val="0"/>
                <w:color w:val="000000"/>
                <w:kern w:val="0"/>
                <w:sz w:val="21"/>
                <w:szCs w:val="21"/>
                <w:u w:val="none"/>
                <w:lang w:val="en-US" w:eastAsia="zh-CN" w:bidi="ar"/>
              </w:rPr>
              <w:t>需求部门</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b/>
                <w:bCs/>
                <w:i w:val="0"/>
                <w:iCs w:val="0"/>
                <w:color w:val="000000"/>
                <w:sz w:val="21"/>
                <w:szCs w:val="21"/>
                <w:u w:val="none"/>
              </w:rPr>
            </w:pPr>
            <w:r>
              <w:rPr>
                <w:rFonts w:hint="eastAsia" w:ascii="等线 Light" w:hAnsi="等线 Light" w:eastAsia="等线 Light" w:cs="等线 Light"/>
                <w:b/>
                <w:bCs/>
                <w:i w:val="0"/>
                <w:iCs w:val="0"/>
                <w:color w:val="000000"/>
                <w:kern w:val="0"/>
                <w:sz w:val="21"/>
                <w:szCs w:val="21"/>
                <w:u w:val="none"/>
                <w:lang w:val="en-US" w:eastAsia="zh-CN" w:bidi="ar"/>
              </w:rPr>
              <w:t>单位</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b/>
                <w:bCs/>
                <w:i w:val="0"/>
                <w:iCs w:val="0"/>
                <w:color w:val="000000"/>
                <w:sz w:val="21"/>
                <w:szCs w:val="21"/>
                <w:u w:val="none"/>
              </w:rPr>
            </w:pPr>
            <w:r>
              <w:rPr>
                <w:rFonts w:hint="eastAsia" w:ascii="等线 Light" w:hAnsi="等线 Light" w:eastAsia="等线 Light" w:cs="等线 Light"/>
                <w:b/>
                <w:bCs/>
                <w:i w:val="0"/>
                <w:iCs w:val="0"/>
                <w:color w:val="000000"/>
                <w:kern w:val="0"/>
                <w:sz w:val="21"/>
                <w:szCs w:val="21"/>
                <w:u w:val="none"/>
                <w:lang w:val="en-US" w:eastAsia="zh-CN" w:bidi="ar"/>
              </w:rPr>
              <w:t>数量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型号：K302116，管径G1/4，线圈型号：MP-C-080，220VAC，含阀体</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型号：SCXG327B001，含阀体，密封圈</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3</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型号：K302276，管径G3/4，线圈型号：MP-C-080，220VAC，含阀体</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型号：SR561B-RN38DW(24v）</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型号：4V210-08，两位五通，单线圈24Vdc</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型号：4V210-08，两位五通，单线圈220VAC</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7</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型号：4M210-08，两位五通，单线圈24Vdc</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30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8</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亚德克/SMC/festo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型号：4M310-08，板式电磁阀</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9</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型号：4M310-10，两位五通，单线圈24Vdc</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10</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型号：4V110，两位五通，单线圈24Vdc</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11</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2S250-25B,材质：304，DN25</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12</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2S250-20B,材质：304，DN20</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13</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2S250-15B,材质：304，DN20</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14</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paker/ATOS/Bürkert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型号：ZB09,230V，9w，带阀体</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15</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paker/ATOS/Bürkert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型号：CH1227,115V，14MM，20w,带阀体,IP67</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16</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paker/ATOS/Bürkert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型号：E121K63,14W,230VAC，带阀体</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17</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电磁阀线圈</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24Vdc，4.8W，30mm*30mm*22mm，内孔9mm</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18</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电磁阀线圈</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220Vdc，6W，30mm*30mm*22mm，内孔9mm</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19</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电磁阀线圈</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丹佛斯/伊顿/或同等</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型号：H-507848，24Vdc，30W，K01/02</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20</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电磁阀线圈</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丹佛斯/伊顿/或同等</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型号：NR0200，DC24v，15w</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21</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电磁阀线圈</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丹佛斯/伊顿/或同等</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型号：N282，DC24v，20w</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22</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电磁阀线圈</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paker/ATOS/Bürkert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型号：483541P8，EZ96P8，115V/50Hz</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1"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23</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型号：YCH41-09-2GSP，内孔9mm，G1/4，AC220V，压力等级：0.01~12MPa，两位两通电磁阀，常温</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1"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24</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型号：PG-M02K，内孔1.5mm，G1/4，AC220V，压力等级：0~50bar，两位两通电磁阀，常温</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25</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型号：PU-20，0~10Bar，内丝管径3/4，线圈D410A6，线圈孔径20mm，两位两通电磁阀，常温</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26</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电动铸钢四氟对夹蝶阀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型号：D971F-16P，压力1.0MPa，DN80，软密封耐高温阀门；                                                              执行器型号：PWXD-05S，220VAC，开关行程带指示，2开反馈2闭反馈,</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4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27</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电动铸钢四氟对夹蝶阀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型号：D971F-16P，压力1.0MPa，DN125，软密封耐高温阀门；                                                                  执行器型号：PWXD-10S，220VAC，开关行程带指示，2开反馈2闭反馈,</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4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28</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电动对夹蝶阀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阀体型号：PWOY-D9S71X-16Q，DN80，PN1.6MPa，SS304阀板；                                                                     执行器型号：PWXD-05S，220VAC，开关行程带指示，2开反馈2闭反馈,</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4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29</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电动对夹蝶阀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阀体型号：PWOY-D9S71X-16Q，DN100,PN1.6MPa，SS304阀板；                                                                     执行器型号：PWXD-10S，220VAC，开关行程带指示，2开反馈2闭反馈,</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63"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30</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电动对夹蝶阀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阀体型号：PWOY-D9S71X-16Q,DN125,PN1.6MPa，SS304阀板；                                                                     执行器型号：PWXD-10S，220VAC，开关行程带指示，2开反馈2闭反馈,</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63"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31</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电动对夹蝶阀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阀体型号：PWOY-D9S71X-16Q,DN150,PN1.6MPa，SS304阀板；                                                           执行器型号：：PWXD-05S，220VAC，开关行程带指示，2开反馈2闭反馈,</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54"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32</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电动三片式高压球阀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阀体型号：2''F21/2''R，CF8M，1500WOG，；压力PN160/2000Psi；温度-40℃—180℃；不锈钢316；螺纹连接；  执行器型号：ACT-110B，220VAC，开关行程带指示，2开反馈2闭反馈,</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33</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电动调节阀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T967H-100,PN100,DN80,（天津市塘沽第一阀门有限公司，上海良工阀门厂有限公司，上海高压阀门厂集团有限公司）</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85"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34</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电动调节阀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T967H-100,PN100,DN125,需匹配rotork调节阀（天津市塘沽第一阀门有限公司，上海良工阀门厂有限公司，上海高压阀门厂集团有限公司）</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35</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电动调节阀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T967H-40,PN40,DN125,需匹配rotork调节阀（天津市塘沽第一阀门有限公司，上海良工阀门厂有限公司，上海高压阀门厂集团有限公司）</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36</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电动调节阀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T967H-100,PN100,DN32,需匹配rotork调节阀（天津市塘沽第一阀门有限公司，上海良工阀门厂有限公司，上海高压阀门厂集团有限公司）</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37</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电动调节阀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T967H-100,PN100,DN25,需匹配rotork调节阀（天津市塘沽第一阀门有限公司，上海良工阀门厂有限公司，上海高压阀门厂集团有限公司）</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38</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电动截止阀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J961Y-100I,PN100,DN125，需匹配rotork电动阀（天津市塘沽第一阀门有限公司，上海良工阀门厂有限公司，上海高压阀门厂集团有限公司）</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39</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电动截止阀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J961H-100,PN100,DN50，需匹配rotork电动阀（天津市塘沽第一阀门有限公司，上海良工阀门厂有限公司，上海高压阀门厂集团有限公司）</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40</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电动截止阀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J961Y-100,PN100,DN65，需匹配rotork电动阀（天津市塘沽第一阀门有限公司，上海良工阀门厂有限公司，上海高压阀门厂集团有限公司）</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41</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电动截止阀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J961Y-100,PN100,DN50，需匹配rotork电动阀（天津市塘沽第一阀门有限公司，上海良工阀门厂有限公司，上海高压阀门厂集团有限公司）</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42</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电动截止阀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J961H-100,PN100,DN80，需匹配rotork电动阀（天津市塘沽第一阀门有限公司，上海良工阀门厂有限公司，上海高压阀门厂集团有限公司）</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43</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电动调节阀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T967H-100,PN100,DN32，需匹配rotork电动阀（天津市塘沽第一阀门有限公司，上海良工阀门厂有限公司，上海高压阀门厂集团有限公司）</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44</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电动截止阀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J961Y-100,PN100,DN20，需匹配rotork电动阀（天津市塘沽第一阀门有限公司，上海良工阀门厂有限公司，上海高压阀门厂集团有限公司）</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45</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电动闸阀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Z961Y-100I,PN100,DN250，需匹配rotork电动阀（天津市塘沽第一阀门有限公司，上海良工阀门厂有限公司，上海高压阀门厂集团有限公司）</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46</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喷吹阀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型号：SCR353G230，DC24V，76mm管径，3寸</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47</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喷吹阀膜片</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型号：SCR353G230，配合膜片，3寸，含大膜片，小膜片，弹簧</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48</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喷吹阀密封圈</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型号：SCR353G230，大、小密封圈一套</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49</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气动电磁阀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型号：G531C002MS，DC24V</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50</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气动电磁阀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型号：G531C017MS，AC220V</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1"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51</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垃圾吊电磁阀插头</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MURR 230V AC\DC 0.5A（全波整流）</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1"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52</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垃圾吊电磁阀线圈</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YHC22B-20500E1 205VDC 100%ED 0.15A</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53</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电磁阀线圈</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CJT1-40 50Hz 380V 3600匝 铜线线径0.18</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1"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54</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法兰型电磁阀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ZQDF-1Y-25P，通径20mm，DC24V，介质：水、耐温＜180℃，法兰DN20，PN1.6MPa</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55</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法兰型电磁阀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ZQDF-1Y-16P DN32，DC24V，介质：水、耐温＜180℃，PN1.6MPa</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56</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防爆电磁阀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型号：4V210配EX0960,额定电流0.16A,功率3.8W；电压24VDC</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1"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57</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熔断式保护电磁阀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型号：HP19B,复位手轮</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1"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58</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脉冲喷吹电磁阀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型号：DMF-Z-20A,24VDC，6寸</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59</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电子排水器</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乔克/正泰/德力西</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型号：MIC-B，分体式，4分管，24Vdc</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60</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电子排水器</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乔克/正泰/德力西</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型号：MIC-A，一体式，4分管，220Vdc</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61</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电动比例调节阀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埃克托德（actored）</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执行器型号：GEA20A，电源：220VAC，扭矩2000N，IP65，含阀门，阀门型号：T634,接口：3/4NPT，PN100，阀门材质：316L</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62</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电动开关阀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埃克托德（actored）</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型号：AGT-110B，扭矩：110Nm，电源：AC220V,IP67，含阀门，球阀，材质：CF8M 1500WOG，DN65，R型螺纹</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63</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布袋脉冲电磁阀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CA45FS010-30530</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3"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64</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Q941X-10P DN65</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65</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Q941X-10P DN80</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66</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Q941X-10P DN50</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67</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Q941X-10P DN40</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68</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Q941X-10P DN32</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69</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Q941X-10P DN25</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70</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电动球阀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南京方威，FVQ13AC-B，AC100-230V，2W，10N.M，IP50，常闭型</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71</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4WE6Y6X/EW220RNZ5L</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72</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SCG551A017MS DC24V 带线圈</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套</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73</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2W160-15 线圈：24VDC</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只</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74</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参照或者相当于VXZ240GGAXB 线圈：24VDC（</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只</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75</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参照或者相当于NFB210D002 线圈：24VDC</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只</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76</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参照或者相当于SCE238D002 线圈：24VDC</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只</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77</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参照或者相当于SCG553A017MS 线圈：24VDC</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只</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78</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参照或者相当于4V210-08  线圈：AC220V</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只</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79</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参照或者相当于4V210-08  线圈：DC24V</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只</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80</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2W-160-15，PN10，线圈电压220VAC，四分内螺纹</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只</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81</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型号：4M310-08</w:t>
            </w:r>
            <w:r>
              <w:rPr>
                <w:rFonts w:hint="eastAsia" w:ascii="等线 Light" w:hAnsi="等线 Light" w:eastAsia="等线 Light" w:cs="等线 Light"/>
                <w:i w:val="0"/>
                <w:iCs w:val="0"/>
                <w:color w:val="000000"/>
                <w:kern w:val="0"/>
                <w:sz w:val="21"/>
                <w:szCs w:val="21"/>
                <w:u w:val="none"/>
                <w:lang w:val="en-US" w:eastAsia="zh-CN" w:bidi="ar"/>
              </w:rPr>
              <w:br w:type="textWrapping"/>
            </w:r>
            <w:r>
              <w:rPr>
                <w:rFonts w:hint="eastAsia" w:ascii="等线 Light" w:hAnsi="等线 Light" w:eastAsia="等线 Light" w:cs="等线 Light"/>
                <w:i w:val="0"/>
                <w:iCs w:val="0"/>
                <w:color w:val="000000"/>
                <w:kern w:val="0"/>
                <w:sz w:val="21"/>
                <w:szCs w:val="21"/>
                <w:u w:val="none"/>
                <w:lang w:val="en-US" w:eastAsia="zh-CN" w:bidi="ar"/>
              </w:rPr>
              <w:t>线圈电压：DC24V</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只</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3"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82</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SMC</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SY5120-5GZD-01 24V</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套</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83</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SMC</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SY9120-5DZ-03 带线圈</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套</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84</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SMC</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SY9220-5LZD-03(含两个电磁阀线圈)</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套</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85</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电磁阀带线圈</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G553A017MS  DC24V</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套</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1"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86</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电磁阀防爆线圈</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0960   线圈：24VDC</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只</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87</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电磁阀线圈</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G551A017MS</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只</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88</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电磁阀线圈</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G553A017MS配套电磁线圈  DC24V</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只</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6"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89</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防爆电磁阀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4V410-15/24V</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个</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w:t>
            </w:r>
          </w:p>
        </w:tc>
      </w:tr>
    </w:tbl>
    <w:p>
      <w:pPr>
        <w:pStyle w:val="2"/>
        <w:rPr>
          <w:rFonts w:hint="eastAsia"/>
          <w:lang w:val="en-US"/>
        </w:rPr>
      </w:pPr>
    </w:p>
    <w:p>
      <w:pPr>
        <w:pStyle w:val="7"/>
        <w:shd w:val="clear"/>
        <w:ind w:firstLine="480" w:firstLineChars="200"/>
        <w:rPr>
          <w:lang w:val="en-US"/>
        </w:rPr>
      </w:pPr>
      <w:r>
        <w:rPr>
          <w:rFonts w:hint="eastAsia" w:cs="仿宋" w:asciiTheme="minorEastAsia" w:hAnsiTheme="minorEastAsia"/>
          <w:kern w:val="0"/>
        </w:rPr>
        <w:t>▲</w:t>
      </w:r>
      <w:r>
        <w:rPr>
          <w:rFonts w:hint="eastAsia"/>
          <w:b/>
          <w:bCs/>
          <w:lang w:val="en-US"/>
        </w:rPr>
        <w:t>二、合同期限</w:t>
      </w:r>
      <w:r>
        <w:rPr>
          <w:rFonts w:hint="eastAsia"/>
          <w:lang w:val="en-US"/>
        </w:rPr>
        <w:t>：</w:t>
      </w:r>
      <w:r>
        <w:rPr>
          <w:rFonts w:hint="eastAsia"/>
          <w:lang w:val="en-US" w:eastAsia="zh-CN"/>
        </w:rPr>
        <w:t xml:space="preserve"> 自合同签订后一年</w:t>
      </w:r>
      <w:r>
        <w:rPr>
          <w:rFonts w:hint="eastAsia"/>
          <w:lang w:val="en-US"/>
        </w:rPr>
        <w:t>；</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7"/>
        <w:shd w:val="clear"/>
        <w:ind w:firstLine="480" w:firstLineChars="200"/>
        <w:rPr>
          <w:lang w:val="en-US"/>
        </w:rPr>
      </w:pPr>
      <w:r>
        <w:rPr>
          <w:rFonts w:hint="eastAsia"/>
          <w:lang w:val="en-US"/>
        </w:rPr>
        <w:t>1.品牌和型号等技术参数满足采购内容中的规格型号/技术要求；</w:t>
      </w:r>
    </w:p>
    <w:p>
      <w:pPr>
        <w:pStyle w:val="7"/>
        <w:shd w:val="clear"/>
        <w:ind w:firstLine="480" w:firstLineChars="200"/>
        <w:rPr>
          <w:lang w:val="en-US"/>
        </w:rPr>
      </w:pPr>
      <w:r>
        <w:rPr>
          <w:rFonts w:hint="eastAsia"/>
          <w:lang w:val="en-US"/>
        </w:rPr>
        <w:t>2.</w:t>
      </w:r>
      <w:r>
        <w:rPr>
          <w:rFonts w:hint="eastAsia"/>
          <w:lang w:val="en-US" w:eastAsia="zh-CN"/>
        </w:rPr>
        <w:t>供应商</w:t>
      </w:r>
      <w:r>
        <w:rPr>
          <w:rFonts w:hint="eastAsia"/>
          <w:lang w:val="en-US"/>
        </w:rPr>
        <w:t>提供的</w:t>
      </w:r>
      <w:r>
        <w:rPr>
          <w:rFonts w:hint="eastAsia"/>
          <w:lang w:val="en-US" w:eastAsia="zh-CN"/>
        </w:rPr>
        <w:t>货物</w:t>
      </w:r>
      <w:r>
        <w:rPr>
          <w:rFonts w:hint="eastAsia"/>
          <w:lang w:val="en-US"/>
        </w:rPr>
        <w:t>必须为原厂正品，不得为假冒伪劣产品。</w:t>
      </w:r>
    </w:p>
    <w:p>
      <w:pPr>
        <w:pStyle w:val="7"/>
        <w:shd w:val="clear"/>
        <w:ind w:firstLine="480" w:firstLineChars="200"/>
        <w:rPr>
          <w:rFonts w:hint="default" w:eastAsiaTheme="minorEastAsia"/>
          <w:lang w:val="en-US" w:eastAsia="zh-CN"/>
        </w:rPr>
      </w:pPr>
      <w:r>
        <w:rPr>
          <w:lang w:val="en-US"/>
        </w:rPr>
        <w:t>3</w:t>
      </w:r>
      <w:r>
        <w:rPr>
          <w:rFonts w:hint="eastAsia"/>
          <w:lang w:val="en-US"/>
        </w:rPr>
        <w:t>.</w:t>
      </w:r>
      <w:r>
        <w:rPr>
          <w:rFonts w:hint="eastAsia"/>
          <w:lang w:val="en-US" w:eastAsia="zh-CN"/>
        </w:rPr>
        <w:t>质保期：验收合格后1年。若质保期内出现质量问题（非质量问题除外），供应商负责免费更换或维修，产生的费用全部由供应商承担。</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7"/>
        <w:numPr>
          <w:ilvl w:val="0"/>
          <w:numId w:val="1"/>
        </w:numPr>
        <w:shd w:val="clear"/>
        <w:ind w:firstLine="480" w:firstLineChars="200"/>
        <w:rPr>
          <w:rFonts w:hint="eastAsia"/>
          <w:color w:val="auto"/>
          <w:lang w:val="en-US" w:eastAsia="zh-CN"/>
        </w:rPr>
      </w:pPr>
      <w:r>
        <w:rPr>
          <w:rFonts w:hint="eastAsia"/>
          <w:lang w:val="en-US" w:eastAsia="zh-CN"/>
        </w:rPr>
        <w:t>供应商</w:t>
      </w:r>
      <w:r>
        <w:rPr>
          <w:rFonts w:hint="eastAsia"/>
          <w:lang w:val="en-US"/>
        </w:rPr>
        <w:t>须提供该</w:t>
      </w:r>
      <w:r>
        <w:rPr>
          <w:rFonts w:hint="eastAsia"/>
          <w:lang w:val="en-US" w:eastAsia="zh-CN"/>
        </w:rPr>
        <w:t>批次货物生产厂家的出厂检</w:t>
      </w:r>
      <w:r>
        <w:rPr>
          <w:rFonts w:hint="eastAsia"/>
          <w:color w:val="auto"/>
          <w:lang w:val="en-US" w:eastAsia="zh-CN"/>
        </w:rPr>
        <w:t>验合格报告或质量证明材料（进口货物提供质量证明材料，如报关单、原产地证明、质量证明等一种或者多种纸质材料，国产货物提供合格证等纸质材料）和送货单，配合采购人做好货物的到货数量验收工作，将货物运达采购人指定交货地点后及时书面通知采购人，双方指定人员现场确认送货数量并由双方签字确认。</w:t>
      </w:r>
    </w:p>
    <w:p>
      <w:pPr>
        <w:pStyle w:val="8"/>
        <w:numPr>
          <w:ilvl w:val="0"/>
          <w:numId w:val="1"/>
        </w:numPr>
        <w:rPr>
          <w:lang w:val="en-US"/>
        </w:rPr>
      </w:pPr>
      <w:r>
        <w:rPr>
          <w:rFonts w:hint="eastAsia"/>
          <w:lang w:val="en-US"/>
        </w:rPr>
        <w:t>货物交付前，</w:t>
      </w:r>
      <w:r>
        <w:rPr>
          <w:rFonts w:hint="eastAsia"/>
          <w:lang w:val="en-US" w:eastAsia="zh-CN"/>
        </w:rPr>
        <w:t>采购人</w:t>
      </w:r>
      <w:r>
        <w:rPr>
          <w:rFonts w:hint="eastAsia"/>
          <w:lang w:val="en-US"/>
        </w:rPr>
        <w:t>对货物的质量、数量等方面进行详细、全面的检验，</w:t>
      </w:r>
      <w:r>
        <w:rPr>
          <w:rFonts w:hint="eastAsia"/>
          <w:lang w:val="en-US" w:eastAsia="zh-CN"/>
        </w:rPr>
        <w:t>供应商</w:t>
      </w:r>
      <w:r>
        <w:rPr>
          <w:rFonts w:hint="eastAsia"/>
          <w:lang w:val="en-US"/>
        </w:rPr>
        <w:t>向</w:t>
      </w:r>
      <w:r>
        <w:rPr>
          <w:rFonts w:hint="eastAsia"/>
          <w:lang w:val="en-US" w:eastAsia="zh-CN"/>
        </w:rPr>
        <w:t>采购人</w:t>
      </w:r>
      <w:r>
        <w:rPr>
          <w:rFonts w:hint="eastAsia"/>
          <w:lang w:val="en-US"/>
        </w:rPr>
        <w:t>出具证明货物符合合同约定的文件，同时</w:t>
      </w:r>
      <w:r>
        <w:rPr>
          <w:rFonts w:hint="eastAsia"/>
          <w:lang w:val="en-US" w:eastAsia="zh-CN"/>
        </w:rPr>
        <w:t>采购人</w:t>
      </w:r>
      <w:r>
        <w:rPr>
          <w:rFonts w:hint="eastAsia"/>
          <w:lang w:val="en-US"/>
        </w:rPr>
        <w:t>采用光谱仪对货物进行材质及成分检测，检测标准按照国标 GB/T 4238-2015 成分数据为准</w:t>
      </w:r>
      <w:r>
        <w:rPr>
          <w:rFonts w:hint="eastAsia"/>
          <w:lang w:val="en-US" w:eastAsia="zh-CN"/>
        </w:rPr>
        <w:t>，材质检测不符则验收不合格。</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7"/>
        <w:shd w:val="clear"/>
        <w:ind w:firstLine="480" w:firstLineChars="200"/>
        <w:rPr>
          <w:lang w:val="en-US"/>
        </w:rPr>
      </w:pPr>
      <w:r>
        <w:rPr>
          <w:rFonts w:hint="eastAsia"/>
          <w:lang w:val="en-US"/>
        </w:rPr>
        <w:t>根据采购人生产计划，</w:t>
      </w:r>
      <w:r>
        <w:rPr>
          <w:rFonts w:hint="eastAsia"/>
          <w:color w:val="auto"/>
          <w:lang w:val="en-US" w:eastAsia="zh-CN"/>
        </w:rPr>
        <w:t>按需供货，供应</w:t>
      </w:r>
      <w:r>
        <w:rPr>
          <w:rFonts w:hint="eastAsia"/>
          <w:lang w:val="en-US" w:eastAsia="zh-CN"/>
        </w:rPr>
        <w:t>商</w:t>
      </w:r>
      <w:r>
        <w:rPr>
          <w:rFonts w:hint="eastAsia"/>
          <w:lang w:val="en-US"/>
        </w:rPr>
        <w:t>负责在接到采购人电话或书面通知后在</w:t>
      </w:r>
      <w:r>
        <w:rPr>
          <w:rFonts w:hint="eastAsia"/>
          <w:lang w:val="en-US" w:eastAsia="zh-CN"/>
        </w:rPr>
        <w:t>15个工作日内完成供货</w:t>
      </w:r>
      <w:r>
        <w:rPr>
          <w:rFonts w:hint="eastAsia"/>
          <w:lang w:val="en-US"/>
        </w:rPr>
        <w:t>。</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8"/>
        <w:shd w:val="clear"/>
        <w:ind w:firstLine="480" w:firstLineChars="200"/>
        <w:rPr>
          <w:lang w:val="en-US"/>
        </w:rPr>
      </w:pPr>
      <w:r>
        <w:rPr>
          <w:rFonts w:hint="eastAsia"/>
          <w:lang w:val="en-US"/>
        </w:rPr>
        <w:t>以本询价采购文件中的合同条款为准。</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7"/>
        <w:shd w:val="clear"/>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采购人通知后必须4小时内赶到现场进行处理，12小时内做出书面答复并提供解决方案。若需要派遣技术人员，则应在接到采购人通知后</w:t>
      </w:r>
      <w:r>
        <w:rPr>
          <w:rFonts w:hint="eastAsia"/>
          <w:lang w:val="en-US" w:eastAsia="zh-CN"/>
        </w:rPr>
        <w:t>，</w:t>
      </w:r>
      <w:r>
        <w:rPr>
          <w:rFonts w:hint="eastAsia" w:ascii="宋体"/>
          <w:lang w:val="en-US"/>
        </w:rPr>
        <w:t>24小时内派人员到达现场进行免费指导解决问题。</w:t>
      </w:r>
    </w:p>
    <w:p>
      <w:pPr>
        <w:pStyle w:val="7"/>
        <w:shd w:val="clear"/>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7"/>
        <w:shd w:val="clear"/>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pPr>
        <w:pStyle w:val="13"/>
        <w:shd w:val="clear"/>
      </w:pPr>
    </w:p>
    <w:p>
      <w:pPr>
        <w:shd w:val="clear"/>
        <w:spacing w:line="460" w:lineRule="exact"/>
        <w:jc w:val="center"/>
        <w:rPr>
          <w:rFonts w:cs="仿宋" w:asciiTheme="minorEastAsia" w:hAnsiTheme="minorEastAsia"/>
          <w:b/>
          <w:sz w:val="36"/>
          <w:szCs w:val="36"/>
        </w:rPr>
      </w:pPr>
    </w:p>
    <w:p>
      <w:pPr>
        <w:shd w:val="clea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22" w:name="_Toc184312106"/>
      <w:bookmarkEnd w:id="22"/>
      <w:bookmarkStart w:id="23" w:name="_Toc184310343"/>
      <w:bookmarkEnd w:id="23"/>
      <w:bookmarkStart w:id="24" w:name="_Toc184312099"/>
      <w:bookmarkEnd w:id="24"/>
      <w:bookmarkStart w:id="25" w:name="_Toc184314431"/>
      <w:bookmarkEnd w:id="25"/>
      <w:bookmarkStart w:id="26" w:name="_Toc184313281"/>
      <w:bookmarkEnd w:id="26"/>
      <w:bookmarkStart w:id="27" w:name="_Toc184310297"/>
      <w:bookmarkEnd w:id="27"/>
      <w:bookmarkStart w:id="28" w:name="_Toc184313250"/>
      <w:bookmarkEnd w:id="28"/>
      <w:bookmarkStart w:id="29" w:name="_Toc184310274"/>
      <w:bookmarkEnd w:id="29"/>
      <w:bookmarkStart w:id="30" w:name="_Toc184313291"/>
      <w:bookmarkEnd w:id="30"/>
      <w:bookmarkStart w:id="31" w:name="_Toc184308088"/>
      <w:bookmarkEnd w:id="31"/>
      <w:bookmarkStart w:id="32" w:name="_Toc184314419"/>
      <w:bookmarkEnd w:id="32"/>
      <w:bookmarkStart w:id="33" w:name="_Toc184314430"/>
      <w:bookmarkEnd w:id="33"/>
      <w:bookmarkStart w:id="34" w:name="_Toc184310277"/>
      <w:bookmarkEnd w:id="34"/>
      <w:bookmarkStart w:id="35" w:name="_Toc184308069"/>
      <w:bookmarkEnd w:id="35"/>
      <w:bookmarkStart w:id="36" w:name="_Toc184312067"/>
      <w:bookmarkEnd w:id="36"/>
      <w:bookmarkStart w:id="37" w:name="_Toc184312125"/>
      <w:bookmarkEnd w:id="37"/>
      <w:bookmarkStart w:id="38" w:name="_Toc184310292"/>
      <w:bookmarkEnd w:id="38"/>
      <w:bookmarkStart w:id="39" w:name="_Toc184312100"/>
      <w:bookmarkEnd w:id="39"/>
      <w:bookmarkStart w:id="40" w:name="_Toc184314470"/>
      <w:bookmarkEnd w:id="40"/>
      <w:bookmarkStart w:id="41" w:name="_Toc184313277"/>
      <w:bookmarkEnd w:id="41"/>
      <w:bookmarkStart w:id="42" w:name="_Toc184310294"/>
      <w:bookmarkEnd w:id="42"/>
      <w:bookmarkStart w:id="43" w:name="_Toc184308048"/>
      <w:bookmarkEnd w:id="43"/>
      <w:bookmarkStart w:id="44" w:name="_Toc184308044"/>
      <w:bookmarkEnd w:id="44"/>
      <w:bookmarkStart w:id="45" w:name="_Toc184314467"/>
      <w:bookmarkEnd w:id="45"/>
      <w:bookmarkStart w:id="46" w:name="_Toc184314416"/>
      <w:bookmarkEnd w:id="46"/>
      <w:bookmarkStart w:id="47" w:name="_Toc184314474"/>
      <w:bookmarkEnd w:id="47"/>
      <w:bookmarkStart w:id="48" w:name="_Toc184308059"/>
      <w:bookmarkEnd w:id="48"/>
      <w:bookmarkStart w:id="49" w:name="_Toc184313263"/>
      <w:bookmarkEnd w:id="49"/>
      <w:bookmarkStart w:id="50" w:name="_Toc184314437"/>
      <w:bookmarkEnd w:id="50"/>
      <w:bookmarkStart w:id="51" w:name="_Toc184314443"/>
      <w:bookmarkEnd w:id="51"/>
      <w:bookmarkStart w:id="52" w:name="_Toc184310300"/>
      <w:bookmarkEnd w:id="52"/>
      <w:bookmarkStart w:id="53" w:name="_Toc184308103"/>
      <w:bookmarkEnd w:id="53"/>
      <w:bookmarkStart w:id="54" w:name="_Toc184310290"/>
      <w:bookmarkEnd w:id="54"/>
      <w:bookmarkStart w:id="55" w:name="_Toc184310319"/>
      <w:bookmarkEnd w:id="55"/>
      <w:bookmarkStart w:id="56" w:name="_Toc184313257"/>
      <w:bookmarkEnd w:id="56"/>
      <w:bookmarkStart w:id="57" w:name="_Toc184313272"/>
      <w:bookmarkEnd w:id="57"/>
      <w:bookmarkStart w:id="58" w:name="_Toc184308043"/>
      <w:bookmarkEnd w:id="58"/>
      <w:bookmarkStart w:id="59" w:name="_Toc184308037"/>
      <w:bookmarkEnd w:id="59"/>
      <w:bookmarkStart w:id="60" w:name="_Toc184314447"/>
      <w:bookmarkEnd w:id="60"/>
      <w:bookmarkStart w:id="61" w:name="_Toc184308041"/>
      <w:bookmarkEnd w:id="61"/>
      <w:bookmarkStart w:id="62" w:name="_Toc184310321"/>
      <w:bookmarkEnd w:id="62"/>
      <w:bookmarkStart w:id="63" w:name="_Toc184313271"/>
      <w:bookmarkEnd w:id="63"/>
      <w:bookmarkStart w:id="64" w:name="_Toc184310306"/>
      <w:bookmarkEnd w:id="64"/>
      <w:bookmarkStart w:id="65" w:name="_Toc184312069"/>
      <w:bookmarkEnd w:id="65"/>
      <w:bookmarkStart w:id="66" w:name="_Toc184314457"/>
      <w:bookmarkEnd w:id="66"/>
      <w:bookmarkStart w:id="67" w:name="_Toc184312073"/>
      <w:bookmarkEnd w:id="67"/>
      <w:bookmarkStart w:id="68" w:name="_Toc184313251"/>
      <w:bookmarkEnd w:id="68"/>
      <w:bookmarkStart w:id="69" w:name="_Toc184313292"/>
      <w:bookmarkEnd w:id="69"/>
      <w:bookmarkStart w:id="70" w:name="_Toc184313284"/>
      <w:bookmarkEnd w:id="70"/>
      <w:bookmarkStart w:id="71" w:name="_Toc184310280"/>
      <w:bookmarkEnd w:id="71"/>
      <w:bookmarkStart w:id="72" w:name="_Toc184308077"/>
      <w:bookmarkEnd w:id="72"/>
      <w:bookmarkStart w:id="73" w:name="_Toc184310298"/>
      <w:bookmarkEnd w:id="73"/>
      <w:bookmarkStart w:id="74" w:name="_Toc184312108"/>
      <w:bookmarkEnd w:id="74"/>
      <w:bookmarkStart w:id="75" w:name="_Toc184314442"/>
      <w:bookmarkEnd w:id="75"/>
      <w:bookmarkStart w:id="76" w:name="_Toc184314473"/>
      <w:bookmarkEnd w:id="76"/>
      <w:bookmarkStart w:id="77" w:name="_Toc184312137"/>
      <w:bookmarkEnd w:id="77"/>
      <w:bookmarkStart w:id="78" w:name="_Toc184314418"/>
      <w:bookmarkEnd w:id="78"/>
      <w:bookmarkStart w:id="79" w:name="_Toc184314439"/>
      <w:bookmarkEnd w:id="79"/>
      <w:bookmarkStart w:id="80" w:name="_Toc184314478"/>
      <w:bookmarkEnd w:id="80"/>
      <w:bookmarkStart w:id="81" w:name="_Toc184312115"/>
      <w:bookmarkEnd w:id="81"/>
      <w:bookmarkStart w:id="82" w:name="_Toc184308107"/>
      <w:bookmarkEnd w:id="82"/>
      <w:bookmarkStart w:id="83" w:name="_Toc184312070"/>
      <w:bookmarkEnd w:id="83"/>
      <w:bookmarkStart w:id="84" w:name="_Toc184313247"/>
      <w:bookmarkEnd w:id="84"/>
      <w:bookmarkStart w:id="85" w:name="_Toc184310315"/>
      <w:bookmarkEnd w:id="85"/>
      <w:bookmarkStart w:id="86" w:name="_Toc184312095"/>
      <w:bookmarkEnd w:id="86"/>
      <w:bookmarkStart w:id="87" w:name="_Toc184308081"/>
      <w:bookmarkEnd w:id="87"/>
      <w:bookmarkStart w:id="88" w:name="_Toc184314466"/>
      <w:bookmarkEnd w:id="88"/>
      <w:bookmarkStart w:id="89" w:name="_Toc184310342"/>
      <w:bookmarkEnd w:id="89"/>
      <w:bookmarkStart w:id="90" w:name="_Toc184313288"/>
      <w:bookmarkEnd w:id="90"/>
      <w:bookmarkStart w:id="91" w:name="_Toc184314427"/>
      <w:bookmarkEnd w:id="91"/>
      <w:bookmarkStart w:id="92" w:name="_Toc184314458"/>
      <w:bookmarkEnd w:id="92"/>
      <w:bookmarkStart w:id="93" w:name="_Toc184312072"/>
      <w:bookmarkEnd w:id="93"/>
      <w:bookmarkStart w:id="94" w:name="_Toc184313238"/>
      <w:bookmarkEnd w:id="94"/>
      <w:bookmarkStart w:id="95" w:name="_Toc184308068"/>
      <w:bookmarkEnd w:id="95"/>
      <w:bookmarkStart w:id="96" w:name="_Toc184308097"/>
      <w:bookmarkEnd w:id="96"/>
      <w:bookmarkStart w:id="97" w:name="_Toc184313262"/>
      <w:bookmarkEnd w:id="97"/>
      <w:bookmarkStart w:id="98" w:name="_Toc184308064"/>
      <w:bookmarkEnd w:id="98"/>
      <w:bookmarkStart w:id="99" w:name="_Toc184313260"/>
      <w:bookmarkEnd w:id="99"/>
      <w:bookmarkStart w:id="100" w:name="_Toc184314436"/>
      <w:bookmarkEnd w:id="100"/>
      <w:bookmarkStart w:id="101" w:name="_Toc184310323"/>
      <w:bookmarkEnd w:id="101"/>
      <w:bookmarkStart w:id="102" w:name="_Toc184312090"/>
      <w:bookmarkEnd w:id="102"/>
      <w:bookmarkStart w:id="103" w:name="_Toc184308070"/>
      <w:bookmarkEnd w:id="103"/>
      <w:bookmarkStart w:id="104" w:name="_Toc184314426"/>
      <w:bookmarkEnd w:id="104"/>
      <w:bookmarkStart w:id="105" w:name="_Toc184314424"/>
      <w:bookmarkEnd w:id="105"/>
      <w:bookmarkStart w:id="106" w:name="_Toc184312138"/>
      <w:bookmarkEnd w:id="106"/>
      <w:bookmarkStart w:id="107" w:name="_Toc184313306"/>
      <w:bookmarkEnd w:id="107"/>
      <w:bookmarkStart w:id="108" w:name="_Toc184314449"/>
      <w:bookmarkEnd w:id="108"/>
      <w:bookmarkStart w:id="109" w:name="_Toc184314450"/>
      <w:bookmarkEnd w:id="109"/>
      <w:bookmarkStart w:id="110" w:name="_Toc184308101"/>
      <w:bookmarkEnd w:id="110"/>
      <w:bookmarkStart w:id="111" w:name="_Toc184312133"/>
      <w:bookmarkEnd w:id="111"/>
      <w:bookmarkStart w:id="112" w:name="_Toc184308094"/>
      <w:bookmarkEnd w:id="112"/>
      <w:bookmarkStart w:id="113" w:name="_Toc184314421"/>
      <w:bookmarkEnd w:id="113"/>
      <w:bookmarkStart w:id="114" w:name="_Toc184314435"/>
      <w:bookmarkEnd w:id="114"/>
      <w:bookmarkStart w:id="115" w:name="_Toc184313239"/>
      <w:bookmarkEnd w:id="115"/>
      <w:bookmarkStart w:id="116" w:name="_Toc184312129"/>
      <w:bookmarkEnd w:id="116"/>
      <w:bookmarkStart w:id="117" w:name="_Toc184310318"/>
      <w:bookmarkEnd w:id="117"/>
      <w:bookmarkStart w:id="118" w:name="_Toc184312136"/>
      <w:bookmarkEnd w:id="118"/>
      <w:bookmarkStart w:id="119" w:name="_Toc184310286"/>
      <w:bookmarkEnd w:id="119"/>
      <w:bookmarkStart w:id="120" w:name="_Toc184313265"/>
      <w:bookmarkEnd w:id="120"/>
      <w:bookmarkStart w:id="121" w:name="_Toc184308091"/>
      <w:bookmarkEnd w:id="121"/>
      <w:bookmarkStart w:id="122" w:name="_Toc184313264"/>
      <w:bookmarkEnd w:id="122"/>
      <w:bookmarkStart w:id="123" w:name="_Toc184308066"/>
      <w:bookmarkEnd w:id="123"/>
      <w:bookmarkStart w:id="124" w:name="_Toc184308058"/>
      <w:bookmarkEnd w:id="124"/>
      <w:bookmarkStart w:id="125" w:name="_Toc184308056"/>
      <w:bookmarkEnd w:id="125"/>
      <w:bookmarkStart w:id="126" w:name="_Toc184308102"/>
      <w:bookmarkEnd w:id="126"/>
      <w:bookmarkStart w:id="127" w:name="_Toc184314444"/>
      <w:bookmarkEnd w:id="127"/>
      <w:bookmarkStart w:id="128" w:name="_Toc184310329"/>
      <w:bookmarkEnd w:id="128"/>
      <w:bookmarkStart w:id="129" w:name="_Toc184310291"/>
      <w:bookmarkEnd w:id="129"/>
      <w:bookmarkStart w:id="130" w:name="_Toc184310322"/>
      <w:bookmarkEnd w:id="130"/>
      <w:bookmarkStart w:id="131" w:name="_Toc184314410"/>
      <w:bookmarkEnd w:id="131"/>
      <w:bookmarkStart w:id="132" w:name="_Toc184313261"/>
      <w:bookmarkEnd w:id="132"/>
      <w:bookmarkStart w:id="133" w:name="_Toc184312111"/>
      <w:bookmarkEnd w:id="133"/>
      <w:bookmarkStart w:id="134" w:name="_Toc184314434"/>
      <w:bookmarkEnd w:id="134"/>
      <w:bookmarkStart w:id="135" w:name="_Toc184314475"/>
      <w:bookmarkEnd w:id="135"/>
      <w:bookmarkStart w:id="136" w:name="_Toc184312082"/>
      <w:bookmarkEnd w:id="136"/>
      <w:bookmarkStart w:id="137" w:name="_Toc184312112"/>
      <w:bookmarkEnd w:id="137"/>
      <w:bookmarkStart w:id="138" w:name="_Toc184308065"/>
      <w:bookmarkEnd w:id="138"/>
      <w:bookmarkStart w:id="139" w:name="_Toc184310281"/>
      <w:bookmarkEnd w:id="139"/>
      <w:bookmarkStart w:id="140" w:name="_Toc184308046"/>
      <w:bookmarkEnd w:id="140"/>
      <w:bookmarkStart w:id="141" w:name="_Toc184313283"/>
      <w:bookmarkEnd w:id="141"/>
      <w:bookmarkStart w:id="142" w:name="_Toc184313308"/>
      <w:bookmarkEnd w:id="142"/>
      <w:bookmarkStart w:id="143" w:name="_Toc184310332"/>
      <w:bookmarkEnd w:id="143"/>
      <w:bookmarkStart w:id="144" w:name="_Toc184314465"/>
      <w:bookmarkEnd w:id="144"/>
      <w:bookmarkStart w:id="145" w:name="_Toc184310287"/>
      <w:bookmarkEnd w:id="145"/>
      <w:bookmarkStart w:id="146" w:name="_Toc184308053"/>
      <w:bookmarkEnd w:id="146"/>
      <w:bookmarkStart w:id="147" w:name="_Toc184312103"/>
      <w:bookmarkEnd w:id="147"/>
      <w:bookmarkStart w:id="148" w:name="_Toc184314441"/>
      <w:bookmarkEnd w:id="148"/>
      <w:bookmarkStart w:id="149" w:name="_Toc184313310"/>
      <w:bookmarkEnd w:id="149"/>
      <w:bookmarkStart w:id="150" w:name="_Toc184313243"/>
      <w:bookmarkEnd w:id="150"/>
      <w:bookmarkStart w:id="151" w:name="_Toc184313276"/>
      <w:bookmarkEnd w:id="151"/>
      <w:bookmarkStart w:id="152" w:name="_Toc184313270"/>
      <w:bookmarkEnd w:id="152"/>
      <w:bookmarkStart w:id="153" w:name="_Toc184312134"/>
      <w:bookmarkEnd w:id="153"/>
      <w:bookmarkStart w:id="154" w:name="_Toc184308096"/>
      <w:bookmarkEnd w:id="154"/>
      <w:bookmarkStart w:id="155" w:name="_Toc184310303"/>
      <w:bookmarkEnd w:id="155"/>
      <w:bookmarkStart w:id="156" w:name="_Toc184312083"/>
      <w:bookmarkEnd w:id="156"/>
      <w:bookmarkStart w:id="157" w:name="_Toc184314479"/>
      <w:bookmarkEnd w:id="157"/>
      <w:bookmarkStart w:id="158" w:name="_Toc184308047"/>
      <w:bookmarkEnd w:id="158"/>
      <w:bookmarkStart w:id="159" w:name="_Toc184313248"/>
      <w:bookmarkEnd w:id="159"/>
      <w:bookmarkStart w:id="160" w:name="_Toc184313285"/>
      <w:bookmarkEnd w:id="160"/>
      <w:bookmarkStart w:id="161" w:name="_Toc184312130"/>
      <w:bookmarkEnd w:id="161"/>
      <w:bookmarkStart w:id="162" w:name="_Toc184312084"/>
      <w:bookmarkEnd w:id="162"/>
      <w:bookmarkStart w:id="163" w:name="_Toc184312079"/>
      <w:bookmarkEnd w:id="163"/>
      <w:bookmarkStart w:id="164" w:name="_Toc184308093"/>
      <w:bookmarkEnd w:id="164"/>
      <w:bookmarkStart w:id="165" w:name="_Toc184312081"/>
      <w:bookmarkEnd w:id="165"/>
      <w:bookmarkStart w:id="166" w:name="_Toc184313295"/>
      <w:bookmarkEnd w:id="166"/>
      <w:bookmarkStart w:id="167" w:name="_Toc184313280"/>
      <w:bookmarkEnd w:id="167"/>
      <w:bookmarkStart w:id="168" w:name="_Toc184308052"/>
      <w:bookmarkEnd w:id="168"/>
      <w:bookmarkStart w:id="169" w:name="_Toc184310341"/>
      <w:bookmarkEnd w:id="169"/>
      <w:bookmarkStart w:id="170" w:name="_Toc184310283"/>
      <w:bookmarkEnd w:id="170"/>
      <w:bookmarkStart w:id="171" w:name="_Toc184310285"/>
      <w:bookmarkEnd w:id="171"/>
      <w:bookmarkStart w:id="172" w:name="_Toc184314422"/>
      <w:bookmarkEnd w:id="172"/>
      <w:bookmarkStart w:id="173" w:name="_Toc184314440"/>
      <w:bookmarkEnd w:id="173"/>
      <w:bookmarkStart w:id="174" w:name="_Toc184308100"/>
      <w:bookmarkEnd w:id="174"/>
      <w:bookmarkStart w:id="175" w:name="_Toc184308045"/>
      <w:bookmarkEnd w:id="175"/>
      <w:bookmarkStart w:id="176" w:name="_Toc184313267"/>
      <w:bookmarkEnd w:id="176"/>
      <w:bookmarkStart w:id="177" w:name="_Toc184312120"/>
      <w:bookmarkEnd w:id="177"/>
      <w:bookmarkStart w:id="178" w:name="_Toc184312075"/>
      <w:bookmarkEnd w:id="178"/>
      <w:bookmarkStart w:id="179" w:name="_Toc184313304"/>
      <w:bookmarkEnd w:id="179"/>
      <w:bookmarkStart w:id="180" w:name="_Toc184313300"/>
      <w:bookmarkEnd w:id="180"/>
      <w:bookmarkStart w:id="181" w:name="_Toc184308055"/>
      <w:bookmarkEnd w:id="181"/>
      <w:bookmarkStart w:id="182" w:name="_Toc184310304"/>
      <w:bookmarkEnd w:id="182"/>
      <w:bookmarkStart w:id="183" w:name="_Toc184312117"/>
      <w:bookmarkEnd w:id="183"/>
      <w:bookmarkStart w:id="184" w:name="_Toc184312087"/>
      <w:bookmarkEnd w:id="184"/>
      <w:bookmarkStart w:id="185" w:name="_Toc184313287"/>
      <w:bookmarkEnd w:id="185"/>
      <w:bookmarkStart w:id="186" w:name="_Toc184314456"/>
      <w:bookmarkEnd w:id="186"/>
      <w:bookmarkStart w:id="187" w:name="_Toc184312098"/>
      <w:bookmarkEnd w:id="187"/>
      <w:bookmarkStart w:id="188" w:name="_Toc184314480"/>
      <w:bookmarkEnd w:id="188"/>
      <w:bookmarkStart w:id="189" w:name="_Toc184310333"/>
      <w:bookmarkEnd w:id="189"/>
      <w:bookmarkStart w:id="190" w:name="_Toc184313253"/>
      <w:bookmarkEnd w:id="190"/>
      <w:bookmarkStart w:id="191" w:name="_Toc184308106"/>
      <w:bookmarkEnd w:id="191"/>
      <w:bookmarkStart w:id="192" w:name="_Toc184313279"/>
      <w:bookmarkEnd w:id="192"/>
      <w:bookmarkStart w:id="193" w:name="_Toc184310309"/>
      <w:bookmarkEnd w:id="193"/>
      <w:bookmarkStart w:id="194" w:name="_Toc184313307"/>
      <w:bookmarkEnd w:id="194"/>
      <w:bookmarkStart w:id="195" w:name="_Toc184312124"/>
      <w:bookmarkEnd w:id="195"/>
      <w:bookmarkStart w:id="196" w:name="_Toc184312093"/>
      <w:bookmarkEnd w:id="196"/>
      <w:bookmarkStart w:id="197" w:name="_Toc184313242"/>
      <w:bookmarkEnd w:id="197"/>
      <w:bookmarkStart w:id="198" w:name="_Toc184314452"/>
      <w:bookmarkEnd w:id="198"/>
      <w:bookmarkStart w:id="199" w:name="_Toc184312122"/>
      <w:bookmarkEnd w:id="199"/>
      <w:bookmarkStart w:id="200" w:name="_Toc184310295"/>
      <w:bookmarkEnd w:id="200"/>
      <w:bookmarkStart w:id="201" w:name="_Toc184310299"/>
      <w:bookmarkEnd w:id="201"/>
      <w:bookmarkStart w:id="202" w:name="_Toc184314455"/>
      <w:bookmarkEnd w:id="202"/>
      <w:bookmarkStart w:id="203" w:name="_Toc184310326"/>
      <w:bookmarkEnd w:id="203"/>
      <w:bookmarkStart w:id="204" w:name="_Toc184313254"/>
      <w:bookmarkEnd w:id="204"/>
      <w:bookmarkStart w:id="205" w:name="_Toc184308087"/>
      <w:bookmarkEnd w:id="205"/>
      <w:bookmarkStart w:id="206" w:name="_Toc184312074"/>
      <w:bookmarkEnd w:id="206"/>
      <w:bookmarkStart w:id="207" w:name="_Toc184310284"/>
      <w:bookmarkEnd w:id="207"/>
      <w:bookmarkStart w:id="208" w:name="_Toc184310328"/>
      <w:bookmarkEnd w:id="208"/>
      <w:bookmarkStart w:id="209" w:name="_Toc184312078"/>
      <w:bookmarkEnd w:id="209"/>
      <w:bookmarkStart w:id="210" w:name="_Toc184310336"/>
      <w:bookmarkEnd w:id="210"/>
      <w:bookmarkStart w:id="211" w:name="_Toc184310324"/>
      <w:bookmarkEnd w:id="211"/>
      <w:bookmarkStart w:id="212" w:name="_Toc184314461"/>
      <w:bookmarkEnd w:id="212"/>
      <w:bookmarkStart w:id="213" w:name="_Toc184310317"/>
      <w:bookmarkEnd w:id="213"/>
      <w:bookmarkStart w:id="214" w:name="_Toc184314417"/>
      <w:bookmarkEnd w:id="214"/>
      <w:bookmarkStart w:id="215" w:name="_Toc184313274"/>
      <w:bookmarkEnd w:id="215"/>
      <w:bookmarkStart w:id="216" w:name="_Toc184310275"/>
      <w:bookmarkEnd w:id="216"/>
      <w:bookmarkStart w:id="217" w:name="_Toc184314420"/>
      <w:bookmarkEnd w:id="217"/>
      <w:bookmarkStart w:id="218" w:name="_Toc184310276"/>
      <w:bookmarkEnd w:id="218"/>
      <w:bookmarkStart w:id="219" w:name="_Toc184308067"/>
      <w:bookmarkEnd w:id="219"/>
      <w:bookmarkStart w:id="220" w:name="_Toc184313309"/>
      <w:bookmarkEnd w:id="220"/>
      <w:bookmarkStart w:id="221" w:name="_Toc184308049"/>
      <w:bookmarkEnd w:id="221"/>
      <w:bookmarkStart w:id="222" w:name="_Toc184312116"/>
      <w:bookmarkEnd w:id="222"/>
      <w:bookmarkStart w:id="223" w:name="_Toc184312105"/>
      <w:bookmarkEnd w:id="223"/>
      <w:bookmarkStart w:id="224" w:name="_Toc184310289"/>
      <w:bookmarkEnd w:id="224"/>
      <w:bookmarkStart w:id="225" w:name="_Toc184312080"/>
      <w:bookmarkEnd w:id="225"/>
      <w:bookmarkStart w:id="226" w:name="_Toc184308098"/>
      <w:bookmarkEnd w:id="226"/>
      <w:bookmarkStart w:id="227" w:name="_Toc184313240"/>
      <w:bookmarkEnd w:id="227"/>
      <w:bookmarkStart w:id="228" w:name="_Toc184308061"/>
      <w:bookmarkEnd w:id="228"/>
      <w:bookmarkStart w:id="229" w:name="_Toc184308086"/>
      <w:bookmarkEnd w:id="229"/>
      <w:bookmarkStart w:id="230" w:name="_Toc184308082"/>
      <w:bookmarkEnd w:id="230"/>
      <w:bookmarkStart w:id="231" w:name="_Toc184314451"/>
      <w:bookmarkEnd w:id="231"/>
      <w:bookmarkStart w:id="232" w:name="_Toc184314454"/>
      <w:bookmarkEnd w:id="232"/>
      <w:bookmarkStart w:id="233" w:name="_Toc184314412"/>
      <w:bookmarkEnd w:id="233"/>
      <w:bookmarkStart w:id="234" w:name="_Toc184308084"/>
      <w:bookmarkEnd w:id="234"/>
      <w:bookmarkStart w:id="235" w:name="_Toc184314464"/>
      <w:bookmarkEnd w:id="235"/>
      <w:bookmarkStart w:id="236" w:name="_Toc184312131"/>
      <w:bookmarkEnd w:id="236"/>
      <w:bookmarkStart w:id="237" w:name="_Toc184308079"/>
      <w:bookmarkEnd w:id="237"/>
      <w:bookmarkStart w:id="238" w:name="_Toc184310293"/>
      <w:bookmarkEnd w:id="238"/>
      <w:bookmarkStart w:id="239" w:name="_Toc184314468"/>
      <w:bookmarkEnd w:id="239"/>
      <w:bookmarkStart w:id="240" w:name="_Toc184310325"/>
      <w:bookmarkEnd w:id="240"/>
      <w:bookmarkStart w:id="241" w:name="_Toc184313273"/>
      <w:bookmarkEnd w:id="241"/>
      <w:bookmarkStart w:id="242" w:name="_Toc184313278"/>
      <w:bookmarkEnd w:id="242"/>
      <w:bookmarkStart w:id="243" w:name="_Toc184312119"/>
      <w:bookmarkEnd w:id="243"/>
      <w:bookmarkStart w:id="244" w:name="_Toc184312107"/>
      <w:bookmarkEnd w:id="244"/>
      <w:bookmarkStart w:id="245" w:name="_Toc184308062"/>
      <w:bookmarkEnd w:id="245"/>
      <w:bookmarkStart w:id="246" w:name="_Toc184308089"/>
      <w:bookmarkEnd w:id="246"/>
      <w:bookmarkStart w:id="247" w:name="_Toc184308040"/>
      <w:bookmarkEnd w:id="247"/>
      <w:bookmarkStart w:id="248" w:name="_Toc184308092"/>
      <w:bookmarkEnd w:id="248"/>
      <w:bookmarkStart w:id="249" w:name="_Toc184313293"/>
      <w:bookmarkEnd w:id="249"/>
      <w:bookmarkStart w:id="250" w:name="_Toc184310339"/>
      <w:bookmarkEnd w:id="250"/>
      <w:bookmarkStart w:id="251" w:name="_Toc184310344"/>
      <w:bookmarkEnd w:id="251"/>
      <w:bookmarkStart w:id="252" w:name="_Toc184313282"/>
      <w:bookmarkEnd w:id="252"/>
      <w:bookmarkStart w:id="253" w:name="_Toc184314414"/>
      <w:bookmarkEnd w:id="253"/>
      <w:bookmarkStart w:id="254" w:name="_Toc184314445"/>
      <w:bookmarkEnd w:id="254"/>
      <w:bookmarkStart w:id="255" w:name="_Toc184312132"/>
      <w:bookmarkEnd w:id="255"/>
      <w:bookmarkStart w:id="256" w:name="_Toc184310330"/>
      <w:bookmarkEnd w:id="256"/>
      <w:bookmarkStart w:id="257" w:name="_Toc184310272"/>
      <w:bookmarkEnd w:id="257"/>
      <w:bookmarkStart w:id="258" w:name="_Toc184313297"/>
      <w:bookmarkEnd w:id="258"/>
      <w:bookmarkStart w:id="259" w:name="_Toc184310307"/>
      <w:bookmarkEnd w:id="259"/>
      <w:bookmarkStart w:id="260" w:name="_Toc184312076"/>
      <w:bookmarkEnd w:id="260"/>
      <w:bookmarkStart w:id="261" w:name="_Toc184312135"/>
      <w:bookmarkEnd w:id="261"/>
      <w:bookmarkStart w:id="262" w:name="_Toc184314463"/>
      <w:bookmarkEnd w:id="262"/>
      <w:bookmarkStart w:id="263" w:name="_Toc184312101"/>
      <w:bookmarkEnd w:id="263"/>
      <w:bookmarkStart w:id="264" w:name="_Toc184310313"/>
      <w:bookmarkEnd w:id="264"/>
      <w:bookmarkStart w:id="265" w:name="_Toc184308051"/>
      <w:bookmarkEnd w:id="265"/>
      <w:bookmarkStart w:id="266" w:name="_Toc184314482"/>
      <w:bookmarkEnd w:id="266"/>
      <w:bookmarkStart w:id="267" w:name="_Toc184310331"/>
      <w:bookmarkEnd w:id="267"/>
      <w:bookmarkStart w:id="268" w:name="_Toc184310320"/>
      <w:bookmarkEnd w:id="268"/>
      <w:bookmarkStart w:id="269" w:name="_Toc184314459"/>
      <w:bookmarkEnd w:id="269"/>
      <w:bookmarkStart w:id="270" w:name="_Toc184308074"/>
      <w:bookmarkEnd w:id="270"/>
      <w:bookmarkStart w:id="271" w:name="_Toc184310334"/>
      <w:bookmarkEnd w:id="271"/>
      <w:bookmarkStart w:id="272" w:name="_Toc184313268"/>
      <w:bookmarkEnd w:id="272"/>
      <w:bookmarkStart w:id="273" w:name="_Toc184313256"/>
      <w:bookmarkEnd w:id="273"/>
      <w:bookmarkStart w:id="274" w:name="_Toc184310308"/>
      <w:bookmarkEnd w:id="274"/>
      <w:bookmarkStart w:id="275" w:name="_Toc184308038"/>
      <w:bookmarkEnd w:id="275"/>
      <w:bookmarkStart w:id="276" w:name="_Toc184308078"/>
      <w:bookmarkEnd w:id="276"/>
      <w:bookmarkStart w:id="277" w:name="_Toc184310340"/>
      <w:bookmarkEnd w:id="277"/>
      <w:bookmarkStart w:id="278" w:name="_Toc184312094"/>
      <w:bookmarkEnd w:id="278"/>
      <w:bookmarkStart w:id="279" w:name="_Toc184310305"/>
      <w:bookmarkEnd w:id="279"/>
      <w:bookmarkStart w:id="280" w:name="_Toc184310273"/>
      <w:bookmarkEnd w:id="280"/>
      <w:bookmarkStart w:id="281" w:name="_Toc184310316"/>
      <w:bookmarkEnd w:id="281"/>
      <w:bookmarkStart w:id="282" w:name="_Toc184314438"/>
      <w:bookmarkEnd w:id="282"/>
      <w:bookmarkStart w:id="283" w:name="_Toc184310282"/>
      <w:bookmarkEnd w:id="283"/>
      <w:bookmarkStart w:id="284" w:name="_Toc184314423"/>
      <w:bookmarkEnd w:id="284"/>
      <w:bookmarkStart w:id="285" w:name="_Toc184314462"/>
      <w:bookmarkEnd w:id="285"/>
      <w:bookmarkStart w:id="286" w:name="_Toc184312127"/>
      <w:bookmarkEnd w:id="286"/>
      <w:bookmarkStart w:id="287" w:name="_Toc184313246"/>
      <w:bookmarkEnd w:id="287"/>
      <w:bookmarkStart w:id="288" w:name="_Toc184308099"/>
      <w:bookmarkEnd w:id="288"/>
      <w:bookmarkStart w:id="289" w:name="_Toc184313298"/>
      <w:bookmarkEnd w:id="289"/>
      <w:bookmarkStart w:id="290" w:name="_Toc184312089"/>
      <w:bookmarkEnd w:id="290"/>
      <w:bookmarkStart w:id="291" w:name="_Toc184312128"/>
      <w:bookmarkEnd w:id="291"/>
      <w:bookmarkStart w:id="292" w:name="_Toc184308063"/>
      <w:bookmarkEnd w:id="292"/>
      <w:bookmarkStart w:id="293" w:name="_Toc184314446"/>
      <w:bookmarkEnd w:id="293"/>
      <w:bookmarkStart w:id="294" w:name="_Toc184314433"/>
      <w:bookmarkEnd w:id="294"/>
      <w:bookmarkStart w:id="295" w:name="_Toc184313286"/>
      <w:bookmarkEnd w:id="295"/>
      <w:bookmarkStart w:id="296" w:name="_Toc184313255"/>
      <w:bookmarkEnd w:id="296"/>
      <w:bookmarkStart w:id="297" w:name="_Toc184308090"/>
      <w:bookmarkEnd w:id="297"/>
      <w:bookmarkStart w:id="298" w:name="_Toc184308057"/>
      <w:bookmarkEnd w:id="298"/>
      <w:bookmarkStart w:id="299" w:name="_Toc184310314"/>
      <w:bookmarkEnd w:id="299"/>
      <w:bookmarkStart w:id="300" w:name="_Toc184308075"/>
      <w:bookmarkEnd w:id="300"/>
      <w:bookmarkStart w:id="301" w:name="_Toc184310301"/>
      <w:bookmarkEnd w:id="301"/>
      <w:bookmarkStart w:id="302" w:name="_Toc184314425"/>
      <w:bookmarkEnd w:id="302"/>
      <w:bookmarkStart w:id="303" w:name="_Toc184308042"/>
      <w:bookmarkEnd w:id="303"/>
      <w:bookmarkStart w:id="304" w:name="_Toc184314460"/>
      <w:bookmarkEnd w:id="304"/>
      <w:bookmarkStart w:id="305" w:name="_Toc184308105"/>
      <w:bookmarkEnd w:id="305"/>
      <w:bookmarkStart w:id="306" w:name="_Toc184314429"/>
      <w:bookmarkEnd w:id="306"/>
      <w:bookmarkStart w:id="307" w:name="_Toc184312068"/>
      <w:bookmarkEnd w:id="307"/>
      <w:bookmarkStart w:id="308" w:name="_Toc184313259"/>
      <w:bookmarkEnd w:id="308"/>
      <w:bookmarkStart w:id="309" w:name="_Toc184310296"/>
      <w:bookmarkEnd w:id="309"/>
      <w:bookmarkStart w:id="310" w:name="_Toc184312085"/>
      <w:bookmarkEnd w:id="310"/>
      <w:bookmarkStart w:id="311" w:name="_Toc184308054"/>
      <w:bookmarkEnd w:id="311"/>
      <w:bookmarkStart w:id="312" w:name="_Toc184313299"/>
      <w:bookmarkEnd w:id="312"/>
      <w:bookmarkStart w:id="313" w:name="_Toc184313294"/>
      <w:bookmarkEnd w:id="313"/>
      <w:bookmarkStart w:id="314" w:name="_Toc184308073"/>
      <w:bookmarkEnd w:id="314"/>
      <w:bookmarkStart w:id="315" w:name="_Toc184314471"/>
      <w:bookmarkEnd w:id="315"/>
      <w:bookmarkStart w:id="316" w:name="_Toc184308095"/>
      <w:bookmarkEnd w:id="316"/>
      <w:bookmarkStart w:id="317" w:name="_Toc184314413"/>
      <w:bookmarkEnd w:id="317"/>
      <w:bookmarkStart w:id="318" w:name="_Toc184310279"/>
      <w:bookmarkEnd w:id="318"/>
      <w:bookmarkStart w:id="319" w:name="_Toc184308083"/>
      <w:bookmarkEnd w:id="319"/>
      <w:bookmarkStart w:id="320" w:name="_Toc184310338"/>
      <w:bookmarkEnd w:id="320"/>
      <w:bookmarkStart w:id="321" w:name="_Toc184314411"/>
      <w:bookmarkEnd w:id="321"/>
      <w:bookmarkStart w:id="322" w:name="_Toc184312126"/>
      <w:bookmarkEnd w:id="322"/>
      <w:bookmarkStart w:id="323" w:name="_Toc184313289"/>
      <w:bookmarkEnd w:id="323"/>
      <w:bookmarkStart w:id="324" w:name="_Toc184312086"/>
      <w:bookmarkEnd w:id="324"/>
      <w:bookmarkStart w:id="325" w:name="_Toc184308060"/>
      <w:bookmarkEnd w:id="325"/>
      <w:bookmarkStart w:id="326" w:name="_Toc184313303"/>
      <w:bookmarkEnd w:id="326"/>
      <w:bookmarkStart w:id="327" w:name="_Toc184308104"/>
      <w:bookmarkEnd w:id="327"/>
      <w:bookmarkStart w:id="328" w:name="_Toc184313252"/>
      <w:bookmarkEnd w:id="328"/>
      <w:bookmarkStart w:id="329" w:name="_Toc184313258"/>
      <w:bookmarkEnd w:id="329"/>
      <w:bookmarkStart w:id="330" w:name="_Toc184314477"/>
      <w:bookmarkEnd w:id="330"/>
      <w:bookmarkStart w:id="331" w:name="_Toc184312118"/>
      <w:bookmarkEnd w:id="331"/>
      <w:bookmarkStart w:id="332" w:name="_Toc184312091"/>
      <w:bookmarkEnd w:id="332"/>
      <w:bookmarkStart w:id="333" w:name="_Toc184308076"/>
      <w:bookmarkEnd w:id="333"/>
      <w:bookmarkStart w:id="334" w:name="_Toc184312071"/>
      <w:bookmarkEnd w:id="334"/>
      <w:bookmarkStart w:id="335" w:name="_Toc184312077"/>
      <w:bookmarkEnd w:id="335"/>
      <w:bookmarkStart w:id="336" w:name="_Toc184308050"/>
      <w:bookmarkEnd w:id="336"/>
      <w:bookmarkStart w:id="337" w:name="_Toc184314453"/>
      <w:bookmarkEnd w:id="337"/>
      <w:bookmarkStart w:id="338" w:name="_Toc184312092"/>
      <w:bookmarkEnd w:id="338"/>
      <w:bookmarkStart w:id="339" w:name="_Toc184308108"/>
      <w:bookmarkEnd w:id="339"/>
      <w:bookmarkStart w:id="340" w:name="_Toc184313290"/>
      <w:bookmarkEnd w:id="340"/>
      <w:bookmarkStart w:id="341" w:name="_Toc184313266"/>
      <w:bookmarkEnd w:id="341"/>
      <w:bookmarkStart w:id="342" w:name="_Toc184308080"/>
      <w:bookmarkEnd w:id="342"/>
      <w:bookmarkStart w:id="343" w:name="_Toc184312121"/>
      <w:bookmarkEnd w:id="343"/>
      <w:bookmarkStart w:id="344" w:name="_Toc184310302"/>
      <w:bookmarkEnd w:id="344"/>
      <w:bookmarkStart w:id="345" w:name="_Toc184310327"/>
      <w:bookmarkEnd w:id="345"/>
      <w:bookmarkStart w:id="346" w:name="_Toc184312123"/>
      <w:bookmarkEnd w:id="346"/>
      <w:bookmarkStart w:id="347" w:name="_Toc184313275"/>
      <w:bookmarkEnd w:id="347"/>
      <w:bookmarkStart w:id="348" w:name="_Toc184312114"/>
      <w:bookmarkEnd w:id="348"/>
      <w:bookmarkStart w:id="349" w:name="_Toc184314472"/>
      <w:bookmarkEnd w:id="349"/>
      <w:bookmarkStart w:id="350" w:name="_Toc184313302"/>
      <w:bookmarkEnd w:id="350"/>
      <w:bookmarkStart w:id="351" w:name="_Toc184310310"/>
      <w:bookmarkEnd w:id="351"/>
      <w:bookmarkStart w:id="352" w:name="_Toc184310288"/>
      <w:bookmarkEnd w:id="352"/>
      <w:bookmarkStart w:id="353" w:name="_Toc184310335"/>
      <w:bookmarkEnd w:id="353"/>
      <w:bookmarkStart w:id="354" w:name="_Toc184312110"/>
      <w:bookmarkEnd w:id="354"/>
      <w:bookmarkStart w:id="355" w:name="_Toc184313296"/>
      <w:bookmarkEnd w:id="355"/>
      <w:bookmarkStart w:id="356" w:name="_Toc184310312"/>
      <w:bookmarkEnd w:id="356"/>
      <w:bookmarkStart w:id="357" w:name="_Toc184314415"/>
      <w:bookmarkEnd w:id="357"/>
      <w:bookmarkStart w:id="358" w:name="_Toc184312113"/>
      <w:bookmarkEnd w:id="358"/>
      <w:bookmarkStart w:id="359" w:name="_Toc184313301"/>
      <w:bookmarkEnd w:id="359"/>
      <w:bookmarkStart w:id="360" w:name="_Toc184312096"/>
      <w:bookmarkEnd w:id="360"/>
      <w:bookmarkStart w:id="361" w:name="_Toc184308039"/>
      <w:bookmarkEnd w:id="361"/>
      <w:bookmarkStart w:id="362" w:name="_Toc184312097"/>
      <w:bookmarkEnd w:id="362"/>
      <w:bookmarkStart w:id="363" w:name="_Toc184308036"/>
      <w:bookmarkEnd w:id="363"/>
      <w:bookmarkStart w:id="364" w:name="_Toc184308071"/>
      <w:bookmarkEnd w:id="364"/>
      <w:bookmarkStart w:id="365" w:name="_Toc184313269"/>
      <w:bookmarkEnd w:id="365"/>
      <w:bookmarkStart w:id="366" w:name="_Toc184313245"/>
      <w:bookmarkEnd w:id="366"/>
      <w:bookmarkStart w:id="367" w:name="_Toc184313249"/>
      <w:bookmarkEnd w:id="367"/>
      <w:bookmarkStart w:id="368" w:name="_Toc184313244"/>
      <w:bookmarkEnd w:id="368"/>
      <w:bookmarkStart w:id="369" w:name="_Toc184312088"/>
      <w:bookmarkEnd w:id="369"/>
      <w:bookmarkStart w:id="370" w:name="_Toc184314432"/>
      <w:bookmarkEnd w:id="370"/>
      <w:bookmarkStart w:id="371" w:name="_Toc184310311"/>
      <w:bookmarkEnd w:id="371"/>
      <w:bookmarkStart w:id="372" w:name="_Toc184312139"/>
      <w:bookmarkEnd w:id="372"/>
      <w:bookmarkStart w:id="373" w:name="_Toc184312102"/>
      <w:bookmarkEnd w:id="373"/>
      <w:bookmarkStart w:id="374" w:name="_Toc184308072"/>
      <w:bookmarkEnd w:id="374"/>
      <w:bookmarkStart w:id="375" w:name="_Toc184314448"/>
      <w:bookmarkEnd w:id="375"/>
      <w:bookmarkStart w:id="376" w:name="_Toc184313305"/>
      <w:bookmarkEnd w:id="376"/>
      <w:bookmarkStart w:id="377" w:name="_Toc184314469"/>
      <w:bookmarkEnd w:id="377"/>
      <w:bookmarkStart w:id="378" w:name="_Toc184308085"/>
      <w:bookmarkEnd w:id="378"/>
      <w:bookmarkStart w:id="379" w:name="_Toc184312104"/>
      <w:bookmarkEnd w:id="379"/>
      <w:bookmarkStart w:id="380" w:name="_Toc184310337"/>
      <w:bookmarkEnd w:id="380"/>
      <w:bookmarkStart w:id="381" w:name="_Toc184314476"/>
      <w:bookmarkEnd w:id="381"/>
      <w:bookmarkStart w:id="382" w:name="_Toc184310278"/>
      <w:bookmarkEnd w:id="382"/>
      <w:bookmarkStart w:id="383" w:name="_Toc184314428"/>
      <w:bookmarkEnd w:id="383"/>
      <w:bookmarkStart w:id="384" w:name="_Toc184314481"/>
      <w:bookmarkEnd w:id="384"/>
      <w:bookmarkStart w:id="385" w:name="_Toc184313241"/>
      <w:bookmarkEnd w:id="385"/>
      <w:bookmarkStart w:id="386" w:name="_Toc184312109"/>
      <w:bookmarkEnd w:id="386"/>
      <w:r>
        <w:rPr>
          <w:rFonts w:hint="eastAsia" w:cs="仿宋" w:asciiTheme="minorEastAsia" w:hAnsiTheme="minorEastAsia"/>
          <w:b/>
          <w:sz w:val="36"/>
          <w:szCs w:val="36"/>
        </w:rPr>
        <w:t>评审方法</w:t>
      </w:r>
    </w:p>
    <w:p>
      <w:pPr>
        <w:shd w:val="clear"/>
        <w:adjustRightInd w:val="0"/>
        <w:snapToGrid w:val="0"/>
        <w:spacing w:line="460" w:lineRule="exact"/>
        <w:ind w:firstLine="480" w:firstLineChars="200"/>
        <w:rPr>
          <w:rFonts w:cs="仿宋" w:asciiTheme="minorEastAsia" w:hAnsiTheme="minorEastAsia"/>
          <w:sz w:val="24"/>
        </w:rPr>
      </w:pP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shd w:val="clea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hd w:val="clear"/>
        <w:spacing w:line="360" w:lineRule="auto"/>
        <w:ind w:left="954" w:leftChars="226" w:hanging="479" w:firstLineChars="0"/>
        <w:rPr>
          <w:rFonts w:cs="宋体"/>
          <w:b/>
          <w:bCs/>
          <w:szCs w:val="21"/>
        </w:rPr>
      </w:pPr>
      <w:r>
        <w:rPr>
          <w:rFonts w:hint="eastAsia" w:cs="宋体"/>
          <w:b/>
          <w:bCs/>
          <w:szCs w:val="21"/>
        </w:rPr>
        <w:t>有下列情形之一的，响应无效：</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val="en-US" w:eastAsia="zh-CN"/>
        </w:rPr>
        <w:t>.</w:t>
      </w:r>
      <w:r>
        <w:rPr>
          <w:rFonts w:hint="eastAsia" w:ascii="宋体" w:hAnsi="宋体" w:cs="宋体"/>
          <w:kern w:val="0"/>
          <w:sz w:val="24"/>
        </w:rPr>
        <w:t>在采购人规定的截止时间以后送达的响应文件；</w:t>
      </w:r>
    </w:p>
    <w:p>
      <w:pPr>
        <w:shd w:val="clear"/>
        <w:spacing w:line="360" w:lineRule="auto"/>
        <w:ind w:firstLine="480" w:firstLineChars="200"/>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lang w:val="en-US"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shd w:val="clear"/>
        <w:spacing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hint="eastAsia" w:ascii="宋体" w:hAnsi="宋体" w:cs="宋体"/>
          <w:kern w:val="0"/>
          <w:sz w:val="24"/>
        </w:rPr>
      </w:pPr>
      <w:r>
        <w:rPr>
          <w:rFonts w:hint="eastAsia" w:ascii="宋体" w:hAnsi="宋体" w:cs="宋体"/>
          <w:kern w:val="0"/>
          <w:sz w:val="24"/>
          <w:lang w:val="en-US" w:eastAsia="zh-CN"/>
        </w:rPr>
        <w:t>O</w:t>
      </w:r>
      <w:r>
        <w:rPr>
          <w:rFonts w:hint="eastAsia" w:cs="仿宋" w:asciiTheme="minorEastAsia" w:hAnsiTheme="minorEastAsia"/>
          <w:snapToGrid w:val="0"/>
          <w:kern w:val="0"/>
          <w:sz w:val="24"/>
          <w:lang w:val="en-US" w:eastAsia="zh-CN"/>
        </w:rPr>
        <w:t>.报价清单中出现漏项或单价为0的。</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shd w:val="clear"/>
        <w:ind w:firstLine="480" w:firstLineChars="200"/>
      </w:pPr>
      <w:r>
        <w:rPr>
          <w:lang w:val="en-US"/>
        </w:rPr>
        <w:t>1.1</w:t>
      </w:r>
      <w:r>
        <w:rPr>
          <w:rFonts w:hint="eastAsia"/>
        </w:rPr>
        <w:t>若出现税率不一致的情况，以除税总金额相对比。</w:t>
      </w:r>
    </w:p>
    <w:p>
      <w:pPr>
        <w:pStyle w:val="7"/>
        <w:shd w:val="clear"/>
        <w:ind w:firstLine="480" w:firstLineChars="200"/>
      </w:pPr>
      <w:r>
        <w:rPr>
          <w:lang w:val="en-US"/>
        </w:rPr>
        <w:t>1.2</w:t>
      </w:r>
      <w:r>
        <w:rPr>
          <w:rFonts w:hint="eastAsia"/>
          <w:b/>
          <w:bCs/>
        </w:rPr>
        <w:t>若出现相同总金额最低报价情况时，则由评审小组按少数服从多数的原则通过投票表决决定。</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hd w:val="clear"/>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hd w:val="clear"/>
        <w:snapToGrid w:val="0"/>
        <w:spacing w:line="460" w:lineRule="exact"/>
        <w:ind w:firstLine="480" w:firstLineChars="200"/>
        <w:rPr>
          <w:rFonts w:hint="eastAsia" w:cs="仿宋" w:asciiTheme="minorEastAsia" w:hAnsiTheme="minorEastAsia"/>
          <w:sz w:val="24"/>
        </w:rPr>
      </w:pPr>
      <w:r>
        <w:rPr>
          <w:rFonts w:hint="eastAsia" w:cs="仿宋" w:asciiTheme="minorEastAsia" w:hAnsiTheme="minorEastAsia"/>
          <w:sz w:val="24"/>
        </w:rPr>
        <w:t>4.不再询价</w:t>
      </w:r>
    </w:p>
    <w:p>
      <w:pPr>
        <w:widowControl/>
        <w:shd w:val="clear"/>
        <w:snapToGrid w:val="0"/>
        <w:spacing w:line="460" w:lineRule="exact"/>
        <w:ind w:firstLine="480" w:firstLineChars="200"/>
        <w:rPr>
          <w:rFonts w:hint="eastAsia" w:cs="仿宋" w:asciiTheme="minorEastAsia" w:hAnsiTheme="minorEastAsia"/>
          <w:sz w:val="24"/>
          <w:lang w:val="en-US" w:eastAsia="zh-CN"/>
        </w:rPr>
      </w:pPr>
      <w:r>
        <w:rPr>
          <w:rFonts w:hint="eastAsia" w:cs="仿宋" w:asciiTheme="minorEastAsia" w:hAnsiTheme="minorEastAsia"/>
          <w:sz w:val="24"/>
          <w:lang w:val="en-US" w:eastAsia="zh-CN"/>
        </w:rPr>
        <w:t>4.1若</w:t>
      </w:r>
      <w:r>
        <w:rPr>
          <w:rFonts w:hint="eastAsia" w:cs="仿宋" w:asciiTheme="minorEastAsia" w:hAnsiTheme="minorEastAsia"/>
          <w:sz w:val="24"/>
        </w:rPr>
        <w:t>第二次询价后，报价未超过采购限价的供应商或者经评审有效的供应商</w:t>
      </w:r>
      <w:r>
        <w:rPr>
          <w:rFonts w:hint="eastAsia" w:cs="仿宋" w:asciiTheme="minorEastAsia" w:hAnsiTheme="minorEastAsia"/>
          <w:sz w:val="24"/>
          <w:lang w:val="en-US" w:eastAsia="zh-CN"/>
        </w:rPr>
        <w:t>只有2家时</w:t>
      </w:r>
      <w:r>
        <w:rPr>
          <w:rFonts w:hint="eastAsia" w:cs="仿宋" w:asciiTheme="minorEastAsia" w:hAnsiTheme="minorEastAsia"/>
          <w:sz w:val="24"/>
        </w:rPr>
        <w:t>，</w:t>
      </w:r>
      <w:r>
        <w:rPr>
          <w:rFonts w:hint="eastAsia" w:cs="仿宋" w:asciiTheme="minorEastAsia" w:hAnsiTheme="minorEastAsia"/>
          <w:sz w:val="24"/>
          <w:lang w:val="en-US" w:eastAsia="zh-CN"/>
        </w:rPr>
        <w:t>经评审小组</w:t>
      </w:r>
      <w:r>
        <w:rPr>
          <w:rFonts w:hint="eastAsia" w:cs="仿宋" w:asciiTheme="minorEastAsia" w:hAnsiTheme="minorEastAsia"/>
          <w:sz w:val="24"/>
        </w:rPr>
        <w:t>审查认为采购文件没有倾向性或歧视性条款</w:t>
      </w:r>
      <w:r>
        <w:rPr>
          <w:rFonts w:hint="eastAsia" w:cs="仿宋" w:asciiTheme="minorEastAsia" w:hAnsiTheme="minorEastAsia"/>
          <w:sz w:val="24"/>
          <w:lang w:eastAsia="zh-CN"/>
        </w:rPr>
        <w:t>，</w:t>
      </w:r>
      <w:r>
        <w:rPr>
          <w:rFonts w:hint="eastAsia" w:cs="仿宋" w:asciiTheme="minorEastAsia" w:hAnsiTheme="minorEastAsia"/>
          <w:sz w:val="24"/>
        </w:rPr>
        <w:t>采购方式由询价直接转为</w:t>
      </w:r>
      <w:r>
        <w:rPr>
          <w:rFonts w:hint="eastAsia" w:cs="仿宋" w:asciiTheme="minorEastAsia" w:hAnsiTheme="minorEastAsia"/>
          <w:sz w:val="24"/>
          <w:lang w:val="en-US" w:eastAsia="zh-CN"/>
        </w:rPr>
        <w:t>竞争性</w:t>
      </w:r>
      <w:r>
        <w:rPr>
          <w:rFonts w:hint="eastAsia" w:cs="仿宋" w:asciiTheme="minorEastAsia" w:hAnsiTheme="minorEastAsia"/>
          <w:sz w:val="24"/>
        </w:rPr>
        <w:t>谈判，询价采购文件即为谈判文件，询价评审小组成员即为询价谈判小组成员，询价保证金转为谈判保证金（若有）</w:t>
      </w:r>
      <w:r>
        <w:rPr>
          <w:rFonts w:hint="eastAsia" w:cs="仿宋" w:asciiTheme="minorEastAsia" w:hAnsiTheme="minorEastAsia"/>
          <w:sz w:val="24"/>
          <w:lang w:eastAsia="zh-CN"/>
        </w:rPr>
        <w:t>。</w:t>
      </w:r>
    </w:p>
    <w:p>
      <w:pPr>
        <w:widowControl/>
        <w:shd w:val="clear"/>
        <w:snapToGrid w:val="0"/>
        <w:spacing w:line="460" w:lineRule="exact"/>
        <w:ind w:firstLine="480" w:firstLineChars="200"/>
        <w:rPr>
          <w:rFonts w:hint="eastAsia" w:cs="仿宋" w:asciiTheme="minorEastAsia" w:hAnsiTheme="minorEastAsia"/>
          <w:sz w:val="24"/>
        </w:rPr>
      </w:pPr>
      <w:r>
        <w:rPr>
          <w:rFonts w:hint="eastAsia" w:cs="仿宋" w:asciiTheme="minorEastAsia" w:hAnsiTheme="minorEastAsia"/>
          <w:sz w:val="24"/>
          <w:lang w:val="en-US" w:eastAsia="zh-CN"/>
        </w:rPr>
        <w:t>4.2若</w:t>
      </w:r>
      <w:r>
        <w:rPr>
          <w:rFonts w:hint="eastAsia" w:cs="仿宋" w:asciiTheme="minorEastAsia" w:hAnsiTheme="minorEastAsia"/>
          <w:sz w:val="24"/>
        </w:rPr>
        <w:t>第二次询价后，报价未超过采购限价的供应商或者经评审有效的供应商</w:t>
      </w:r>
      <w:r>
        <w:rPr>
          <w:rFonts w:hint="eastAsia" w:cs="仿宋" w:asciiTheme="minorEastAsia" w:hAnsiTheme="minorEastAsia"/>
          <w:sz w:val="24"/>
          <w:lang w:val="en-US" w:eastAsia="zh-CN"/>
        </w:rPr>
        <w:t>少于2家</w:t>
      </w:r>
      <w:r>
        <w:rPr>
          <w:rFonts w:hint="eastAsia" w:cs="仿宋" w:asciiTheme="minorEastAsia" w:hAnsiTheme="minorEastAsia"/>
          <w:sz w:val="24"/>
        </w:rPr>
        <w:t>，</w:t>
      </w:r>
      <w:r>
        <w:rPr>
          <w:rFonts w:hint="eastAsia" w:cs="仿宋" w:asciiTheme="minorEastAsia" w:hAnsiTheme="minorEastAsia"/>
          <w:sz w:val="24"/>
          <w:lang w:val="en-US" w:eastAsia="zh-CN"/>
        </w:rPr>
        <w:t>本次采购终止</w:t>
      </w:r>
      <w:r>
        <w:rPr>
          <w:rFonts w:hint="eastAsia" w:cs="仿宋" w:asciiTheme="minorEastAsia" w:hAnsiTheme="minorEastAsia"/>
          <w:sz w:val="24"/>
        </w:rPr>
        <w:t>。</w:t>
      </w:r>
    </w:p>
    <w:p>
      <w:pPr>
        <w:widowControl/>
        <w:snapToGrid w:val="0"/>
        <w:spacing w:line="460" w:lineRule="exact"/>
        <w:ind w:firstLine="480" w:firstLineChars="200"/>
        <w:rPr>
          <w:rFonts w:hint="eastAsia" w:cs="仿宋" w:asciiTheme="minorEastAsia" w:hAnsiTheme="minorEastAsia"/>
          <w:sz w:val="24"/>
          <w:highlight w:val="yellow"/>
        </w:rPr>
      </w:pPr>
    </w:p>
    <w:p>
      <w:pPr>
        <w:rPr>
          <w:rFonts w:hint="eastAsia" w:cs="仿宋" w:asciiTheme="minorEastAsia" w:hAnsiTheme="minorEastAsia"/>
          <w:sz w:val="24"/>
          <w:highlight w:val="yellow"/>
        </w:rPr>
      </w:pPr>
      <w:r>
        <w:rPr>
          <w:rFonts w:hint="eastAsia" w:cs="仿宋" w:asciiTheme="minorEastAsia" w:hAnsiTheme="minorEastAsia"/>
          <w:sz w:val="24"/>
          <w:highlight w:val="yellow"/>
        </w:rPr>
        <w:br w:type="page"/>
      </w:r>
    </w:p>
    <w:p>
      <w:pPr>
        <w:widowControl/>
        <w:snapToGrid w:val="0"/>
        <w:spacing w:line="460" w:lineRule="exact"/>
        <w:ind w:firstLine="480" w:firstLineChars="200"/>
        <w:rPr>
          <w:rFonts w:hint="eastAsia" w:cs="仿宋" w:asciiTheme="minorEastAsia" w:hAnsiTheme="minorEastAsia"/>
          <w:sz w:val="24"/>
          <w:highlight w:val="yellow"/>
        </w:rPr>
      </w:pPr>
    </w:p>
    <w:p>
      <w:pPr>
        <w:widowControl/>
        <w:snapToGrid w:val="0"/>
        <w:spacing w:line="460" w:lineRule="exact"/>
        <w:ind w:firstLine="480" w:firstLineChars="200"/>
        <w:rPr>
          <w:rFonts w:hint="eastAsia" w:cs="仿宋" w:asciiTheme="minorEastAsia" w:hAnsiTheme="minorEastAsia"/>
          <w:sz w:val="24"/>
          <w:highlight w:val="yellow"/>
        </w:rPr>
      </w:pPr>
    </w:p>
    <w:p>
      <w:pPr>
        <w:numPr>
          <w:ilvl w:val="0"/>
          <w:numId w:val="2"/>
        </w:numPr>
        <w:shd w:val="clea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shd w:val="clear"/>
        <w:rPr>
          <w:rFonts w:ascii="宋体" w:hAnsi="宋体" w:cs="宋体"/>
          <w:sz w:val="24"/>
        </w:rPr>
      </w:pPr>
    </w:p>
    <w:p>
      <w:pPr>
        <w:shd w:val="clea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hd w:val="clear"/>
        <w:spacing w:line="480" w:lineRule="auto"/>
        <w:rPr>
          <w:rFonts w:ascii="宋体" w:hAnsi="宋体" w:cs="宋体"/>
          <w:b/>
          <w:sz w:val="24"/>
        </w:rPr>
      </w:pPr>
    </w:p>
    <w:p>
      <w:pPr>
        <w:pStyle w:val="4"/>
        <w:shd w:val="clear"/>
        <w:rPr>
          <w:rFonts w:ascii="宋体" w:hAnsi="宋体" w:cs="宋体"/>
          <w:sz w:val="24"/>
        </w:rPr>
      </w:pPr>
    </w:p>
    <w:p>
      <w:pPr>
        <w:shd w:val="clear"/>
      </w:pPr>
    </w:p>
    <w:p>
      <w:pPr>
        <w:shd w:val="clea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shd w:val="clear"/>
        <w:rPr>
          <w:rFonts w:ascii="宋体" w:hAnsi="宋体" w:cs="宋体"/>
          <w:szCs w:val="24"/>
        </w:rPr>
      </w:pPr>
    </w:p>
    <w:p>
      <w:pPr>
        <w:shd w:val="clear"/>
        <w:ind w:firstLine="960" w:firstLineChars="400"/>
        <w:rPr>
          <w:rFonts w:hint="default" w:ascii="宋体" w:hAnsi="宋体" w:cs="宋体" w:eastAsiaTheme="minorEastAsia"/>
          <w:sz w:val="24"/>
          <w:lang w:val="en-US" w:eastAsia="zh-CN"/>
        </w:rPr>
      </w:pPr>
      <w:r>
        <w:rPr>
          <w:rFonts w:hint="eastAsia" w:ascii="宋体" w:hAnsi="宋体" w:cs="宋体"/>
          <w:sz w:val="24"/>
        </w:rPr>
        <w:t>项目名称：</w:t>
      </w:r>
      <w:r>
        <w:rPr>
          <w:rFonts w:hint="eastAsia" w:ascii="宋体" w:hAnsi="宋体" w:cs="宋体"/>
          <w:sz w:val="24"/>
          <w:u w:val="single"/>
          <w:lang w:val="en-US" w:eastAsia="zh-CN"/>
        </w:rPr>
        <w:t xml:space="preserve">        </w:t>
      </w:r>
      <w:r>
        <w:rPr>
          <w:rFonts w:hint="eastAsia" w:ascii="宋体" w:hAnsi="宋体" w:cs="宋体"/>
          <w:sz w:val="24"/>
          <w:u w:val="single"/>
          <w:lang w:eastAsia="zh-CN"/>
        </w:rPr>
        <w:t>2024年临江公司电动阀门采购项目</w:t>
      </w:r>
      <w:r>
        <w:rPr>
          <w:rFonts w:hint="eastAsia" w:ascii="宋体" w:hAnsi="宋体" w:cs="宋体"/>
          <w:sz w:val="24"/>
          <w:u w:val="single"/>
          <w:lang w:val="en-US" w:eastAsia="zh-CN"/>
        </w:rPr>
        <w:t xml:space="preserve">      </w:t>
      </w:r>
    </w:p>
    <w:p>
      <w:pPr>
        <w:shd w:val="clear"/>
        <w:spacing w:before="120" w:line="22" w:lineRule="atLeast"/>
        <w:ind w:left="960"/>
        <w:rPr>
          <w:rFonts w:hint="eastAsia" w:ascii="宋体" w:hAnsi="宋体" w:cs="宋体"/>
          <w:sz w:val="24"/>
        </w:rPr>
      </w:pPr>
    </w:p>
    <w:p>
      <w:pPr>
        <w:shd w:val="clea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杭州临江环境能源有限公司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hd w:val="clea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hd w:val="clea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hd w:val="clea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hd w:val="clea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浙江省杭州市钱塘区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hd w:val="clear"/>
        <w:spacing w:before="120" w:line="22" w:lineRule="atLeast"/>
        <w:rPr>
          <w:rFonts w:ascii="宋体" w:hAnsi="宋体" w:cs="宋体"/>
          <w:sz w:val="24"/>
        </w:rPr>
      </w:pPr>
    </w:p>
    <w:p>
      <w:pPr>
        <w:shd w:val="clea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日</w:t>
      </w: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23"/>
        <w:shd w:val="clear"/>
        <w:ind w:left="0" w:leftChars="0" w:firstLine="0" w:firstLineChars="0"/>
        <w:rPr>
          <w:rFonts w:ascii="宋体" w:hAnsi="宋体" w:cs="宋体"/>
          <w:b/>
          <w:szCs w:val="24"/>
        </w:rPr>
      </w:pPr>
    </w:p>
    <w:p>
      <w:pPr>
        <w:pStyle w:val="8"/>
        <w:shd w:val="clear"/>
        <w:jc w:val="center"/>
        <w:rPr>
          <w:rFonts w:eastAsia="宋体"/>
          <w:b/>
          <w:bCs/>
        </w:rPr>
      </w:pPr>
      <w:r>
        <w:rPr>
          <w:rFonts w:hint="eastAsia"/>
          <w:b/>
          <w:bCs/>
        </w:rPr>
        <w:t>目录</w:t>
      </w:r>
    </w:p>
    <w:p>
      <w:pPr>
        <w:pStyle w:val="9"/>
        <w:shd w:val="clear"/>
        <w:spacing w:line="360" w:lineRule="auto"/>
        <w:ind w:firstLine="240" w:firstLineChars="100"/>
      </w:pPr>
      <w:r>
        <w:rPr>
          <w:rFonts w:hint="eastAsia"/>
        </w:rPr>
        <w:t>第一章 合同书  ……………………………………………………………（页码）</w:t>
      </w:r>
    </w:p>
    <w:p>
      <w:pPr>
        <w:pStyle w:val="9"/>
        <w:shd w:val="clear"/>
        <w:spacing w:line="360" w:lineRule="auto"/>
        <w:ind w:firstLine="240" w:firstLineChars="100"/>
      </w:pPr>
      <w:r>
        <w:rPr>
          <w:rFonts w:hint="eastAsia"/>
        </w:rPr>
        <w:t>第二章 合同一般条款………………………………………………………（页码）</w:t>
      </w:r>
    </w:p>
    <w:p>
      <w:pPr>
        <w:pStyle w:val="9"/>
        <w:shd w:val="clear"/>
        <w:spacing w:line="360" w:lineRule="auto"/>
        <w:ind w:firstLine="240" w:firstLineChars="100"/>
      </w:pPr>
      <w:r>
        <w:rPr>
          <w:rFonts w:hint="eastAsia"/>
        </w:rPr>
        <w:t>第</w:t>
      </w:r>
      <w:r>
        <w:rPr>
          <w:rFonts w:hint="eastAsia"/>
          <w:lang w:val="en-US" w:eastAsia="zh-CN"/>
        </w:rPr>
        <w:t>三</w:t>
      </w:r>
      <w:r>
        <w:rPr>
          <w:rFonts w:hint="eastAsia"/>
        </w:rPr>
        <w:t>章 廉洁协议……………………………………………………………（页码）</w:t>
      </w:r>
    </w:p>
    <w:p>
      <w:pPr>
        <w:pStyle w:val="9"/>
        <w:shd w:val="clear"/>
        <w:spacing w:line="360" w:lineRule="auto"/>
        <w:ind w:firstLine="240" w:firstLineChars="100"/>
        <w:rPr>
          <w:rFonts w:hint="eastAsia"/>
        </w:rPr>
      </w:pPr>
    </w:p>
    <w:p>
      <w:pPr>
        <w:pStyle w:val="23"/>
        <w:shd w:val="clear"/>
        <w:rPr>
          <w:rFonts w:ascii="宋体" w:hAnsi="宋体" w:cs="宋体"/>
          <w:szCs w:val="24"/>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rPr>
          <w:rFonts w:hint="eastAsia" w:ascii="宋体" w:hAnsi="宋体" w:cs="宋体"/>
          <w:b/>
          <w:szCs w:val="24"/>
        </w:rPr>
      </w:pPr>
      <w:r>
        <w:rPr>
          <w:rFonts w:hint="eastAsia" w:ascii="宋体" w:hAnsi="宋体" w:cs="宋体"/>
          <w:b/>
          <w:szCs w:val="24"/>
        </w:rPr>
        <w:br w:type="page"/>
      </w:r>
    </w:p>
    <w:p>
      <w:pPr>
        <w:pStyle w:val="23"/>
        <w:shd w:val="clear"/>
        <w:ind w:left="0" w:leftChars="0" w:firstLine="0" w:firstLineChars="0"/>
        <w:jc w:val="center"/>
        <w:rPr>
          <w:rFonts w:ascii="宋体" w:hAnsi="宋体" w:cs="宋体"/>
          <w:b/>
          <w:szCs w:val="24"/>
        </w:rPr>
      </w:pPr>
      <w:r>
        <w:rPr>
          <w:rFonts w:hint="eastAsia" w:ascii="宋体" w:hAnsi="宋体" w:cs="宋体"/>
          <w:b/>
          <w:szCs w:val="24"/>
        </w:rPr>
        <w:t>第一章 合同书</w:t>
      </w:r>
    </w:p>
    <w:p>
      <w:pPr>
        <w:shd w:val="clea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2024年临江公司电动阀门采购项目</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hd w:val="clea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hd w:val="clear"/>
        <w:spacing w:line="360" w:lineRule="auto"/>
        <w:ind w:firstLine="482" w:firstLineChars="200"/>
        <w:outlineLvl w:val="0"/>
        <w:rPr>
          <w:rFonts w:ascii="宋体" w:hAnsi="宋体" w:cs="宋体"/>
          <w:b/>
          <w:sz w:val="24"/>
        </w:rPr>
      </w:pPr>
      <w:bookmarkStart w:id="387" w:name="_Toc24059"/>
      <w:bookmarkStart w:id="388" w:name="_Toc2232"/>
      <w:bookmarkStart w:id="389" w:name="_Toc3029"/>
      <w:r>
        <w:rPr>
          <w:rFonts w:hint="eastAsia" w:ascii="宋体" w:hAnsi="宋体" w:cs="宋体"/>
          <w:b/>
          <w:sz w:val="24"/>
        </w:rPr>
        <w:t>一、合同组成部分</w:t>
      </w:r>
      <w:bookmarkEnd w:id="387"/>
      <w:bookmarkEnd w:id="388"/>
      <w:bookmarkEnd w:id="389"/>
    </w:p>
    <w:p>
      <w:pPr>
        <w:shd w:val="clea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hd w:val="clea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hd w:val="clear"/>
        <w:spacing w:line="360" w:lineRule="auto"/>
        <w:ind w:firstLine="480" w:firstLineChars="200"/>
        <w:rPr>
          <w:rFonts w:ascii="宋体" w:hAnsi="宋体" w:cs="宋体"/>
          <w:sz w:val="24"/>
        </w:rPr>
      </w:pPr>
      <w:r>
        <w:rPr>
          <w:rFonts w:hint="eastAsia" w:ascii="宋体" w:hAnsi="宋体" w:cs="宋体"/>
          <w:sz w:val="24"/>
        </w:rPr>
        <w:t>2.中标或者成交通知书；</w:t>
      </w:r>
    </w:p>
    <w:p>
      <w:pPr>
        <w:shd w:val="clea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hd w:val="clea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hd w:val="clear"/>
        <w:spacing w:line="360" w:lineRule="auto"/>
        <w:ind w:firstLine="480" w:firstLineChars="200"/>
        <w:rPr>
          <w:rFonts w:ascii="宋体" w:hAnsi="宋体" w:cs="宋体"/>
          <w:sz w:val="24"/>
        </w:rPr>
      </w:pPr>
      <w:r>
        <w:rPr>
          <w:rFonts w:hint="eastAsia" w:ascii="宋体" w:hAnsi="宋体" w:cs="宋体"/>
          <w:sz w:val="24"/>
        </w:rPr>
        <w:t>5. 其他相关采购文件。</w:t>
      </w:r>
    </w:p>
    <w:p>
      <w:pPr>
        <w:shd w:val="clear"/>
        <w:spacing w:line="360" w:lineRule="auto"/>
        <w:ind w:firstLine="482" w:firstLineChars="200"/>
        <w:outlineLvl w:val="0"/>
        <w:rPr>
          <w:rFonts w:ascii="宋体" w:hAnsi="宋体" w:cs="宋体"/>
          <w:sz w:val="24"/>
        </w:rPr>
      </w:pPr>
      <w:bookmarkStart w:id="390" w:name="_Toc21295"/>
      <w:bookmarkStart w:id="391" w:name="_Toc27126"/>
      <w:bookmarkStart w:id="392" w:name="_Toc24300"/>
      <w:r>
        <w:rPr>
          <w:rFonts w:hint="eastAsia" w:ascii="宋体" w:hAnsi="宋体" w:cs="宋体"/>
          <w:b/>
          <w:sz w:val="24"/>
        </w:rPr>
        <w:t xml:space="preserve">二、 </w:t>
      </w:r>
      <w:bookmarkEnd w:id="390"/>
      <w:bookmarkEnd w:id="391"/>
      <w:bookmarkEnd w:id="392"/>
      <w:r>
        <w:rPr>
          <w:rFonts w:hint="eastAsia" w:ascii="宋体" w:hAnsi="宋体" w:cs="宋体"/>
          <w:b/>
          <w:sz w:val="24"/>
        </w:rPr>
        <w:t>合同标的及价款</w:t>
      </w:r>
    </w:p>
    <w:p>
      <w:pPr>
        <w:shd w:val="clea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其中能源事业部</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4"/>
        <w:shd w:val="clear"/>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hd w:val="clea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6"/>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30"/>
        <w:gridCol w:w="1560"/>
        <w:gridCol w:w="873"/>
        <w:gridCol w:w="1395"/>
        <w:gridCol w:w="585"/>
        <w:gridCol w:w="840"/>
        <w:gridCol w:w="1092"/>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33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156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873"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品牌</w:t>
            </w:r>
          </w:p>
        </w:tc>
        <w:tc>
          <w:tcPr>
            <w:tcW w:w="1395"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包装规格</w:t>
            </w:r>
          </w:p>
        </w:tc>
        <w:tc>
          <w:tcPr>
            <w:tcW w:w="585"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单位</w:t>
            </w:r>
          </w:p>
        </w:tc>
        <w:tc>
          <w:tcPr>
            <w:tcW w:w="84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lang w:val="en-US" w:eastAsia="zh-CN"/>
              </w:rPr>
              <w:t>暂定</w:t>
            </w:r>
            <w:r>
              <w:rPr>
                <w:rFonts w:hint="eastAsia" w:ascii="宋体" w:hAnsi="宋体" w:eastAsia="宋体" w:cs="宋体"/>
                <w:snapToGrid w:val="0"/>
                <w:szCs w:val="21"/>
              </w:rPr>
              <w:t>数量</w:t>
            </w:r>
          </w:p>
        </w:tc>
        <w:tc>
          <w:tcPr>
            <w:tcW w:w="1092"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单价</w:t>
            </w:r>
          </w:p>
          <w:p>
            <w:pPr>
              <w:shd w:val="clear"/>
              <w:jc w:val="center"/>
              <w:rPr>
                <w:rFonts w:ascii="宋体" w:hAnsi="宋体" w:eastAsia="宋体" w:cs="宋体"/>
                <w:snapToGrid w:val="0"/>
                <w:szCs w:val="21"/>
              </w:rPr>
            </w:pPr>
            <w:r>
              <w:rPr>
                <w:rFonts w:hint="eastAsia" w:ascii="宋体" w:hAnsi="宋体" w:eastAsia="宋体" w:cs="宋体"/>
                <w:snapToGrid w:val="0"/>
                <w:szCs w:val="21"/>
              </w:rPr>
              <w:t>（元）</w:t>
            </w:r>
          </w:p>
        </w:tc>
        <w:tc>
          <w:tcPr>
            <w:tcW w:w="84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金额（</w:t>
            </w:r>
            <w:r>
              <w:rPr>
                <w:rFonts w:hint="eastAsia" w:ascii="宋体" w:hAnsi="宋体" w:eastAsia="宋体" w:cs="宋体"/>
                <w:color w:val="000000"/>
                <w:kern w:val="0"/>
                <w:szCs w:val="21"/>
                <w:lang w:bidi="ar"/>
              </w:rPr>
              <w:t>元</w:t>
            </w:r>
            <w:r>
              <w:rPr>
                <w:rFonts w:hint="eastAsia" w:ascii="宋体" w:hAnsi="宋体" w:eastAsia="宋体" w:cs="宋体"/>
                <w:snapToGrid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35" w:type="dxa"/>
            <w:vAlign w:val="center"/>
          </w:tcPr>
          <w:p>
            <w:pPr>
              <w:widowControl/>
              <w:shd w:val="clear"/>
              <w:jc w:val="center"/>
              <w:textAlignment w:val="center"/>
              <w:rPr>
                <w:rFonts w:ascii="宋体" w:hAnsi="宋体" w:eastAsia="宋体" w:cs="宋体"/>
                <w:color w:val="000000"/>
                <w:kern w:val="0"/>
                <w:szCs w:val="21"/>
                <w:lang w:bidi="ar"/>
              </w:rPr>
            </w:pPr>
          </w:p>
        </w:tc>
        <w:tc>
          <w:tcPr>
            <w:tcW w:w="1330" w:type="dxa"/>
            <w:vAlign w:val="center"/>
          </w:tcPr>
          <w:p>
            <w:pPr>
              <w:widowControl/>
              <w:shd w:val="clear"/>
              <w:jc w:val="center"/>
              <w:textAlignment w:val="center"/>
              <w:rPr>
                <w:rFonts w:ascii="宋体" w:hAnsi="宋体" w:eastAsia="宋体" w:cs="宋体"/>
                <w:color w:val="000000"/>
                <w:kern w:val="0"/>
                <w:szCs w:val="21"/>
                <w:lang w:bidi="ar"/>
              </w:rPr>
            </w:pPr>
          </w:p>
        </w:tc>
        <w:tc>
          <w:tcPr>
            <w:tcW w:w="1560" w:type="dxa"/>
            <w:vAlign w:val="center"/>
          </w:tcPr>
          <w:p>
            <w:pPr>
              <w:widowControl/>
              <w:shd w:val="clear"/>
              <w:jc w:val="center"/>
              <w:textAlignment w:val="center"/>
              <w:rPr>
                <w:rFonts w:ascii="宋体" w:hAnsi="宋体" w:eastAsia="宋体" w:cs="宋体"/>
                <w:color w:val="000000"/>
                <w:kern w:val="0"/>
                <w:szCs w:val="21"/>
                <w:lang w:bidi="ar"/>
              </w:rPr>
            </w:pPr>
          </w:p>
        </w:tc>
        <w:tc>
          <w:tcPr>
            <w:tcW w:w="873" w:type="dxa"/>
            <w:vAlign w:val="center"/>
          </w:tcPr>
          <w:p>
            <w:pPr>
              <w:widowControl/>
              <w:shd w:val="clear"/>
              <w:jc w:val="center"/>
              <w:textAlignment w:val="center"/>
              <w:rPr>
                <w:rFonts w:ascii="宋体" w:hAnsi="宋体" w:eastAsia="宋体" w:cs="宋体"/>
                <w:color w:val="000000"/>
                <w:kern w:val="0"/>
                <w:szCs w:val="21"/>
                <w:lang w:bidi="ar"/>
              </w:rPr>
            </w:pPr>
          </w:p>
        </w:tc>
        <w:tc>
          <w:tcPr>
            <w:tcW w:w="1395" w:type="dxa"/>
            <w:vAlign w:val="center"/>
          </w:tcPr>
          <w:p>
            <w:pPr>
              <w:widowControl/>
              <w:shd w:val="clear"/>
              <w:jc w:val="center"/>
              <w:textAlignment w:val="center"/>
              <w:rPr>
                <w:rFonts w:ascii="宋体" w:hAnsi="宋体" w:eastAsia="宋体" w:cs="宋体"/>
                <w:color w:val="000000"/>
                <w:kern w:val="0"/>
                <w:szCs w:val="21"/>
                <w:lang w:bidi="ar"/>
              </w:rPr>
            </w:pPr>
          </w:p>
        </w:tc>
        <w:tc>
          <w:tcPr>
            <w:tcW w:w="585"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color w:val="000000"/>
                <w:kern w:val="0"/>
                <w:szCs w:val="21"/>
                <w:lang w:bidi="ar"/>
              </w:rPr>
            </w:pPr>
          </w:p>
        </w:tc>
        <w:tc>
          <w:tcPr>
            <w:tcW w:w="1330" w:type="dxa"/>
            <w:vAlign w:val="center"/>
          </w:tcPr>
          <w:p>
            <w:pPr>
              <w:widowControl/>
              <w:shd w:val="clear"/>
              <w:jc w:val="center"/>
              <w:textAlignment w:val="center"/>
              <w:rPr>
                <w:rFonts w:ascii="宋体" w:hAnsi="宋体" w:eastAsia="宋体" w:cs="宋体"/>
                <w:color w:val="000000"/>
                <w:kern w:val="0"/>
                <w:szCs w:val="21"/>
                <w:lang w:bidi="ar"/>
              </w:rPr>
            </w:pPr>
          </w:p>
        </w:tc>
        <w:tc>
          <w:tcPr>
            <w:tcW w:w="1560" w:type="dxa"/>
            <w:vAlign w:val="center"/>
          </w:tcPr>
          <w:p>
            <w:pPr>
              <w:widowControl/>
              <w:shd w:val="clear"/>
              <w:jc w:val="center"/>
              <w:textAlignment w:val="center"/>
              <w:rPr>
                <w:rFonts w:ascii="宋体" w:hAnsi="宋体" w:eastAsia="宋体" w:cs="宋体"/>
                <w:color w:val="000000"/>
                <w:kern w:val="0"/>
                <w:szCs w:val="21"/>
                <w:lang w:bidi="ar"/>
              </w:rPr>
            </w:pPr>
          </w:p>
        </w:tc>
        <w:tc>
          <w:tcPr>
            <w:tcW w:w="873" w:type="dxa"/>
            <w:vAlign w:val="center"/>
          </w:tcPr>
          <w:p>
            <w:pPr>
              <w:widowControl/>
              <w:shd w:val="clear"/>
              <w:jc w:val="center"/>
              <w:textAlignment w:val="center"/>
              <w:rPr>
                <w:rFonts w:ascii="宋体" w:hAnsi="宋体" w:eastAsia="宋体" w:cs="宋体"/>
                <w:color w:val="000000"/>
                <w:kern w:val="0"/>
                <w:szCs w:val="21"/>
                <w:lang w:bidi="ar"/>
              </w:rPr>
            </w:pPr>
          </w:p>
        </w:tc>
        <w:tc>
          <w:tcPr>
            <w:tcW w:w="1395" w:type="dxa"/>
            <w:vAlign w:val="center"/>
          </w:tcPr>
          <w:p>
            <w:pPr>
              <w:widowControl/>
              <w:shd w:val="clear"/>
              <w:jc w:val="center"/>
              <w:textAlignment w:val="center"/>
              <w:rPr>
                <w:rFonts w:ascii="宋体" w:hAnsi="宋体" w:eastAsia="宋体" w:cs="宋体"/>
                <w:color w:val="000000"/>
                <w:kern w:val="0"/>
                <w:szCs w:val="21"/>
                <w:lang w:bidi="ar"/>
              </w:rPr>
            </w:pPr>
          </w:p>
        </w:tc>
        <w:tc>
          <w:tcPr>
            <w:tcW w:w="585"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bl>
    <w:p>
      <w:pPr>
        <w:shd w:val="clear"/>
        <w:spacing w:line="360" w:lineRule="auto"/>
        <w:ind w:firstLine="480" w:firstLineChars="200"/>
        <w:rPr>
          <w:rFonts w:hint="eastAsia"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pPr>
        <w:pStyle w:val="24"/>
        <w:shd w:val="clear"/>
        <w:spacing w:before="0" w:beforeAutospacing="0" w:after="0" w:afterAutospacing="0" w:line="360" w:lineRule="auto"/>
        <w:ind w:firstLine="480"/>
        <w:rPr>
          <w:b/>
        </w:rPr>
      </w:pPr>
      <w:bookmarkStart w:id="393" w:name="_Toc22618"/>
      <w:bookmarkStart w:id="394" w:name="_Toc1814"/>
      <w:bookmarkStart w:id="395" w:name="_Toc10340"/>
      <w:r>
        <w:rPr>
          <w:rFonts w:hint="eastAsia"/>
          <w:b/>
        </w:rPr>
        <w:t>三、合同期限、货物交付期限、地点和联系方式、交付方式</w:t>
      </w:r>
    </w:p>
    <w:p>
      <w:pPr>
        <w:shd w:val="clea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lang w:eastAsia="zh-CN"/>
        </w:rPr>
        <w:t xml:space="preserve"> 自合同签订后一年</w:t>
      </w:r>
      <w:r>
        <w:rPr>
          <w:rFonts w:hint="eastAsia" w:ascii="宋体" w:hAnsi="宋体" w:cs="宋体"/>
          <w:sz w:val="24"/>
          <w:u w:val="single"/>
        </w:rPr>
        <w:t>；</w:t>
      </w:r>
    </w:p>
    <w:p>
      <w:pPr>
        <w:shd w:val="clea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hd w:val="clea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hd w:val="clea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hd w:val="clea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hd w:val="clea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hd w:val="clea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hd w:val="clea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hd w:val="clear"/>
        <w:spacing w:line="360" w:lineRule="auto"/>
        <w:ind w:firstLine="480" w:firstLineChars="200"/>
        <w:rPr>
          <w:b/>
        </w:rPr>
      </w:pPr>
      <w:r>
        <w:rPr>
          <w:rFonts w:hint="eastAsia" w:ascii="宋体" w:hAnsi="宋体" w:cs="宋体"/>
          <w:sz w:val="24"/>
        </w:rPr>
        <w:t>（3）特殊情况下，双方友好协商解决。</w:t>
      </w:r>
    </w:p>
    <w:p>
      <w:pPr>
        <w:pStyle w:val="24"/>
        <w:shd w:val="clear"/>
        <w:spacing w:before="0" w:beforeAutospacing="0" w:after="0" w:afterAutospacing="0" w:line="360" w:lineRule="auto"/>
        <w:ind w:firstLine="480"/>
        <w:rPr>
          <w:b/>
        </w:rPr>
      </w:pPr>
      <w:r>
        <w:rPr>
          <w:rFonts w:hint="eastAsia"/>
          <w:b/>
        </w:rPr>
        <w:t>四、技术和质量要求</w:t>
      </w:r>
    </w:p>
    <w:p>
      <w:pPr>
        <w:shd w:val="clear"/>
        <w:spacing w:line="360" w:lineRule="auto"/>
        <w:ind w:firstLine="480" w:firstLineChars="200"/>
        <w:rPr>
          <w:rFonts w:hint="eastAsia" w:ascii="宋体" w:hAnsi="宋体" w:cs="宋体"/>
          <w:sz w:val="24"/>
        </w:rPr>
      </w:pPr>
      <w:r>
        <w:rPr>
          <w:rFonts w:hint="eastAsia" w:ascii="宋体" w:hAnsi="宋体" w:cs="宋体"/>
          <w:sz w:val="24"/>
        </w:rPr>
        <w:t>1.品牌和型号等技术参数满足采购内容中的规格型号/技术要求，</w:t>
      </w:r>
      <w:r>
        <w:rPr>
          <w:rFonts w:hint="eastAsia" w:ascii="宋体" w:hAnsi="宋体" w:cs="宋体"/>
          <w:sz w:val="24"/>
          <w:lang w:val="en-US" w:eastAsia="zh-CN"/>
        </w:rPr>
        <w:t>具</w:t>
      </w:r>
      <w:r>
        <w:rPr>
          <w:rFonts w:hint="eastAsia" w:ascii="宋体" w:hAnsi="宋体" w:cs="宋体"/>
          <w:sz w:val="24"/>
        </w:rPr>
        <w:t xml:space="preserve">有国家、地方、行业标准、规范（含强制适用标准、规范和推荐适用标准、规范）的，按相应标准、规范执行（不同标准、规范之间要求不一的，按要求较高者执行）。 </w:t>
      </w:r>
    </w:p>
    <w:p>
      <w:pPr>
        <w:pStyle w:val="24"/>
        <w:shd w:val="clear"/>
        <w:spacing w:before="0" w:beforeAutospacing="0" w:after="0" w:afterAutospacing="0" w:line="360" w:lineRule="auto"/>
        <w:ind w:firstLine="480" w:firstLineChars="200"/>
        <w:rPr>
          <w:rFonts w:hint="eastAsia"/>
        </w:rPr>
      </w:pPr>
      <w:r>
        <w:rPr>
          <w:rFonts w:hint="eastAsia"/>
        </w:rPr>
        <w:t>2.乙方提供的</w:t>
      </w:r>
      <w:r>
        <w:rPr>
          <w:rFonts w:hint="eastAsia"/>
          <w:lang w:val="en-US" w:eastAsia="zh-CN"/>
        </w:rPr>
        <w:t>货物</w:t>
      </w:r>
      <w:r>
        <w:rPr>
          <w:rFonts w:hint="eastAsia"/>
        </w:rPr>
        <w:t>必须为原厂正品，不得为假冒伪劣产品。</w:t>
      </w:r>
    </w:p>
    <w:p>
      <w:pPr>
        <w:pStyle w:val="24"/>
        <w:shd w:val="clear"/>
        <w:spacing w:before="0" w:beforeAutospacing="0" w:after="0" w:afterAutospacing="0" w:line="360" w:lineRule="auto"/>
        <w:ind w:firstLine="480" w:firstLineChars="200"/>
        <w:rPr>
          <w:rFonts w:hint="default" w:eastAsiaTheme="minorEastAsia"/>
          <w:lang w:val="en-US" w:eastAsia="zh-CN"/>
        </w:rPr>
      </w:pPr>
      <w:r>
        <w:rPr>
          <w:rFonts w:hint="eastAsia"/>
          <w:lang w:val="en-US" w:eastAsia="zh-CN"/>
        </w:rPr>
        <w:t>3.质保期：验收合格后1年。若质保期内出现质量问题（非质量问题除外），乙方负责免费更换或维修，产生的费用全部由乙方承担。</w:t>
      </w:r>
    </w:p>
    <w:p>
      <w:pPr>
        <w:shd w:val="clear"/>
        <w:spacing w:line="360" w:lineRule="auto"/>
        <w:ind w:firstLine="482" w:firstLineChars="200"/>
        <w:outlineLvl w:val="0"/>
        <w:rPr>
          <w:rFonts w:ascii="宋体" w:hAnsi="宋体" w:cs="宋体"/>
          <w:b/>
          <w:sz w:val="24"/>
        </w:rPr>
      </w:pPr>
      <w:bookmarkStart w:id="396" w:name="_Toc1125"/>
      <w:bookmarkStart w:id="397" w:name="_Toc14563"/>
      <w:bookmarkStart w:id="398" w:name="_Toc6596"/>
      <w:r>
        <w:rPr>
          <w:rFonts w:hint="eastAsia" w:ascii="宋体" w:hAnsi="宋体" w:cs="宋体"/>
          <w:b/>
          <w:sz w:val="24"/>
        </w:rPr>
        <w:t>五、服务要求</w:t>
      </w:r>
    </w:p>
    <w:p>
      <w:pPr>
        <w:pStyle w:val="7"/>
        <w:shd w:val="clear"/>
        <w:ind w:firstLine="480" w:firstLineChars="200"/>
        <w:rPr>
          <w:lang w:val="en-US"/>
        </w:rPr>
      </w:pPr>
      <w:r>
        <w:rPr>
          <w:rFonts w:hint="eastAsia"/>
          <w:lang w:val="en-US"/>
        </w:rPr>
        <w:t>1.根据甲方生产计划，乙方负责在接到甲方电话或书面通知后在</w:t>
      </w:r>
      <w:r>
        <w:rPr>
          <w:rFonts w:hint="eastAsia"/>
          <w:lang w:val="en-US" w:eastAsia="zh-CN"/>
        </w:rPr>
        <w:t>15个工作日内完成供货</w:t>
      </w:r>
      <w:r>
        <w:rPr>
          <w:rFonts w:hint="eastAsia"/>
          <w:lang w:val="en-US"/>
        </w:rPr>
        <w:t>。乙方负责卸货，人工费由乙方承担，甲方可免费提供叉车服务。</w:t>
      </w:r>
    </w:p>
    <w:p>
      <w:pPr>
        <w:pStyle w:val="7"/>
        <w:shd w:val="clear"/>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w:t>
      </w:r>
      <w:r>
        <w:rPr>
          <w:rFonts w:hint="eastAsia"/>
          <w:lang w:val="en-US" w:eastAsia="zh-CN"/>
        </w:rPr>
        <w:t>，</w:t>
      </w:r>
      <w:r>
        <w:rPr>
          <w:rFonts w:hint="eastAsia"/>
          <w:lang w:val="en-US"/>
        </w:rPr>
        <w:t>24小时内派人员到达现场进行免费指导解决问题。</w:t>
      </w:r>
    </w:p>
    <w:p>
      <w:pPr>
        <w:pStyle w:val="7"/>
        <w:shd w:val="clear"/>
        <w:ind w:firstLine="480" w:firstLineChars="200"/>
        <w:rPr>
          <w:lang w:val="en-US"/>
        </w:rPr>
      </w:pPr>
      <w:r>
        <w:rPr>
          <w:rFonts w:hint="eastAsia"/>
          <w:lang w:val="en-US"/>
        </w:rPr>
        <w:t>3.甲方不再对任何售后服务进行付费。乙方的派遣人员产生的一切费用由</w:t>
      </w:r>
      <w:r>
        <w:rPr>
          <w:rFonts w:hint="eastAsia"/>
          <w:lang w:val="en-US" w:eastAsia="zh-CN"/>
        </w:rPr>
        <w:t>乙方</w:t>
      </w:r>
      <w:r>
        <w:rPr>
          <w:rFonts w:hint="eastAsia"/>
          <w:lang w:val="en-US"/>
        </w:rPr>
        <w:t>承担。</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6"/>
      <w:bookmarkEnd w:id="397"/>
      <w:bookmarkEnd w:id="398"/>
    </w:p>
    <w:p>
      <w:pPr>
        <w:shd w:val="clea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b/>
          <w:bCs/>
          <w:sz w:val="24"/>
        </w:rPr>
        <w:t>若有验收特别约定的，按特别约定条款执行。</w:t>
      </w:r>
    </w:p>
    <w:p>
      <w:pPr>
        <w:shd w:val="clea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shd w:val="clea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shd w:val="clea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shd w:val="clea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shd w:val="clea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pStyle w:val="7"/>
        <w:shd w:val="clear"/>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8"/>
        <w:rPr>
          <w:rFonts w:hint="eastAsia"/>
          <w:highlight w:val="none"/>
          <w:lang w:val="en-US"/>
        </w:rPr>
      </w:pPr>
      <w:r>
        <w:rPr>
          <w:rFonts w:hint="eastAsia"/>
          <w:highlight w:val="none"/>
          <w:lang w:val="en-US" w:eastAsia="zh-CN"/>
        </w:rPr>
        <w:t>1.</w:t>
      </w:r>
      <w:r>
        <w:rPr>
          <w:rFonts w:hint="eastAsia"/>
          <w:highlight w:val="none"/>
          <w:lang w:val="en-US"/>
        </w:rPr>
        <w:t>提供该批次货物原厂质量证明书。</w:t>
      </w:r>
    </w:p>
    <w:p>
      <w:pPr>
        <w:pStyle w:val="8"/>
        <w:rPr>
          <w:rFonts w:hint="default" w:eastAsiaTheme="minorEastAsia"/>
          <w:highlight w:val="none"/>
          <w:lang w:val="en-US" w:eastAsia="zh-CN"/>
        </w:rPr>
      </w:pPr>
      <w:r>
        <w:rPr>
          <w:rFonts w:hint="eastAsia"/>
          <w:highlight w:val="none"/>
          <w:lang w:val="en-US" w:eastAsia="zh-CN"/>
        </w:rPr>
        <w:t>2.</w:t>
      </w:r>
      <w:r>
        <w:rPr>
          <w:rFonts w:hint="eastAsia"/>
          <w:highlight w:val="none"/>
          <w:lang w:val="en-US"/>
        </w:rPr>
        <w:t>货物交付前，</w:t>
      </w:r>
      <w:r>
        <w:rPr>
          <w:rFonts w:hint="eastAsia"/>
          <w:highlight w:val="none"/>
          <w:lang w:val="en-US" w:eastAsia="zh-CN"/>
        </w:rPr>
        <w:t>甲方</w:t>
      </w:r>
      <w:r>
        <w:rPr>
          <w:rFonts w:hint="eastAsia"/>
          <w:highlight w:val="none"/>
          <w:lang w:val="en-US"/>
        </w:rPr>
        <w:t>对货物的质量、数量等方面进行详细、全面的检验，</w:t>
      </w:r>
      <w:r>
        <w:rPr>
          <w:rFonts w:hint="eastAsia"/>
          <w:highlight w:val="none"/>
          <w:lang w:val="en-US" w:eastAsia="zh-CN"/>
        </w:rPr>
        <w:t>乙方</w:t>
      </w:r>
      <w:r>
        <w:rPr>
          <w:rFonts w:hint="eastAsia"/>
          <w:highlight w:val="none"/>
          <w:lang w:val="en-US"/>
        </w:rPr>
        <w:t>向</w:t>
      </w:r>
      <w:r>
        <w:rPr>
          <w:rFonts w:hint="eastAsia"/>
          <w:highlight w:val="none"/>
          <w:lang w:val="en-US" w:eastAsia="zh-CN"/>
        </w:rPr>
        <w:t>甲方</w:t>
      </w:r>
      <w:r>
        <w:rPr>
          <w:rFonts w:hint="eastAsia"/>
          <w:highlight w:val="none"/>
          <w:lang w:val="en-US"/>
        </w:rPr>
        <w:t>出具证明货物符合合同约定的文件，同时</w:t>
      </w:r>
      <w:r>
        <w:rPr>
          <w:rFonts w:hint="eastAsia"/>
          <w:highlight w:val="none"/>
          <w:lang w:val="en-US" w:eastAsia="zh-CN"/>
        </w:rPr>
        <w:t>甲方</w:t>
      </w:r>
      <w:r>
        <w:rPr>
          <w:rFonts w:hint="eastAsia"/>
          <w:highlight w:val="none"/>
          <w:lang w:val="en-US"/>
        </w:rPr>
        <w:t>采用光谱仪对货物进行材质及成分检测，检测标准按照国标 GB/T 4238-2015 成分数据为准</w:t>
      </w:r>
      <w:r>
        <w:rPr>
          <w:rFonts w:hint="eastAsia"/>
          <w:highlight w:val="none"/>
          <w:lang w:val="en-US" w:eastAsia="zh-CN"/>
        </w:rPr>
        <w:t>，材质检测不符则验收不合格。</w:t>
      </w:r>
    </w:p>
    <w:p>
      <w:pPr>
        <w:rPr>
          <w:lang w:val="en-US"/>
        </w:rPr>
      </w:pPr>
    </w:p>
    <w:p>
      <w:pPr>
        <w:pStyle w:val="7"/>
        <w:shd w:val="clear"/>
        <w:ind w:firstLine="482" w:firstLineChars="200"/>
        <w:rPr>
          <w:rFonts w:eastAsia="宋体"/>
          <w:b/>
        </w:rPr>
      </w:pPr>
      <w:r>
        <w:rPr>
          <w:rFonts w:hint="eastAsia" w:hAnsi="宋体"/>
          <w:b/>
          <w:lang w:val="en-US"/>
        </w:rPr>
        <w:t>八、</w:t>
      </w:r>
      <w:r>
        <w:rPr>
          <w:rFonts w:hint="eastAsia"/>
          <w:b/>
        </w:rPr>
        <w:t>履约保证金</w:t>
      </w:r>
    </w:p>
    <w:p>
      <w:pPr>
        <w:pStyle w:val="24"/>
        <w:shd w:val="clear"/>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hd w:val="clea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lang w:val="en-US" w:eastAsia="zh-CN"/>
        </w:rPr>
        <w:t>10</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hd w:val="clea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hd w:val="clea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hd w:val="clea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hd w:val="clea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hd w:val="clea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3"/>
    <w:bookmarkEnd w:id="394"/>
    <w:bookmarkEnd w:id="395"/>
    <w:p>
      <w:pPr>
        <w:shd w:val="clea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4"/>
        <w:shd w:val="clear"/>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hd w:val="clear"/>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hd w:val="clear"/>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hd w:val="clear"/>
        <w:spacing w:before="0" w:beforeAutospacing="0" w:after="0" w:afterAutospacing="0" w:line="360" w:lineRule="auto"/>
        <w:ind w:firstLine="480"/>
        <w:rPr>
          <w:b/>
          <w:bCs/>
        </w:rPr>
      </w:pPr>
      <w:r>
        <w:rPr>
          <w:rFonts w:hint="eastAsia"/>
          <w:b/>
          <w:bCs/>
        </w:rPr>
        <w:t>十、资金支付</w:t>
      </w:r>
    </w:p>
    <w:p>
      <w:pPr>
        <w:pStyle w:val="24"/>
        <w:shd w:val="clear"/>
        <w:spacing w:before="0" w:beforeAutospacing="0" w:after="0" w:afterAutospacing="0" w:line="360" w:lineRule="auto"/>
        <w:ind w:firstLine="480"/>
      </w:pPr>
      <w:bookmarkStart w:id="399" w:name="_Toc19304"/>
      <w:bookmarkStart w:id="400" w:name="_Toc32071"/>
      <w:bookmarkStart w:id="401"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4"/>
        <w:shd w:val="clear"/>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u w:val="single"/>
          <w:lang w:val="en-US" w:eastAsia="zh-CN"/>
        </w:rPr>
        <w:t>/</w:t>
      </w:r>
      <w:r>
        <w:rPr>
          <w:rFonts w:hint="eastAsia" w:ascii="宋体" w:hAnsi="宋体" w:cs="宋体"/>
          <w:kern w:val="0"/>
          <w:sz w:val="24"/>
          <w:u w:val="single"/>
        </w:rPr>
        <w:t xml:space="preserve">    </w:t>
      </w:r>
      <w:r>
        <w:rPr>
          <w:rFonts w:hint="eastAsia" w:ascii="宋体" w:hAnsi="宋体" w:cs="宋体"/>
          <w:kern w:val="0"/>
          <w:sz w:val="24"/>
        </w:rPr>
        <w:t>；</w:t>
      </w:r>
    </w:p>
    <w:p>
      <w:pPr>
        <w:pStyle w:val="24"/>
        <w:shd w:val="clear"/>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lang w:val="en-US" w:eastAsia="zh-CN"/>
        </w:rPr>
        <w:t>5</w:t>
      </w:r>
      <w:r>
        <w:rPr>
          <w:rFonts w:hint="eastAsia"/>
          <w:u w:val="single"/>
        </w:rPr>
        <w:t xml:space="preserve"> </w:t>
      </w:r>
      <w:r>
        <w:rPr>
          <w:rFonts w:hint="eastAsia"/>
        </w:rPr>
        <w:t>%；</w:t>
      </w:r>
    </w:p>
    <w:p>
      <w:pPr>
        <w:pStyle w:val="24"/>
        <w:shd w:val="clear"/>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hd w:val="clear"/>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bookmarkEnd w:id="399"/>
    <w:bookmarkEnd w:id="400"/>
    <w:bookmarkEnd w:id="401"/>
    <w:p>
      <w:pPr>
        <w:pStyle w:val="24"/>
        <w:shd w:val="clear"/>
        <w:spacing w:before="0" w:beforeAutospacing="0" w:after="0" w:afterAutospacing="0" w:line="360" w:lineRule="auto"/>
        <w:ind w:firstLine="480"/>
        <w:rPr>
          <w:u w:val="single"/>
        </w:rPr>
      </w:pPr>
      <w:bookmarkStart w:id="402" w:name="_Toc19554"/>
      <w:bookmarkStart w:id="403" w:name="_Toc27250"/>
      <w:bookmarkStart w:id="404" w:name="_Toc21423"/>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hd w:val="clear"/>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4"/>
        <w:shd w:val="clear"/>
        <w:spacing w:before="0" w:beforeAutospacing="0" w:after="0" w:afterAutospacing="0" w:line="360" w:lineRule="auto"/>
        <w:ind w:firstLine="480"/>
        <w:rPr>
          <w:rFonts w:hint="eastAsia" w:eastAsiaTheme="minorEastAsia"/>
          <w:u w:val="single"/>
          <w:lang w:eastAsia="zh-CN"/>
        </w:rPr>
      </w:pPr>
      <w:r>
        <w:rPr>
          <w:rFonts w:hint="eastAsia"/>
          <w:u w:val="single"/>
        </w:rPr>
        <w:t>（3）一次性付款，经甲方验收合格后，甲方收到乙方提供的增值税专用发票后，甲方在本合同约定时间内完成支付</w:t>
      </w:r>
      <w:r>
        <w:rPr>
          <w:rFonts w:hint="eastAsia"/>
          <w:u w:val="single"/>
          <w:lang w:eastAsia="zh-CN"/>
        </w:rPr>
        <w:t>；</w:t>
      </w:r>
    </w:p>
    <w:p>
      <w:pPr>
        <w:pStyle w:val="24"/>
        <w:shd w:val="clear"/>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rPr>
        <w:t xml:space="preserve"> 。</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402"/>
      <w:bookmarkEnd w:id="403"/>
      <w:bookmarkEnd w:id="404"/>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金甲方有权优先从履约保证金中扣除，不足部分从已供货未结算的货款中扣除；若无履约保证金的，甲方有权直接从已供货未结算的货款中扣除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（2）中</w:t>
      </w:r>
      <w:r>
        <w:rPr>
          <w:rFonts w:hint="eastAsia" w:ascii="宋体" w:hAnsi="宋体" w:cs="宋体"/>
          <w:color w:val="auto"/>
          <w:sz w:val="24"/>
          <w:highlight w:val="none"/>
          <w:lang w:val="en-US" w:eastAsia="zh-CN"/>
        </w:rPr>
        <w:t>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hd w:val="clea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pPr>
        <w:shd w:val="clea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hd w:val="clea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hd w:val="clea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hd w:val="clea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hd w:val="clear"/>
        <w:spacing w:line="360" w:lineRule="auto"/>
        <w:ind w:right="-420" w:rightChars="-200" w:firstLine="480" w:firstLineChars="200"/>
        <w:rPr>
          <w:rFonts w:ascii="宋体" w:hAnsi="宋体" w:cs="宋体"/>
          <w:sz w:val="24"/>
          <w:u w:val="none"/>
        </w:rPr>
      </w:pPr>
      <w:r>
        <w:rPr>
          <w:rFonts w:hint="eastAsia" w:ascii="宋体" w:hAnsi="宋体" w:cs="宋体"/>
          <w:sz w:val="24"/>
          <w:u w:val="none"/>
        </w:rPr>
        <w:t>（1）乙方交付的货物不符合合同约定或验收不合格的，应当及时更换，因此延误交货期限的，按照逾期交货承担违约责任 ；</w:t>
      </w:r>
    </w:p>
    <w:p>
      <w:pPr>
        <w:shd w:val="clear"/>
        <w:spacing w:line="360" w:lineRule="auto"/>
        <w:ind w:firstLine="480" w:firstLineChars="200"/>
        <w:rPr>
          <w:rFonts w:hint="eastAsia" w:ascii="宋体" w:hAnsi="宋体" w:cs="宋体"/>
          <w:sz w:val="24"/>
        </w:rPr>
      </w:pPr>
      <w:r>
        <w:rPr>
          <w:rFonts w:hint="eastAsia" w:ascii="宋体" w:hAnsi="宋体" w:cs="宋体"/>
          <w:sz w:val="24"/>
        </w:rPr>
        <w:t>（2）乙方不履行售后服务义务的，每次应向甲方承担1000元的违约金，且仍应履行售后服务义务；违约</w:t>
      </w:r>
      <w:r>
        <w:rPr>
          <w:rFonts w:hint="eastAsia" w:ascii="宋体" w:hAnsi="宋体" w:cs="宋体"/>
          <w:sz w:val="24"/>
          <w:lang w:val="en-US" w:eastAsia="zh-CN"/>
        </w:rPr>
        <w:t>金甲方有权优先从履约保证金扣除，不足部分从货款中扣除；若无履约保证金的，甲方有权直接从货款中扣除；</w:t>
      </w:r>
    </w:p>
    <w:p>
      <w:pPr>
        <w:shd w:val="clear"/>
        <w:spacing w:line="360" w:lineRule="auto"/>
        <w:ind w:right="-420" w:rightChars="-200" w:firstLine="480" w:firstLineChars="200"/>
        <w:rPr>
          <w:rFonts w:ascii="宋体" w:hAnsi="宋体" w:cs="宋体"/>
          <w:sz w:val="24"/>
          <w:u w:val="none"/>
        </w:rPr>
      </w:pPr>
      <w:r>
        <w:rPr>
          <w:rFonts w:hint="eastAsia" w:ascii="宋体" w:hAnsi="宋体" w:cs="宋体"/>
          <w:sz w:val="24"/>
          <w:u w:val="none"/>
        </w:rPr>
        <w:t>（3）甲方无故拒收货物，乙方有权要求甲方按照合同原价支付货款  。</w:t>
      </w:r>
    </w:p>
    <w:p>
      <w:pPr>
        <w:shd w:val="clear"/>
        <w:spacing w:line="360" w:lineRule="auto"/>
        <w:ind w:right="-420" w:rightChars="-200" w:firstLine="480" w:firstLineChars="200"/>
        <w:rPr>
          <w:u w:val="none"/>
        </w:rPr>
      </w:pPr>
      <w:r>
        <w:rPr>
          <w:rFonts w:hint="eastAsia" w:ascii="宋体" w:hAnsi="宋体" w:cs="宋体"/>
          <w:sz w:val="24"/>
          <w:u w:val="none"/>
        </w:rPr>
        <w:t>（4）若质保期内出现质量问题，甲方有权从质保金中扣除违约金，同时乙方应免费维修或更换。</w:t>
      </w:r>
    </w:p>
    <w:p>
      <w:pPr>
        <w:shd w:val="clear"/>
        <w:spacing w:line="360" w:lineRule="auto"/>
        <w:ind w:firstLine="482" w:firstLineChars="200"/>
        <w:outlineLvl w:val="0"/>
        <w:rPr>
          <w:rFonts w:ascii="宋体" w:hAnsi="宋体" w:cs="宋体"/>
          <w:b/>
          <w:sz w:val="24"/>
        </w:rPr>
      </w:pPr>
      <w:bookmarkStart w:id="405" w:name="_Toc15583"/>
      <w:bookmarkStart w:id="406" w:name="_Toc28375"/>
      <w:bookmarkStart w:id="407" w:name="_Toc16021"/>
      <w:r>
        <w:rPr>
          <w:rFonts w:hint="eastAsia" w:ascii="宋体" w:hAnsi="宋体" w:cs="宋体"/>
          <w:b/>
          <w:sz w:val="24"/>
        </w:rPr>
        <w:t>十二、合同争议的解决</w:t>
      </w:r>
      <w:bookmarkEnd w:id="405"/>
      <w:bookmarkEnd w:id="406"/>
      <w:bookmarkEnd w:id="407"/>
    </w:p>
    <w:p>
      <w:pPr>
        <w:shd w:val="clea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hd w:val="clear"/>
        <w:spacing w:line="360" w:lineRule="auto"/>
        <w:ind w:right="-420" w:rightChars="-200" w:firstLine="480" w:firstLineChars="200"/>
        <w:rPr>
          <w:rFonts w:ascii="宋体" w:hAnsi="宋体" w:cs="宋体"/>
          <w:sz w:val="24"/>
        </w:rPr>
      </w:pPr>
      <w:bookmarkStart w:id="408" w:name="_Toc11173"/>
      <w:bookmarkStart w:id="409" w:name="_Toc7245"/>
      <w:bookmarkStart w:id="410" w:name="_Toc15322"/>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hd w:val="clea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8"/>
    <w:bookmarkEnd w:id="409"/>
    <w:bookmarkEnd w:id="410"/>
    <w:p>
      <w:pPr>
        <w:shd w:val="clea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3"/>
        <w:shd w:val="clear"/>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pPr>
        <w:pStyle w:val="23"/>
        <w:shd w:val="clear"/>
        <w:ind w:left="0" w:leftChars="0" w:firstLine="0" w:firstLineChars="0"/>
        <w:rPr>
          <w:rFonts w:ascii="宋体" w:hAnsi="宋体" w:cs="宋体"/>
          <w:b/>
          <w:szCs w:val="24"/>
        </w:rPr>
      </w:pPr>
    </w:p>
    <w:p>
      <w:pPr>
        <w:pStyle w:val="23"/>
        <w:shd w:val="clear"/>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hd w:val="clear"/>
        <w:spacing w:line="360" w:lineRule="auto"/>
        <w:ind w:firstLine="482" w:firstLineChars="200"/>
        <w:outlineLvl w:val="0"/>
        <w:rPr>
          <w:rFonts w:ascii="宋体" w:hAnsi="宋体" w:cs="宋体"/>
          <w:b/>
          <w:sz w:val="24"/>
        </w:rPr>
      </w:pPr>
      <w:bookmarkStart w:id="411" w:name="_Toc19614"/>
      <w:bookmarkStart w:id="412" w:name="_Ref467379205"/>
      <w:bookmarkStart w:id="413" w:name="_Ref467378404"/>
      <w:bookmarkStart w:id="414" w:name="_Ref467379109"/>
      <w:bookmarkStart w:id="415" w:name="_Ref467379101"/>
      <w:bookmarkStart w:id="416" w:name="_Toc28763"/>
      <w:bookmarkStart w:id="417" w:name="_Toc279701240"/>
      <w:bookmarkStart w:id="418" w:name="_Ref467379195"/>
      <w:bookmarkStart w:id="419" w:name="_Ref467378463"/>
      <w:bookmarkStart w:id="420" w:name="_Ref467379094"/>
      <w:bookmarkStart w:id="421" w:name="_Ref467378499"/>
      <w:bookmarkStart w:id="422" w:name="_Ref467379214"/>
      <w:bookmarkStart w:id="423" w:name="_Ref467379225"/>
      <w:bookmarkStart w:id="424" w:name="_Toc16917"/>
      <w:bookmarkStart w:id="425" w:name="_Toc487900349"/>
      <w:bookmarkStart w:id="426" w:name="_Toc259093669"/>
      <w:r>
        <w:rPr>
          <w:rFonts w:hint="eastAsia" w:ascii="宋体" w:hAnsi="宋体" w:cs="宋体"/>
          <w:b/>
          <w:sz w:val="24"/>
        </w:rPr>
        <w:t>一、 定义</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pPr>
        <w:shd w:val="clea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hd w:val="clea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hd w:val="clea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hd w:val="clea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hd w:val="clear"/>
        <w:spacing w:line="360" w:lineRule="auto"/>
        <w:ind w:firstLine="480" w:firstLineChars="200"/>
        <w:rPr>
          <w:rFonts w:ascii="宋体" w:hAnsi="宋体" w:cs="宋体"/>
          <w:sz w:val="24"/>
        </w:rPr>
      </w:pPr>
      <w:bookmarkStart w:id="427" w:name="_Ref467378840"/>
      <w:r>
        <w:rPr>
          <w:rFonts w:hint="eastAsia" w:ascii="宋体" w:hAnsi="宋体" w:cs="宋体"/>
          <w:sz w:val="24"/>
        </w:rPr>
        <w:t>4. “甲方”系指与中标或成交供应商签署合同的采购人</w:t>
      </w:r>
      <w:bookmarkEnd w:id="427"/>
      <w:r>
        <w:rPr>
          <w:rFonts w:hint="eastAsia" w:ascii="宋体" w:hAnsi="宋体" w:cs="宋体"/>
          <w:sz w:val="24"/>
        </w:rPr>
        <w:t>；采购人委托采购代理机构代表其与乙方签订合同的，采购人的授权委托书作为合同附件。</w:t>
      </w:r>
    </w:p>
    <w:p>
      <w:pPr>
        <w:shd w:val="clear"/>
        <w:spacing w:line="360" w:lineRule="auto"/>
        <w:ind w:firstLine="480" w:firstLineChars="200"/>
        <w:rPr>
          <w:rFonts w:ascii="宋体" w:hAnsi="宋体" w:cs="宋体"/>
          <w:sz w:val="24"/>
        </w:rPr>
      </w:pPr>
      <w:bookmarkStart w:id="428" w:name="_Ref467379400"/>
      <w:r>
        <w:rPr>
          <w:rFonts w:hint="eastAsia" w:ascii="宋体" w:hAnsi="宋体" w:cs="宋体"/>
          <w:sz w:val="24"/>
        </w:rPr>
        <w:t>5.“乙方”系指根据合同约定交付货物的中标或成交供应商</w:t>
      </w:r>
      <w:bookmarkEnd w:id="428"/>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hd w:val="clear"/>
        <w:spacing w:line="360" w:lineRule="auto"/>
        <w:ind w:firstLine="480" w:firstLineChars="200"/>
        <w:rPr>
          <w:rFonts w:ascii="宋体" w:hAnsi="宋体" w:cs="宋体"/>
          <w:sz w:val="24"/>
        </w:rPr>
      </w:pPr>
      <w:bookmarkStart w:id="429" w:name="_Ref467379436"/>
      <w:r>
        <w:rPr>
          <w:rFonts w:hint="eastAsia" w:ascii="宋体" w:hAnsi="宋体" w:cs="宋体"/>
          <w:sz w:val="24"/>
        </w:rPr>
        <w:t>6.“现场”系指合同约定货物将要运至或者安装的地点。</w:t>
      </w:r>
      <w:bookmarkEnd w:id="429"/>
    </w:p>
    <w:p>
      <w:pPr>
        <w:shd w:val="clear"/>
        <w:spacing w:line="360" w:lineRule="auto"/>
        <w:ind w:firstLine="482" w:firstLineChars="200"/>
        <w:outlineLvl w:val="0"/>
        <w:rPr>
          <w:rFonts w:ascii="宋体" w:hAnsi="宋体" w:cs="宋体"/>
          <w:b/>
          <w:sz w:val="24"/>
        </w:rPr>
      </w:pPr>
      <w:bookmarkStart w:id="430" w:name="_Toc487900350"/>
      <w:bookmarkStart w:id="431" w:name="_Toc32504"/>
      <w:bookmarkStart w:id="432" w:name="_Toc13336"/>
      <w:bookmarkStart w:id="433" w:name="_Toc27635"/>
      <w:bookmarkStart w:id="434" w:name="_Toc279701241"/>
      <w:bookmarkStart w:id="435" w:name="_Toc259093670"/>
      <w:r>
        <w:rPr>
          <w:rFonts w:hint="eastAsia" w:ascii="宋体" w:hAnsi="宋体" w:cs="宋体"/>
          <w:b/>
          <w:sz w:val="24"/>
        </w:rPr>
        <w:t>二、技术规范</w:t>
      </w:r>
      <w:bookmarkEnd w:id="430"/>
      <w:bookmarkEnd w:id="431"/>
      <w:bookmarkEnd w:id="432"/>
      <w:bookmarkEnd w:id="433"/>
      <w:bookmarkEnd w:id="434"/>
      <w:bookmarkEnd w:id="435"/>
    </w:p>
    <w:p>
      <w:pPr>
        <w:shd w:val="clea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hd w:val="clear"/>
        <w:spacing w:line="360" w:lineRule="auto"/>
        <w:ind w:firstLine="482" w:firstLineChars="200"/>
        <w:outlineLvl w:val="0"/>
        <w:rPr>
          <w:rFonts w:ascii="宋体" w:hAnsi="宋体" w:cs="宋体"/>
          <w:b/>
          <w:sz w:val="24"/>
        </w:rPr>
      </w:pPr>
      <w:bookmarkStart w:id="436" w:name="_Toc27853"/>
      <w:bookmarkStart w:id="437" w:name="_Toc31634"/>
      <w:bookmarkStart w:id="438" w:name="_Toc259093671"/>
      <w:bookmarkStart w:id="439" w:name="_Toc487900351"/>
      <w:bookmarkStart w:id="440" w:name="_Toc9829"/>
      <w:bookmarkStart w:id="441" w:name="_Toc279701242"/>
      <w:r>
        <w:rPr>
          <w:rFonts w:hint="eastAsia" w:ascii="宋体" w:hAnsi="宋体" w:cs="宋体"/>
          <w:b/>
          <w:sz w:val="24"/>
        </w:rPr>
        <w:t>三、知识产权</w:t>
      </w:r>
      <w:bookmarkEnd w:id="436"/>
      <w:bookmarkEnd w:id="437"/>
      <w:bookmarkEnd w:id="438"/>
      <w:bookmarkEnd w:id="439"/>
      <w:bookmarkEnd w:id="440"/>
      <w:bookmarkEnd w:id="441"/>
    </w:p>
    <w:p>
      <w:pPr>
        <w:shd w:val="clea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hd w:val="clea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hd w:val="clear"/>
        <w:spacing w:line="360" w:lineRule="auto"/>
        <w:ind w:firstLine="482" w:firstLineChars="200"/>
        <w:outlineLvl w:val="0"/>
        <w:rPr>
          <w:rFonts w:ascii="宋体" w:hAnsi="宋体" w:eastAsia="宋体" w:cs="宋体"/>
          <w:b/>
          <w:sz w:val="24"/>
        </w:rPr>
      </w:pPr>
      <w:bookmarkStart w:id="442" w:name="_Toc11932"/>
      <w:bookmarkStart w:id="443" w:name="_Toc4194"/>
      <w:bookmarkStart w:id="444" w:name="_Toc29149"/>
      <w:r>
        <w:rPr>
          <w:rFonts w:hint="eastAsia" w:ascii="宋体" w:hAnsi="宋体" w:cs="宋体"/>
          <w:b/>
          <w:sz w:val="24"/>
        </w:rPr>
        <w:t>四、装运包装</w:t>
      </w:r>
      <w:bookmarkEnd w:id="442"/>
      <w:bookmarkEnd w:id="443"/>
      <w:bookmarkEnd w:id="444"/>
      <w:r>
        <w:rPr>
          <w:rFonts w:hint="eastAsia" w:ascii="宋体" w:hAnsi="宋体" w:cs="宋体"/>
          <w:b/>
          <w:sz w:val="24"/>
        </w:rPr>
        <w:t>及交付要求</w:t>
      </w:r>
    </w:p>
    <w:p>
      <w:pPr>
        <w:shd w:val="clea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hd w:val="clea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hd w:val="clea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hd w:val="clea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hd w:val="clea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hd w:val="clea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hd w:val="clear"/>
        <w:spacing w:line="360" w:lineRule="auto"/>
        <w:ind w:firstLine="482" w:firstLineChars="200"/>
        <w:outlineLvl w:val="0"/>
        <w:rPr>
          <w:rFonts w:ascii="宋体" w:hAnsi="宋体" w:cs="宋体"/>
          <w:b/>
          <w:sz w:val="24"/>
        </w:rPr>
      </w:pPr>
      <w:bookmarkStart w:id="445" w:name="_Toc19074"/>
      <w:bookmarkStart w:id="446" w:name="_Toc26182"/>
      <w:bookmarkStart w:id="447" w:name="_Toc30272"/>
      <w:r>
        <w:rPr>
          <w:rFonts w:hint="eastAsia" w:ascii="宋体" w:hAnsi="宋体" w:cs="宋体"/>
          <w:b/>
          <w:sz w:val="24"/>
        </w:rPr>
        <w:t>五、 履约检查和问题反馈</w:t>
      </w:r>
      <w:bookmarkEnd w:id="445"/>
      <w:bookmarkEnd w:id="446"/>
      <w:bookmarkEnd w:id="447"/>
    </w:p>
    <w:p>
      <w:pPr>
        <w:shd w:val="clear"/>
        <w:spacing w:line="360" w:lineRule="auto"/>
        <w:ind w:firstLine="480" w:firstLineChars="200"/>
        <w:rPr>
          <w:rFonts w:ascii="宋体" w:hAnsi="宋体" w:cs="宋体"/>
          <w:sz w:val="24"/>
        </w:rPr>
      </w:pPr>
      <w:bookmarkStart w:id="448" w:name="_Toc186431854"/>
      <w:bookmarkStart w:id="449" w:name="_Toc259093676"/>
      <w:bookmarkStart w:id="450" w:name="_Ref467379807"/>
      <w:bookmarkStart w:id="451" w:name="_Ref467379793"/>
      <w:bookmarkStart w:id="452" w:name="_Toc487900357"/>
      <w:bookmarkStart w:id="453" w:name="_Toc27970124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hd w:val="clea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8"/>
      <w:bookmarkStart w:id="454" w:name="_Toc186431855"/>
      <w:r>
        <w:rPr>
          <w:rFonts w:hint="eastAsia" w:ascii="宋体" w:hAnsi="宋体" w:cs="宋体"/>
          <w:sz w:val="24"/>
        </w:rPr>
        <w:t>。</w:t>
      </w:r>
    </w:p>
    <w:bookmarkEnd w:id="449"/>
    <w:bookmarkEnd w:id="450"/>
    <w:bookmarkEnd w:id="451"/>
    <w:bookmarkEnd w:id="452"/>
    <w:bookmarkEnd w:id="453"/>
    <w:bookmarkEnd w:id="454"/>
    <w:p>
      <w:pPr>
        <w:shd w:val="clear"/>
        <w:spacing w:line="360" w:lineRule="auto"/>
        <w:ind w:firstLine="482" w:firstLineChars="200"/>
        <w:outlineLvl w:val="0"/>
        <w:rPr>
          <w:rFonts w:ascii="宋体" w:hAnsi="宋体" w:cs="宋体"/>
          <w:b/>
          <w:sz w:val="24"/>
        </w:rPr>
      </w:pPr>
      <w:bookmarkStart w:id="455" w:name="_Toc259093677"/>
      <w:bookmarkStart w:id="456" w:name="_Ref467379923"/>
      <w:bookmarkStart w:id="457" w:name="_Toc487900358"/>
      <w:bookmarkStart w:id="458" w:name="_Ref467379863"/>
      <w:bookmarkStart w:id="459" w:name="_Ref467379852"/>
      <w:bookmarkStart w:id="460" w:name="_Toc279701248"/>
      <w:bookmarkStart w:id="461" w:name="_Toc16110"/>
      <w:bookmarkStart w:id="462" w:name="_Toc774"/>
      <w:bookmarkStart w:id="463" w:name="_Toc3225"/>
      <w:r>
        <w:rPr>
          <w:rFonts w:hint="eastAsia" w:ascii="宋体" w:hAnsi="宋体" w:cs="宋体"/>
          <w:b/>
          <w:sz w:val="24"/>
        </w:rPr>
        <w:t>六、技术资料</w:t>
      </w:r>
      <w:bookmarkEnd w:id="455"/>
      <w:bookmarkEnd w:id="456"/>
      <w:bookmarkEnd w:id="457"/>
      <w:bookmarkEnd w:id="458"/>
      <w:bookmarkEnd w:id="459"/>
      <w:bookmarkEnd w:id="460"/>
      <w:r>
        <w:rPr>
          <w:rFonts w:hint="eastAsia" w:ascii="宋体" w:hAnsi="宋体" w:cs="宋体"/>
          <w:b/>
          <w:sz w:val="24"/>
        </w:rPr>
        <w:t>和保密义务</w:t>
      </w:r>
      <w:bookmarkEnd w:id="461"/>
      <w:bookmarkEnd w:id="462"/>
      <w:bookmarkEnd w:id="463"/>
    </w:p>
    <w:p>
      <w:pPr>
        <w:shd w:val="clea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hd w:val="clea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hd w:val="clea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hd w:val="clear"/>
        <w:spacing w:line="360" w:lineRule="auto"/>
        <w:ind w:firstLine="482" w:firstLineChars="200"/>
        <w:outlineLvl w:val="0"/>
        <w:rPr>
          <w:rFonts w:ascii="宋体" w:hAnsi="宋体" w:cs="宋体"/>
          <w:b/>
          <w:sz w:val="24"/>
        </w:rPr>
      </w:pPr>
      <w:bookmarkStart w:id="464" w:name="_Toc7860"/>
      <w:r>
        <w:rPr>
          <w:rFonts w:hint="eastAsia" w:ascii="宋体" w:hAnsi="宋体" w:cs="宋体"/>
          <w:b/>
          <w:sz w:val="24"/>
        </w:rPr>
        <w:t>七、质量保证</w:t>
      </w:r>
      <w:bookmarkEnd w:id="464"/>
    </w:p>
    <w:p>
      <w:pPr>
        <w:shd w:val="clea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hd w:val="clear"/>
        <w:spacing w:line="360" w:lineRule="auto"/>
        <w:ind w:firstLine="482" w:firstLineChars="200"/>
        <w:outlineLvl w:val="0"/>
        <w:rPr>
          <w:rFonts w:ascii="宋体" w:hAnsi="宋体" w:cs="宋体"/>
          <w:b/>
          <w:sz w:val="24"/>
        </w:rPr>
      </w:pPr>
      <w:bookmarkStart w:id="465" w:name="_Toc17244"/>
      <w:bookmarkStart w:id="466" w:name="_Toc279701252"/>
      <w:bookmarkStart w:id="467" w:name="_Toc259093681"/>
      <w:bookmarkStart w:id="468" w:name="_Toc487900362"/>
      <w:r>
        <w:rPr>
          <w:rFonts w:hint="eastAsia" w:ascii="宋体" w:hAnsi="宋体" w:cs="宋体"/>
          <w:b/>
          <w:sz w:val="24"/>
        </w:rPr>
        <w:t>八、货物的风险负担</w:t>
      </w:r>
      <w:bookmarkEnd w:id="465"/>
    </w:p>
    <w:p>
      <w:pPr>
        <w:shd w:val="clea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hd w:val="clear"/>
        <w:spacing w:line="360" w:lineRule="auto"/>
        <w:ind w:firstLine="482" w:firstLineChars="200"/>
        <w:outlineLvl w:val="0"/>
        <w:rPr>
          <w:rFonts w:ascii="宋体" w:hAnsi="宋体" w:cs="宋体"/>
          <w:b/>
          <w:sz w:val="24"/>
        </w:rPr>
      </w:pPr>
      <w:bookmarkStart w:id="469" w:name="_Toc14055"/>
      <w:r>
        <w:rPr>
          <w:rFonts w:hint="eastAsia" w:ascii="宋体" w:hAnsi="宋体" w:cs="宋体"/>
          <w:b/>
          <w:sz w:val="24"/>
        </w:rPr>
        <w:t>九、延迟交货</w:t>
      </w:r>
      <w:bookmarkEnd w:id="466"/>
      <w:bookmarkEnd w:id="467"/>
      <w:bookmarkEnd w:id="468"/>
      <w:bookmarkEnd w:id="469"/>
    </w:p>
    <w:p>
      <w:pPr>
        <w:shd w:val="clea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hd w:val="clear"/>
        <w:spacing w:line="360" w:lineRule="auto"/>
        <w:ind w:firstLine="482" w:firstLineChars="200"/>
        <w:outlineLvl w:val="0"/>
        <w:rPr>
          <w:rFonts w:ascii="宋体" w:hAnsi="宋体" w:eastAsia="宋体" w:cs="宋体"/>
          <w:b/>
          <w:sz w:val="24"/>
        </w:rPr>
      </w:pPr>
      <w:bookmarkStart w:id="470" w:name="_Toc7502"/>
      <w:bookmarkStart w:id="471" w:name="_Toc259093683"/>
      <w:bookmarkStart w:id="472" w:name="_Ref467378121"/>
      <w:bookmarkStart w:id="473" w:name="_Toc487900364"/>
      <w:bookmarkStart w:id="474" w:name="_Toc279701254"/>
      <w:r>
        <w:rPr>
          <w:rFonts w:hint="eastAsia" w:ascii="宋体" w:hAnsi="宋体" w:cs="宋体"/>
          <w:b/>
          <w:sz w:val="24"/>
        </w:rPr>
        <w:t>十、合同变更</w:t>
      </w:r>
      <w:bookmarkEnd w:id="470"/>
      <w:r>
        <w:rPr>
          <w:rFonts w:hint="eastAsia" w:ascii="宋体" w:hAnsi="宋体" w:cs="宋体"/>
          <w:b/>
          <w:sz w:val="24"/>
        </w:rPr>
        <w:t>或补充</w:t>
      </w:r>
    </w:p>
    <w:p>
      <w:pPr>
        <w:shd w:val="clear"/>
        <w:spacing w:line="360" w:lineRule="auto"/>
        <w:ind w:firstLine="480" w:firstLineChars="200"/>
        <w:rPr>
          <w:rFonts w:ascii="宋体" w:hAnsi="宋体"/>
          <w:sz w:val="24"/>
        </w:rPr>
      </w:pPr>
      <w:bookmarkStart w:id="475" w:name="_Toc259093688"/>
      <w:bookmarkStart w:id="476" w:name="_Toc487900369"/>
      <w:bookmarkStart w:id="477" w:name="_Toc279701259"/>
      <w:bookmarkStart w:id="478" w:name="_Toc15237"/>
      <w:bookmarkStart w:id="479" w:name="_Toc10366"/>
      <w:bookmarkStart w:id="480"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hd w:val="clea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hd w:val="clea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5"/>
      <w:bookmarkEnd w:id="476"/>
      <w:bookmarkEnd w:id="477"/>
      <w:r>
        <w:rPr>
          <w:rFonts w:hint="eastAsia" w:ascii="宋体" w:hAnsi="宋体" w:cs="宋体"/>
          <w:b/>
          <w:sz w:val="24"/>
        </w:rPr>
        <w:t>和分包</w:t>
      </w:r>
      <w:bookmarkEnd w:id="478"/>
      <w:bookmarkEnd w:id="479"/>
      <w:bookmarkEnd w:id="480"/>
    </w:p>
    <w:p>
      <w:pPr>
        <w:shd w:val="clea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hd w:val="clea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hd w:val="clear"/>
        <w:spacing w:line="360" w:lineRule="auto"/>
        <w:ind w:firstLine="482" w:firstLineChars="200"/>
        <w:outlineLvl w:val="0"/>
        <w:rPr>
          <w:rFonts w:ascii="宋体" w:hAnsi="宋体" w:cs="宋体"/>
          <w:b/>
          <w:sz w:val="24"/>
        </w:rPr>
      </w:pPr>
      <w:bookmarkStart w:id="481" w:name="_Toc14066"/>
      <w:bookmarkStart w:id="482" w:name="_Toc13566"/>
      <w:bookmarkStart w:id="483" w:name="_Toc16508"/>
      <w:r>
        <w:rPr>
          <w:rFonts w:hint="eastAsia" w:ascii="宋体" w:hAnsi="宋体" w:cs="宋体"/>
          <w:b/>
          <w:sz w:val="24"/>
        </w:rPr>
        <w:t>十二、不可抗力</w:t>
      </w:r>
      <w:bookmarkEnd w:id="481"/>
      <w:bookmarkEnd w:id="482"/>
      <w:bookmarkEnd w:id="483"/>
    </w:p>
    <w:p>
      <w:pPr>
        <w:shd w:val="clear"/>
        <w:spacing w:line="360" w:lineRule="auto"/>
        <w:ind w:firstLine="480" w:firstLineChars="200"/>
        <w:rPr>
          <w:rFonts w:ascii="宋体" w:hAnsi="宋体"/>
          <w:sz w:val="24"/>
        </w:rPr>
      </w:pPr>
      <w:bookmarkStart w:id="484" w:name="_Toc689"/>
      <w:bookmarkStart w:id="485" w:name="_Toc30676"/>
      <w:bookmarkStart w:id="486" w:name="_Toc259093684"/>
      <w:bookmarkStart w:id="487" w:name="_Toc487900365"/>
      <w:bookmarkStart w:id="488" w:name="_Toc6969"/>
      <w:bookmarkStart w:id="489" w:name="_Toc27970125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hd w:val="clea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hd w:val="clea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hd w:val="clea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4"/>
      <w:bookmarkEnd w:id="485"/>
      <w:bookmarkEnd w:id="486"/>
      <w:bookmarkEnd w:id="487"/>
      <w:bookmarkEnd w:id="488"/>
      <w:bookmarkEnd w:id="489"/>
    </w:p>
    <w:p>
      <w:pPr>
        <w:shd w:val="clea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hd w:val="clear"/>
        <w:spacing w:line="360" w:lineRule="auto"/>
        <w:ind w:firstLine="482" w:firstLineChars="200"/>
        <w:outlineLvl w:val="0"/>
        <w:rPr>
          <w:rFonts w:ascii="宋体" w:hAnsi="宋体" w:cs="宋体"/>
          <w:b/>
          <w:sz w:val="24"/>
        </w:rPr>
      </w:pPr>
      <w:bookmarkStart w:id="490" w:name="_Toc259093687"/>
      <w:bookmarkStart w:id="491" w:name="_Toc7102"/>
      <w:bookmarkStart w:id="492" w:name="_Toc279701258"/>
      <w:bookmarkStart w:id="493" w:name="_Toc8298"/>
      <w:bookmarkStart w:id="494" w:name="_Toc487900368"/>
      <w:bookmarkStart w:id="495" w:name="_Toc16959"/>
      <w:r>
        <w:rPr>
          <w:rFonts w:hint="eastAsia" w:ascii="宋体" w:hAnsi="宋体" w:cs="宋体"/>
          <w:b/>
          <w:sz w:val="24"/>
        </w:rPr>
        <w:t>十四、乙方破产</w:t>
      </w:r>
      <w:bookmarkEnd w:id="490"/>
      <w:bookmarkEnd w:id="491"/>
      <w:bookmarkEnd w:id="492"/>
      <w:bookmarkEnd w:id="493"/>
      <w:bookmarkEnd w:id="494"/>
      <w:bookmarkEnd w:id="495"/>
    </w:p>
    <w:p>
      <w:pPr>
        <w:shd w:val="clea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hd w:val="clear"/>
        <w:spacing w:line="360" w:lineRule="auto"/>
        <w:ind w:firstLine="482" w:firstLineChars="200"/>
        <w:outlineLvl w:val="0"/>
        <w:rPr>
          <w:rFonts w:ascii="宋体" w:hAnsi="宋体" w:cs="宋体"/>
          <w:b/>
          <w:sz w:val="24"/>
        </w:rPr>
      </w:pPr>
      <w:bookmarkStart w:id="496" w:name="_Toc15387"/>
      <w:bookmarkStart w:id="497" w:name="_Toc6134"/>
      <w:bookmarkStart w:id="498" w:name="_Toc29333"/>
      <w:r>
        <w:rPr>
          <w:rFonts w:hint="eastAsia" w:ascii="宋体" w:hAnsi="宋体" w:cs="宋体"/>
          <w:b/>
          <w:sz w:val="24"/>
        </w:rPr>
        <w:t>十五、合同中止、终止</w:t>
      </w:r>
      <w:bookmarkEnd w:id="496"/>
      <w:bookmarkEnd w:id="497"/>
      <w:bookmarkEnd w:id="498"/>
    </w:p>
    <w:p>
      <w:pPr>
        <w:shd w:val="clea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hd w:val="clea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hd w:val="clear"/>
        <w:spacing w:line="360" w:lineRule="auto"/>
        <w:ind w:firstLine="480" w:firstLineChars="200"/>
        <w:rPr>
          <w:rFonts w:ascii="宋体" w:hAnsi="宋体" w:cs="宋体"/>
          <w:sz w:val="24"/>
        </w:rPr>
      </w:pPr>
      <w:r>
        <w:rPr>
          <w:rFonts w:hint="eastAsia" w:ascii="宋体" w:hAnsi="宋体" w:cs="宋体"/>
          <w:sz w:val="24"/>
        </w:rPr>
        <w:t>3.合同到期后，自动终止合同；</w:t>
      </w:r>
    </w:p>
    <w:p>
      <w:pPr>
        <w:shd w:val="clear"/>
        <w:spacing w:line="360" w:lineRule="auto"/>
        <w:ind w:firstLine="480" w:firstLineChars="200"/>
        <w:rPr>
          <w:rFonts w:ascii="宋体" w:hAnsi="宋体" w:cs="宋体"/>
          <w:sz w:val="24"/>
        </w:rPr>
      </w:pPr>
      <w:r>
        <w:rPr>
          <w:rFonts w:hint="eastAsia" w:ascii="宋体" w:hAnsi="宋体" w:cs="宋体"/>
          <w:sz w:val="24"/>
        </w:rPr>
        <w:t>4.乙方完成合同约定内容</w:t>
      </w:r>
      <w:r>
        <w:rPr>
          <w:rFonts w:hint="eastAsia" w:ascii="宋体" w:hAnsi="宋体" w:cs="宋体"/>
          <w:sz w:val="24"/>
          <w:lang w:val="en-US" w:eastAsia="zh-CN"/>
        </w:rPr>
        <w:t>或者履约金额达到</w:t>
      </w:r>
      <w:r>
        <w:rPr>
          <w:rFonts w:hint="eastAsia" w:ascii="宋体" w:hAnsi="宋体" w:cs="宋体"/>
          <w:sz w:val="24"/>
        </w:rPr>
        <w:t>合同总金额</w:t>
      </w:r>
      <w:r>
        <w:rPr>
          <w:rFonts w:hint="eastAsia" w:ascii="宋体" w:hAnsi="宋体" w:cs="宋体"/>
          <w:sz w:val="24"/>
          <w:lang w:val="en-US" w:eastAsia="zh-CN"/>
        </w:rPr>
        <w:t>的</w:t>
      </w:r>
      <w:r>
        <w:rPr>
          <w:rFonts w:hint="eastAsia" w:ascii="宋体" w:hAnsi="宋体" w:cs="宋体"/>
          <w:sz w:val="24"/>
        </w:rPr>
        <w:t>，自动终止合同；若在合同有效期之前完成的，提前终止合同，无须再另行签订终止补充协议，甲方按合同约定要求及时退还乙方履约保证金。</w:t>
      </w:r>
    </w:p>
    <w:p>
      <w:pPr>
        <w:shd w:val="clea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71"/>
    <w:bookmarkEnd w:id="472"/>
    <w:bookmarkEnd w:id="473"/>
    <w:bookmarkEnd w:id="474"/>
    <w:p>
      <w:pPr>
        <w:shd w:val="clear"/>
        <w:spacing w:line="360" w:lineRule="auto"/>
        <w:ind w:firstLine="482" w:firstLineChars="200"/>
        <w:outlineLvl w:val="0"/>
        <w:rPr>
          <w:rFonts w:ascii="宋体" w:hAnsi="宋体" w:cs="宋体"/>
          <w:b/>
          <w:sz w:val="24"/>
        </w:rPr>
      </w:pPr>
      <w:bookmarkStart w:id="499" w:name="_Toc487900371"/>
      <w:bookmarkStart w:id="500" w:name="_Toc279701261"/>
      <w:bookmarkStart w:id="501" w:name="_Toc259093690"/>
      <w:bookmarkStart w:id="502" w:name="_Toc11284"/>
      <w:bookmarkStart w:id="503" w:name="_Toc25182"/>
      <w:bookmarkStart w:id="504" w:name="_Toc19604"/>
      <w:r>
        <w:rPr>
          <w:rFonts w:hint="eastAsia" w:ascii="宋体" w:hAnsi="宋体" w:cs="宋体"/>
          <w:b/>
          <w:sz w:val="24"/>
        </w:rPr>
        <w:t>十六、 通知</w:t>
      </w:r>
      <w:bookmarkEnd w:id="499"/>
      <w:bookmarkEnd w:id="500"/>
      <w:bookmarkEnd w:id="501"/>
      <w:r>
        <w:rPr>
          <w:rFonts w:hint="eastAsia" w:ascii="宋体" w:hAnsi="宋体" w:cs="宋体"/>
          <w:b/>
          <w:sz w:val="24"/>
        </w:rPr>
        <w:t>和送达</w:t>
      </w:r>
      <w:bookmarkEnd w:id="502"/>
      <w:bookmarkEnd w:id="503"/>
      <w:bookmarkEnd w:id="504"/>
    </w:p>
    <w:p>
      <w:pPr>
        <w:shd w:val="clear"/>
        <w:spacing w:line="360" w:lineRule="auto"/>
        <w:ind w:firstLine="480" w:firstLineChars="200"/>
        <w:rPr>
          <w:rFonts w:ascii="宋体" w:hAnsi="宋体"/>
          <w:sz w:val="24"/>
        </w:rPr>
      </w:pPr>
      <w:bookmarkStart w:id="505" w:name="_Toc18401"/>
      <w:bookmarkStart w:id="506" w:name="_Toc27674"/>
      <w:bookmarkStart w:id="507" w:name="_Toc30599"/>
      <w:bookmarkStart w:id="508" w:name="_Toc18540"/>
      <w:bookmarkStart w:id="509" w:name="_Toc259093691"/>
      <w:bookmarkStart w:id="510" w:name="_Toc487900372"/>
      <w:bookmarkStart w:id="511" w:name="_Toc279701262"/>
      <w:bookmarkStart w:id="512" w:name="_Toc4355"/>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hd w:val="clea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5"/>
      <w:bookmarkEnd w:id="506"/>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7"/>
      <w:bookmarkEnd w:id="508"/>
      <w:bookmarkEnd w:id="509"/>
      <w:bookmarkEnd w:id="510"/>
      <w:bookmarkEnd w:id="511"/>
      <w:bookmarkEnd w:id="512"/>
    </w:p>
    <w:p>
      <w:pPr>
        <w:shd w:val="clea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hd w:val="clear"/>
        <w:spacing w:line="360" w:lineRule="auto"/>
        <w:ind w:firstLine="482" w:firstLineChars="200"/>
        <w:outlineLvl w:val="0"/>
        <w:rPr>
          <w:rFonts w:ascii="宋体" w:hAnsi="宋体" w:cs="宋体"/>
          <w:b/>
          <w:sz w:val="24"/>
        </w:rPr>
      </w:pPr>
      <w:bookmarkStart w:id="513" w:name="_Toc279701263"/>
      <w:bookmarkStart w:id="514" w:name="_Toc487900373"/>
      <w:bookmarkStart w:id="515" w:name="_Toc18567"/>
      <w:bookmarkStart w:id="516" w:name="_Toc12773"/>
      <w:bookmarkStart w:id="517" w:name="_Toc10330"/>
      <w:bookmarkStart w:id="518" w:name="_Toc259093692"/>
      <w:r>
        <w:rPr>
          <w:rFonts w:hint="eastAsia" w:ascii="宋体" w:hAnsi="宋体" w:cs="宋体"/>
          <w:b/>
          <w:sz w:val="24"/>
        </w:rPr>
        <w:t>十八、合同使用的文字和适用的法律</w:t>
      </w:r>
      <w:bookmarkEnd w:id="513"/>
      <w:bookmarkEnd w:id="514"/>
      <w:bookmarkEnd w:id="515"/>
      <w:bookmarkEnd w:id="516"/>
      <w:bookmarkEnd w:id="517"/>
      <w:bookmarkEnd w:id="518"/>
    </w:p>
    <w:p>
      <w:pPr>
        <w:shd w:val="clea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hd w:val="clea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hd w:val="clear"/>
        <w:spacing w:line="360" w:lineRule="auto"/>
        <w:ind w:firstLine="482" w:firstLineChars="200"/>
        <w:outlineLvl w:val="0"/>
        <w:rPr>
          <w:rFonts w:ascii="宋体" w:hAnsi="宋体"/>
          <w:b/>
          <w:sz w:val="24"/>
        </w:rPr>
      </w:pPr>
      <w:r>
        <w:rPr>
          <w:rFonts w:hint="eastAsia" w:ascii="宋体" w:hAnsi="宋体"/>
          <w:b/>
          <w:sz w:val="24"/>
        </w:rPr>
        <w:t>十九、特别提示</w:t>
      </w:r>
    </w:p>
    <w:p>
      <w:pPr>
        <w:shd w:val="clea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2"/>
        <w:shd w:val="clear"/>
        <w:jc w:val="both"/>
        <w:rPr>
          <w:rFonts w:hint="eastAsia" w:ascii="Arial" w:hAnsi="Arial" w:cs="Arial"/>
          <w:sz w:val="32"/>
        </w:rPr>
      </w:pPr>
    </w:p>
    <w:p>
      <w:pPr>
        <w:shd w:val="clea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shd w:val="clear"/>
        <w:jc w:val="center"/>
        <w:rPr>
          <w:rFonts w:ascii="宋体" w:hAnsi="宋体" w:eastAsia="宋体" w:cs="Times New Roman"/>
          <w:b/>
        </w:rPr>
      </w:pPr>
    </w:p>
    <w:p>
      <w:pPr>
        <w:shd w:val="clear"/>
        <w:jc w:val="center"/>
        <w:rPr>
          <w:rFonts w:ascii="宋体" w:hAnsi="宋体" w:eastAsia="宋体" w:cs="Times New Roman"/>
          <w:b/>
        </w:rPr>
      </w:pPr>
    </w:p>
    <w:p>
      <w:pPr>
        <w:pStyle w:val="23"/>
        <w:shd w:val="clear"/>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3"/>
        <w:shd w:val="clear"/>
        <w:spacing w:line="560" w:lineRule="exact"/>
        <w:ind w:left="0" w:leftChars="0" w:firstLine="0" w:firstLineChars="0"/>
        <w:jc w:val="center"/>
        <w:rPr>
          <w:rFonts w:ascii="宋体" w:hAnsi="宋体"/>
          <w:b/>
          <w:szCs w:val="24"/>
        </w:rPr>
      </w:pPr>
      <w:r>
        <w:rPr>
          <w:rFonts w:hint="eastAsia" w:ascii="宋体" w:hAnsi="宋体"/>
          <w:b/>
          <w:color w:val="auto"/>
          <w:szCs w:val="24"/>
        </w:rPr>
        <w:t xml:space="preserve">第三章  </w:t>
      </w:r>
      <w:r>
        <w:rPr>
          <w:rFonts w:hint="eastAsia" w:ascii="宋体" w:hAnsi="宋体"/>
          <w:b/>
          <w:szCs w:val="24"/>
        </w:rPr>
        <w:t>廉洁协议</w:t>
      </w:r>
    </w:p>
    <w:p>
      <w:pPr>
        <w:pStyle w:val="9"/>
        <w:shd w:val="clear"/>
        <w:ind w:firstLine="0" w:firstLineChars="0"/>
      </w:pPr>
    </w:p>
    <w:p>
      <w:pPr>
        <w:shd w:val="clea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shd w:val="clea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 xml:space="preserve">          </w:t>
      </w:r>
      <w:r>
        <w:rPr>
          <w:rFonts w:hint="eastAsia" w:ascii="宋体" w:hAnsi="宋体" w:cs="宋体"/>
          <w:color w:val="000000"/>
          <w:sz w:val="24"/>
          <w:u w:val="single"/>
        </w:rPr>
        <w:t xml:space="preserve">     </w:t>
      </w:r>
    </w:p>
    <w:p>
      <w:pPr>
        <w:shd w:val="clea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shd w:val="clea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shd w:val="clea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shd w:val="clea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shd w:val="clea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shd w:val="clea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shd w:val="clea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shd w:val="clea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shd w:val="clea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shd w:val="clea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shd w:val="clea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shd w:val="clea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shd w:val="clea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shd w:val="clea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hd w:val="clea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shd w:val="clea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shd w:val="clea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shd w:val="clea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shd w:val="clea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shd w:val="clea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shd w:val="clea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shd w:val="clea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shd w:val="clea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shd w:val="clear"/>
        <w:adjustRightInd w:val="0"/>
        <w:spacing w:line="360" w:lineRule="auto"/>
        <w:ind w:firstLine="32"/>
        <w:rPr>
          <w:rFonts w:ascii="宋体" w:hAnsi="宋体" w:eastAsia="宋体" w:cs="宋体"/>
          <w:color w:val="000000"/>
          <w:sz w:val="24"/>
        </w:rPr>
      </w:pPr>
    </w:p>
    <w:p>
      <w:pPr>
        <w:shd w:val="clear"/>
      </w:pPr>
    </w:p>
    <w:p>
      <w:pPr>
        <w:pStyle w:val="2"/>
        <w:shd w:val="clear"/>
      </w:pPr>
    </w:p>
    <w:p>
      <w:pPr>
        <w:shd w:val="clear"/>
      </w:pPr>
    </w:p>
    <w:p>
      <w:pPr>
        <w:pStyle w:val="2"/>
        <w:shd w:val="clear"/>
      </w:pPr>
    </w:p>
    <w:p>
      <w:pPr>
        <w:shd w:val="clear"/>
      </w:pPr>
    </w:p>
    <w:p>
      <w:pPr>
        <w:pStyle w:val="2"/>
        <w:shd w:val="clear"/>
      </w:pPr>
    </w:p>
    <w:p>
      <w:pPr>
        <w:shd w:val="clear"/>
      </w:pPr>
    </w:p>
    <w:p>
      <w:pPr>
        <w:pStyle w:val="7"/>
        <w:shd w:val="clear"/>
      </w:pPr>
    </w:p>
    <w:p>
      <w:pPr>
        <w:shd w:val="clear"/>
      </w:pPr>
    </w:p>
    <w:p>
      <w:pPr>
        <w:pStyle w:val="7"/>
        <w:shd w:val="clear"/>
      </w:pPr>
    </w:p>
    <w:p>
      <w:pPr>
        <w:shd w:val="clear"/>
      </w:pPr>
    </w:p>
    <w:p>
      <w:pPr>
        <w:pStyle w:val="7"/>
        <w:shd w:val="clear"/>
      </w:pPr>
    </w:p>
    <w:p>
      <w:pPr>
        <w:pStyle w:val="8"/>
        <w:shd w:val="clear"/>
        <w:ind w:firstLine="0"/>
      </w:pPr>
    </w:p>
    <w:p>
      <w:pPr>
        <w:shd w:val="clear"/>
      </w:pPr>
    </w:p>
    <w:p>
      <w:pPr>
        <w:shd w:val="clear"/>
      </w:pPr>
    </w:p>
    <w:p>
      <w:pPr>
        <w:shd w:val="clear"/>
      </w:pPr>
    </w:p>
    <w:p>
      <w:pPr>
        <w:shd w:val="clear"/>
      </w:pPr>
    </w:p>
    <w:p>
      <w:pPr>
        <w:shd w:val="clea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hd w:val="clear"/>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shd w:val="clea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hd w:val="clea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hd w:val="clear"/>
        <w:spacing w:line="360" w:lineRule="auto"/>
        <w:rPr>
          <w:rFonts w:ascii="Times New Roman" w:hAnsi="Times New Roman" w:eastAsia="Cambria Math" w:cs="Times New Roman"/>
          <w:sz w:val="96"/>
          <w:szCs w:val="22"/>
        </w:rPr>
      </w:pPr>
    </w:p>
    <w:p>
      <w:pPr>
        <w:shd w:val="clea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hd w:val="clea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hd w:val="clear"/>
        <w:spacing w:line="360" w:lineRule="auto"/>
        <w:rPr>
          <w:rFonts w:ascii="宋体" w:hAnsi="宋体" w:eastAsia="宋体" w:cs="宋体"/>
          <w:sz w:val="44"/>
          <w:szCs w:val="44"/>
        </w:rPr>
      </w:pPr>
    </w:p>
    <w:p>
      <w:pPr>
        <w:shd w:val="clea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2024年临江公司电动阀门采购项目</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cs="宋体" w:asciiTheme="minorEastAsia" w:hAnsiTheme="minorEastAsia"/>
          <w:sz w:val="30"/>
          <w:szCs w:val="30"/>
          <w:u w:val="single"/>
          <w:lang w:eastAsia="zh-CN"/>
        </w:rPr>
        <w:t>202407036-3</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hd w:val="clea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杭州临江环境能源有限公司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hd w:val="clea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hd w:val="clea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hd w:val="clea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hint="eastAsia" w:ascii="Times New Roman" w:hAnsi="Times New Roman" w:eastAsia="宋体"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hd w:val="clea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hd w:val="clear"/>
        <w:spacing w:line="360" w:lineRule="auto"/>
        <w:jc w:val="center"/>
        <w:outlineLvl w:val="0"/>
        <w:rPr>
          <w:rFonts w:cs="仿宋" w:asciiTheme="minorEastAsia" w:hAnsiTheme="minorEastAsia"/>
          <w:b/>
          <w:kern w:val="0"/>
          <w:sz w:val="36"/>
          <w:szCs w:val="36"/>
        </w:rPr>
      </w:pP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hd w:val="clea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hd w:val="clea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）本项目的</w:t>
      </w:r>
      <w:r>
        <w:rPr>
          <w:rFonts w:hint="eastAsia" w:cs="仿宋" w:asciiTheme="minorEastAsia" w:hAnsiTheme="minorEastAsia"/>
          <w:sz w:val="24"/>
          <w:lang w:val="en-US" w:eastAsia="zh-CN"/>
        </w:rPr>
        <w:t>询价保证金银行电子回单</w:t>
      </w:r>
      <w:r>
        <w:rPr>
          <w:rFonts w:hint="eastAsia" w:cs="仿宋" w:asciiTheme="minorEastAsia" w:hAnsiTheme="minorEastAsia"/>
          <w:sz w:val="24"/>
        </w:rPr>
        <w:t>（如果有）……………………（页码）</w:t>
      </w:r>
    </w:p>
    <w:p>
      <w:pPr>
        <w:shd w:val="clear"/>
        <w:snapToGrid w:val="0"/>
        <w:spacing w:line="360" w:lineRule="auto"/>
        <w:rPr>
          <w:rFonts w:hint="eastAsia" w:cs="仿宋" w:asciiTheme="minorEastAsia" w:hAnsiTheme="minorEastAsia"/>
          <w:sz w:val="24"/>
        </w:rP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pStyle w:val="14"/>
        <w:shd w:val="clear"/>
      </w:pPr>
    </w:p>
    <w:p>
      <w:pPr>
        <w:shd w:val="clear"/>
      </w:pPr>
    </w:p>
    <w:p>
      <w:pPr>
        <w:pStyle w:val="2"/>
        <w:shd w:val="clear"/>
        <w:rPr>
          <w:color w:val="auto"/>
        </w:rPr>
      </w:pPr>
    </w:p>
    <w:p>
      <w:pPr>
        <w:shd w:val="clear"/>
      </w:pPr>
    </w:p>
    <w:p>
      <w:pPr>
        <w:pStyle w:val="7"/>
        <w:shd w:val="clear"/>
      </w:pPr>
    </w:p>
    <w:p>
      <w:pPr>
        <w:shd w:val="clear"/>
      </w:pPr>
    </w:p>
    <w:p>
      <w:pPr>
        <w:pStyle w:val="7"/>
        <w:shd w:val="clear"/>
      </w:pPr>
    </w:p>
    <w:p>
      <w:pPr>
        <w:shd w:val="clea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2024年临江公司电动阀门采购项目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202407036-3</w:t>
      </w:r>
      <w:r>
        <w:rPr>
          <w:rFonts w:hint="eastAsia" w:cs="仿宋" w:asciiTheme="minorEastAsia" w:hAnsiTheme="minorEastAsia"/>
          <w:sz w:val="24"/>
        </w:rPr>
        <w:t>】采购活动，郑重承诺：</w:t>
      </w:r>
    </w:p>
    <w:p>
      <w:pPr>
        <w:shd w:val="clea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hd w:val="clea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hd w:val="clear"/>
        <w:snapToGrid w:val="0"/>
        <w:spacing w:line="360" w:lineRule="auto"/>
        <w:ind w:firstLine="480" w:firstLineChars="200"/>
        <w:rPr>
          <w:rFonts w:hint="eastAsia" w:cs="仿宋" w:asciiTheme="minorEastAsia" w:hAnsiTheme="minorEastAsia"/>
          <w:sz w:val="24"/>
        </w:rPr>
      </w:pPr>
    </w:p>
    <w:p>
      <w:pPr>
        <w:shd w:val="clear"/>
        <w:snapToGrid w:val="0"/>
        <w:spacing w:line="360" w:lineRule="auto"/>
        <w:ind w:firstLine="480" w:firstLineChars="200"/>
        <w:rPr>
          <w:rFonts w:hint="eastAsia" w:cs="仿宋" w:asciiTheme="minorEastAsia" w:hAnsiTheme="minorEastAsia"/>
          <w:sz w:val="24"/>
        </w:rPr>
      </w:pPr>
    </w:p>
    <w:p>
      <w:pPr>
        <w:shd w:val="clea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hd w:val="clea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hd w:val="clear"/>
        <w:snapToGrid w:val="0"/>
        <w:spacing w:line="360" w:lineRule="auto"/>
        <w:ind w:right="480"/>
        <w:jc w:val="center"/>
        <w:rPr>
          <w:rFonts w:cs="仿宋" w:asciiTheme="minorEastAsia" w:hAnsiTheme="minorEastAsia"/>
          <w:b/>
          <w:kern w:val="0"/>
          <w:sz w:val="32"/>
          <w:szCs w:val="32"/>
        </w:rP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13"/>
        <w:shd w:val="clear"/>
      </w:pPr>
    </w:p>
    <w:p>
      <w:pPr>
        <w:shd w:val="clea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shd w:val="clear"/>
        <w:rPr>
          <w:lang w:val="en-US"/>
        </w:rPr>
      </w:pPr>
    </w:p>
    <w:p>
      <w:pPr>
        <w:shd w:val="clear"/>
        <w:spacing w:line="360" w:lineRule="auto"/>
        <w:ind w:firstLine="643" w:firstLineChars="200"/>
        <w:rPr>
          <w:rFonts w:cs="仿宋" w:asciiTheme="minorEastAsia" w:hAnsiTheme="minorEastAsia"/>
          <w:b/>
          <w:kern w:val="0"/>
          <w:sz w:val="32"/>
          <w:szCs w:val="32"/>
        </w:rPr>
      </w:pPr>
    </w:p>
    <w:p>
      <w:pPr>
        <w:shd w:val="clea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hd w:val="clea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w:t>
      </w:r>
      <w:r>
        <w:rPr>
          <w:rFonts w:hint="eastAsia" w:cs="仿宋" w:asciiTheme="minorEastAsia" w:hAnsiTheme="minorEastAsia"/>
          <w:sz w:val="24"/>
          <w:lang w:eastAsia="zh-CN"/>
        </w:rPr>
        <w:t>未有</w:t>
      </w:r>
      <w:r>
        <w:rPr>
          <w:rFonts w:hint="eastAsia" w:cs="仿宋" w:asciiTheme="minorEastAsia" w:hAnsiTheme="minorEastAsia"/>
          <w:sz w:val="24"/>
        </w:rPr>
        <w:t>要求的，无需提供）</w:t>
      </w:r>
    </w:p>
    <w:p>
      <w:pPr>
        <w:shd w:val="clear"/>
      </w:pPr>
    </w:p>
    <w:p>
      <w:pPr>
        <w:pStyle w:val="7"/>
        <w:shd w:val="clear"/>
      </w:pPr>
    </w:p>
    <w:p>
      <w:pPr>
        <w:pStyle w:val="8"/>
        <w:shd w:val="clear"/>
      </w:pPr>
    </w:p>
    <w:p>
      <w:pPr>
        <w:shd w:val="clear"/>
        <w:spacing w:line="360" w:lineRule="auto"/>
        <w:ind w:firstLine="643" w:firstLineChars="200"/>
        <w:jc w:val="center"/>
        <w:rPr>
          <w:rFonts w:hint="eastAsia" w:cs="仿宋" w:asciiTheme="minorEastAsia" w:hAnsiTheme="minorEastAsia"/>
          <w:b/>
          <w:kern w:val="0"/>
          <w:sz w:val="32"/>
          <w:szCs w:val="32"/>
        </w:rPr>
      </w:pPr>
    </w:p>
    <w:p>
      <w:pPr>
        <w:shd w:val="clear"/>
        <w:spacing w:line="360" w:lineRule="auto"/>
        <w:ind w:firstLine="643" w:firstLineChars="200"/>
        <w:jc w:val="center"/>
        <w:rPr>
          <w:rFonts w:hint="eastAsia" w:cs="仿宋" w:asciiTheme="minorEastAsia" w:hAnsiTheme="minorEastAsia"/>
          <w:b/>
          <w:kern w:val="0"/>
          <w:sz w:val="32"/>
          <w:szCs w:val="32"/>
          <w:lang w:val="en-US" w:eastAsia="zh-CN"/>
        </w:rPr>
      </w:pPr>
      <w:r>
        <w:rPr>
          <w:rFonts w:hint="eastAsia" w:cs="仿宋" w:asciiTheme="minorEastAsia" w:hAnsiTheme="minorEastAsia"/>
          <w:b/>
          <w:kern w:val="0"/>
          <w:sz w:val="32"/>
          <w:szCs w:val="32"/>
          <w:lang w:val="en-US" w:eastAsia="zh-CN"/>
        </w:rPr>
        <w:t>四、询价保证金银行电子回单</w:t>
      </w:r>
    </w:p>
    <w:p>
      <w:pPr>
        <w:pStyle w:val="8"/>
        <w:shd w:val="clear"/>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7"/>
        <w:shd w:val="clear"/>
      </w:pPr>
    </w:p>
    <w:p>
      <w:pPr>
        <w:pStyle w:val="8"/>
        <w:shd w:val="clear"/>
      </w:pPr>
    </w:p>
    <w:p>
      <w:pPr>
        <w:pStyle w:val="7"/>
        <w:shd w:val="clear"/>
      </w:pPr>
    </w:p>
    <w:p>
      <w:pPr>
        <w:shd w:val="clea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hd w:val="clear"/>
        <w:spacing w:line="360" w:lineRule="auto"/>
        <w:jc w:val="center"/>
        <w:outlineLvl w:val="0"/>
        <w:rPr>
          <w:rFonts w:cs="仿宋" w:asciiTheme="minorEastAsia" w:hAnsiTheme="minorEastAsia"/>
          <w:b/>
          <w:kern w:val="0"/>
          <w:sz w:val="24"/>
        </w:rPr>
      </w:pPr>
    </w:p>
    <w:p>
      <w:pPr>
        <w:shd w:val="clea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hd w:val="clea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pStyle w:val="8"/>
        <w:shd w:val="clear"/>
      </w:pPr>
    </w:p>
    <w:p>
      <w:pPr>
        <w:shd w:val="clea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2024年临江公司电动阀门采购项目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202407036-3</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hd w:val="clea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hd w:val="clea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hd w:val="clea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3"/>
        </w:num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7"/>
        <w:shd w:val="clear"/>
      </w:pPr>
    </w:p>
    <w:p>
      <w:pPr>
        <w:pStyle w:val="8"/>
        <w:shd w:val="clear"/>
      </w:pPr>
    </w:p>
    <w:p>
      <w:pPr>
        <w:shd w:val="clea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hd w:val="clea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shd w:val="clea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hd w:val="clear"/>
        <w:snapToGrid w:val="0"/>
        <w:spacing w:line="360" w:lineRule="auto"/>
        <w:rPr>
          <w:rFonts w:cs="仿宋" w:asciiTheme="minorEastAsia" w:hAnsiTheme="minorEastAsia"/>
          <w:kern w:val="0"/>
          <w:sz w:val="24"/>
        </w:rPr>
      </w:pPr>
    </w:p>
    <w:p>
      <w:pPr>
        <w:shd w:val="clea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hd w:val="clea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2024年临江公司电动阀门采购项目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202407036-3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响应采购整个过程中的一切事项，其在报价</w:t>
      </w:r>
      <w:r>
        <w:rPr>
          <w:rFonts w:hint="eastAsia" w:cs="仿宋" w:asciiTheme="minorEastAsia" w:hAnsiTheme="minorEastAsia"/>
          <w:kern w:val="0"/>
          <w:sz w:val="24"/>
          <w:lang w:val="zh-CN" w:eastAsia="zh-CN"/>
        </w:rPr>
        <w:t>、</w:t>
      </w:r>
      <w:r>
        <w:rPr>
          <w:rFonts w:hint="eastAsia" w:cs="仿宋" w:asciiTheme="minorEastAsia" w:hAnsiTheme="minorEastAsia"/>
          <w:kern w:val="0"/>
          <w:sz w:val="24"/>
          <w:lang w:val="en-US" w:eastAsia="zh-CN"/>
        </w:rPr>
        <w:t>合同签订、合同履行等</w:t>
      </w:r>
      <w:r>
        <w:rPr>
          <w:rFonts w:hint="eastAsia" w:cs="仿宋" w:asciiTheme="minorEastAsia" w:hAnsiTheme="minorEastAsia"/>
          <w:kern w:val="0"/>
          <w:sz w:val="24"/>
          <w:lang w:val="zh-CN"/>
        </w:rPr>
        <w:t>过程中的</w:t>
      </w:r>
      <w:r>
        <w:rPr>
          <w:rFonts w:hint="eastAsia" w:cs="仿宋" w:asciiTheme="minorEastAsia" w:hAnsiTheme="minorEastAsia"/>
          <w:kern w:val="0"/>
          <w:sz w:val="24"/>
        </w:rPr>
        <w:t>一切活动本公司均予承认</w:t>
      </w:r>
      <w:r>
        <w:rPr>
          <w:rFonts w:hint="eastAsia" w:cs="仿宋" w:asciiTheme="minorEastAsia" w:hAnsiTheme="minorEastAsia"/>
          <w:kern w:val="0"/>
          <w:sz w:val="24"/>
          <w:lang w:val="zh-CN"/>
        </w:rPr>
        <w:t>，其法律后果由我方承担。</w:t>
      </w:r>
    </w:p>
    <w:p>
      <w:pPr>
        <w:shd w:val="clear"/>
        <w:snapToGrid w:val="0"/>
        <w:spacing w:line="360" w:lineRule="auto"/>
        <w:rPr>
          <w:rFonts w:cs="仿宋" w:asciiTheme="minorEastAsia" w:hAnsiTheme="minorEastAsia"/>
          <w:kern w:val="0"/>
          <w:sz w:val="24"/>
          <w:lang w:val="zh-CN"/>
        </w:rPr>
      </w:pPr>
    </w:p>
    <w:p>
      <w:pPr>
        <w:shd w:val="clea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hd w:val="clea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hd w:val="clea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hd w:val="clea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pStyle w:val="7"/>
        <w:shd w:val="clear"/>
        <w:rPr>
          <w:rFonts w:cs="仿宋" w:asciiTheme="minorEastAsia" w:hAnsiTheme="minorEastAsia"/>
          <w:b/>
          <w:kern w:val="0"/>
          <w:sz w:val="32"/>
          <w:szCs w:val="32"/>
        </w:rPr>
      </w:pPr>
    </w:p>
    <w:p>
      <w:pPr>
        <w:pStyle w:val="8"/>
        <w:shd w:val="clear"/>
        <w:rPr>
          <w:rFonts w:cs="仿宋" w:asciiTheme="minorEastAsia" w:hAnsiTheme="minorEastAsia"/>
          <w:b/>
          <w:kern w:val="0"/>
          <w:sz w:val="32"/>
          <w:szCs w:val="32"/>
        </w:rPr>
      </w:pPr>
    </w:p>
    <w:p>
      <w:pPr>
        <w:shd w:val="clear"/>
        <w:rPr>
          <w:rFonts w:cs="仿宋" w:asciiTheme="minorEastAsia" w:hAnsiTheme="minorEastAsia"/>
          <w:b/>
          <w:kern w:val="0"/>
          <w:sz w:val="32"/>
          <w:szCs w:val="32"/>
          <w:lang w:val="zh-CN"/>
        </w:rPr>
      </w:pPr>
    </w:p>
    <w:p>
      <w:pPr>
        <w:pStyle w:val="7"/>
        <w:shd w:val="clear"/>
        <w:rPr>
          <w:rFonts w:cs="仿宋" w:asciiTheme="minorEastAsia" w:hAnsiTheme="minorEastAsia"/>
          <w:b/>
          <w:kern w:val="0"/>
          <w:sz w:val="32"/>
          <w:szCs w:val="32"/>
        </w:rPr>
      </w:pPr>
    </w:p>
    <w:p>
      <w:pPr>
        <w:pStyle w:val="8"/>
        <w:shd w:val="clear"/>
      </w:pPr>
    </w:p>
    <w:p>
      <w:pPr>
        <w:shd w:val="clear"/>
      </w:pPr>
    </w:p>
    <w:p>
      <w:pPr>
        <w:pStyle w:val="26"/>
        <w:shd w:val="clear"/>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shd w:val="clear"/>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shd w:val="clear"/>
              <w:adjustRightInd w:val="0"/>
              <w:spacing w:line="360" w:lineRule="auto"/>
              <w:rPr>
                <w:rFonts w:cs="仿宋" w:asciiTheme="minorEastAsia" w:hAnsiTheme="minorEastAsia" w:eastAsiaTheme="minorEastAsia"/>
                <w:bCs/>
                <w:sz w:val="24"/>
              </w:rPr>
            </w:pPr>
          </w:p>
        </w:tc>
      </w:tr>
    </w:tbl>
    <w:p>
      <w:pPr>
        <w:shd w:val="clear"/>
        <w:snapToGrid w:val="0"/>
        <w:spacing w:line="360" w:lineRule="auto"/>
        <w:ind w:firstLine="576"/>
        <w:jc w:val="center"/>
        <w:rPr>
          <w:rFonts w:cs="仿宋" w:asciiTheme="minorEastAsia" w:hAnsiTheme="minorEastAsia"/>
          <w:kern w:val="0"/>
          <w:sz w:val="24"/>
          <w:lang w:val="zh-CN"/>
        </w:rPr>
      </w:pPr>
    </w:p>
    <w:p>
      <w:pPr>
        <w:shd w:val="clear"/>
        <w:snapToGrid w:val="0"/>
        <w:spacing w:line="360" w:lineRule="auto"/>
        <w:ind w:firstLine="576"/>
        <w:jc w:val="center"/>
        <w:rPr>
          <w:rFonts w:cs="仿宋" w:asciiTheme="minorEastAsia" w:hAnsiTheme="minorEastAsia"/>
          <w:kern w:val="0"/>
          <w:sz w:val="24"/>
          <w:lang w:val="zh-CN"/>
        </w:rPr>
      </w:pPr>
    </w:p>
    <w:p>
      <w:pPr>
        <w:pStyle w:val="26"/>
        <w:shd w:val="clear"/>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shd w:val="clear"/>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shd w:val="clear"/>
              <w:adjustRightInd w:val="0"/>
              <w:spacing w:line="360" w:lineRule="auto"/>
              <w:rPr>
                <w:rFonts w:cs="仿宋" w:asciiTheme="minorEastAsia" w:hAnsiTheme="minorEastAsia" w:eastAsiaTheme="minorEastAsia"/>
                <w:bCs/>
                <w:sz w:val="24"/>
              </w:rPr>
            </w:pPr>
          </w:p>
        </w:tc>
      </w:tr>
    </w:tbl>
    <w:p>
      <w:pPr>
        <w:shd w:val="clear"/>
        <w:snapToGrid w:val="0"/>
        <w:spacing w:line="360" w:lineRule="auto"/>
        <w:ind w:firstLine="576"/>
        <w:jc w:val="center"/>
        <w:rPr>
          <w:rFonts w:cs="仿宋" w:asciiTheme="minorEastAsia" w:hAnsiTheme="minorEastAsia"/>
          <w:kern w:val="0"/>
          <w:sz w:val="24"/>
          <w:lang w:val="zh-CN"/>
        </w:rPr>
      </w:pP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hd w:val="clea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hd w:val="clea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hd w:val="clea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hd w:val="clear"/>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shd w:val="clea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hd w:val="clea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hd w:val="clea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shd w:val="clea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shd w:val="clear"/>
              <w:jc w:val="center"/>
              <w:rPr>
                <w:rFonts w:cs="仿宋" w:asciiTheme="minorEastAsia" w:hAnsiTheme="minorEastAsia"/>
                <w:sz w:val="24"/>
              </w:rPr>
            </w:pPr>
          </w:p>
          <w:p>
            <w:pPr>
              <w:shd w:val="clear"/>
              <w:jc w:val="center"/>
              <w:rPr>
                <w:rFonts w:cs="仿宋" w:asciiTheme="minorEastAsia" w:hAnsiTheme="minorEastAsia"/>
                <w:sz w:val="24"/>
              </w:rPr>
            </w:pPr>
            <w:r>
              <w:rPr>
                <w:rFonts w:hint="eastAsia" w:cs="仿宋" w:asciiTheme="minorEastAsia" w:hAnsiTheme="minorEastAsia"/>
                <w:sz w:val="24"/>
              </w:rPr>
              <w:t>见响应文件</w:t>
            </w:r>
          </w:p>
          <w:p>
            <w:pPr>
              <w:shd w:val="clea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hd w:val="clea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hd w:val="clea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shd w:val="clea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shd w:val="clea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hd w:val="clea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hd w:val="clea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shd w:val="clea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shd w:val="clear"/>
              <w:jc w:val="center"/>
              <w:rPr>
                <w:rFonts w:cs="仿宋" w:asciiTheme="minorEastAsia" w:hAnsiTheme="minorEastAsia"/>
              </w:rPr>
            </w:pPr>
            <w:r>
              <w:rPr>
                <w:rFonts w:hint="eastAsia" w:cs="仿宋" w:asciiTheme="minorEastAsia" w:hAnsiTheme="minorEastAsia"/>
                <w:sz w:val="24"/>
              </w:rPr>
              <w:t>见响应文件第  页</w:t>
            </w:r>
          </w:p>
        </w:tc>
      </w:tr>
    </w:tbl>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hd w:val="clea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shd w:val="clea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shd w:val="clea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shd w:val="clea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shd w:val="clea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shd w:val="clear"/>
              <w:jc w:val="center"/>
              <w:rPr>
                <w:rFonts w:cs="仿宋" w:asciiTheme="minorEastAsia" w:hAnsiTheme="minorEastAsia"/>
                <w:b/>
                <w:kern w:val="0"/>
                <w:sz w:val="32"/>
                <w:szCs w:val="32"/>
              </w:rPr>
            </w:pPr>
          </w:p>
        </w:tc>
        <w:tc>
          <w:tcPr>
            <w:tcW w:w="3546" w:type="dxa"/>
          </w:tcPr>
          <w:p>
            <w:pPr>
              <w:shd w:val="clear"/>
              <w:jc w:val="center"/>
              <w:rPr>
                <w:rFonts w:cs="仿宋" w:asciiTheme="minorEastAsia" w:hAnsiTheme="minorEastAsia"/>
                <w:b/>
                <w:kern w:val="0"/>
                <w:sz w:val="32"/>
                <w:szCs w:val="32"/>
              </w:rPr>
            </w:pPr>
          </w:p>
        </w:tc>
        <w:tc>
          <w:tcPr>
            <w:tcW w:w="1276" w:type="dxa"/>
          </w:tcPr>
          <w:p>
            <w:pPr>
              <w:shd w:val="clea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hd w:val="clea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shd w:val="clear"/>
              <w:jc w:val="center"/>
              <w:rPr>
                <w:rFonts w:cs="仿宋" w:asciiTheme="minorEastAsia" w:hAnsiTheme="minorEastAsia"/>
                <w:b/>
                <w:kern w:val="0"/>
                <w:sz w:val="32"/>
                <w:szCs w:val="32"/>
              </w:rPr>
            </w:pPr>
          </w:p>
        </w:tc>
        <w:tc>
          <w:tcPr>
            <w:tcW w:w="3546" w:type="dxa"/>
          </w:tcPr>
          <w:p>
            <w:pPr>
              <w:shd w:val="clear"/>
              <w:jc w:val="center"/>
              <w:rPr>
                <w:rFonts w:cs="仿宋" w:asciiTheme="minorEastAsia" w:hAnsiTheme="minorEastAsia"/>
                <w:b/>
                <w:kern w:val="0"/>
                <w:sz w:val="32"/>
                <w:szCs w:val="32"/>
              </w:rPr>
            </w:pPr>
          </w:p>
        </w:tc>
        <w:tc>
          <w:tcPr>
            <w:tcW w:w="1276" w:type="dxa"/>
          </w:tcPr>
          <w:p>
            <w:pPr>
              <w:shd w:val="clea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hd w:val="clea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shd w:val="clear"/>
              <w:jc w:val="center"/>
              <w:rPr>
                <w:rFonts w:cs="仿宋" w:asciiTheme="minorEastAsia" w:hAnsiTheme="minorEastAsia"/>
                <w:b/>
                <w:kern w:val="0"/>
                <w:sz w:val="32"/>
                <w:szCs w:val="32"/>
              </w:rPr>
            </w:pPr>
          </w:p>
        </w:tc>
        <w:tc>
          <w:tcPr>
            <w:tcW w:w="3546" w:type="dxa"/>
          </w:tcPr>
          <w:p>
            <w:pPr>
              <w:shd w:val="clear"/>
              <w:jc w:val="center"/>
              <w:rPr>
                <w:rFonts w:cs="仿宋" w:asciiTheme="minorEastAsia" w:hAnsiTheme="minorEastAsia"/>
                <w:b/>
                <w:kern w:val="0"/>
                <w:sz w:val="32"/>
                <w:szCs w:val="32"/>
              </w:rPr>
            </w:pPr>
          </w:p>
        </w:tc>
        <w:tc>
          <w:tcPr>
            <w:tcW w:w="1276" w:type="dxa"/>
          </w:tcPr>
          <w:p>
            <w:pPr>
              <w:shd w:val="clear"/>
              <w:jc w:val="center"/>
              <w:rPr>
                <w:rFonts w:cs="仿宋" w:asciiTheme="minorEastAsia" w:hAnsiTheme="minorEastAsia"/>
                <w:b/>
                <w:kern w:val="0"/>
                <w:sz w:val="32"/>
                <w:szCs w:val="32"/>
              </w:rPr>
            </w:pPr>
          </w:p>
        </w:tc>
      </w:tr>
    </w:tbl>
    <w:p>
      <w:pPr>
        <w:shd w:val="clea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hd w:val="clear"/>
        <w:snapToGrid w:val="0"/>
        <w:spacing w:line="360" w:lineRule="auto"/>
        <w:rPr>
          <w:rFonts w:cs="仿宋" w:asciiTheme="minorEastAsia" w:hAnsiTheme="minorEastAsia"/>
          <w:sz w:val="24"/>
        </w:rPr>
      </w:pPr>
    </w:p>
    <w:p>
      <w:pPr>
        <w:shd w:val="clea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shd w:val="clea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shd w:val="clea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shd w:val="clea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shd w:val="clea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shd w:val="clear"/>
        <w:autoSpaceDE w:val="0"/>
        <w:autoSpaceDN w:val="0"/>
        <w:spacing w:line="360" w:lineRule="auto"/>
        <w:ind w:left="2"/>
        <w:jc w:val="left"/>
        <w:rPr>
          <w:rFonts w:cs="仿宋" w:asciiTheme="minorEastAsia" w:hAnsiTheme="minorEastAsia"/>
          <w:kern w:val="0"/>
          <w:sz w:val="24"/>
          <w:lang w:val="zh-CN"/>
        </w:rPr>
      </w:pPr>
    </w:p>
    <w:p>
      <w:pPr>
        <w:shd w:val="clear"/>
        <w:autoSpaceDE w:val="0"/>
        <w:autoSpaceDN w:val="0"/>
        <w:spacing w:line="360" w:lineRule="auto"/>
        <w:ind w:left="2"/>
        <w:jc w:val="left"/>
        <w:rPr>
          <w:rFonts w:cs="仿宋" w:asciiTheme="minorEastAsia" w:hAnsiTheme="minorEastAsia"/>
          <w:kern w:val="0"/>
          <w:sz w:val="24"/>
          <w:lang w:val="zh-CN"/>
        </w:rPr>
      </w:pPr>
    </w:p>
    <w:p>
      <w:pPr>
        <w:shd w:val="clear"/>
        <w:autoSpaceDE w:val="0"/>
        <w:autoSpaceDN w:val="0"/>
        <w:spacing w:line="360" w:lineRule="auto"/>
        <w:ind w:left="2"/>
        <w:jc w:val="left"/>
        <w:rPr>
          <w:rFonts w:cs="仿宋" w:asciiTheme="minorEastAsia" w:hAnsiTheme="minorEastAsia"/>
          <w:kern w:val="0"/>
          <w:sz w:val="24"/>
          <w:lang w:val="zh-CN"/>
        </w:rPr>
      </w:pPr>
    </w:p>
    <w:p>
      <w:pPr>
        <w:shd w:val="clea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hd w:val="clea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hd w:val="clea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hd w:val="clea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shd w:val="clea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pPr>
        <w:pStyle w:val="13"/>
        <w:shd w:val="clear"/>
        <w:rPr>
          <w:lang w:val="zh-CN"/>
        </w:rPr>
      </w:pPr>
    </w:p>
    <w:p>
      <w:pPr>
        <w:shd w:val="clea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hd w:val="clea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hd w:val="clea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rPr>
                <w:rFonts w:ascii="宋体" w:hAnsi="宋体" w:eastAsia="宋体" w:cs="宋体"/>
                <w:b/>
                <w:kern w:val="0"/>
                <w:sz w:val="24"/>
              </w:rPr>
            </w:pPr>
          </w:p>
        </w:tc>
        <w:tc>
          <w:tcPr>
            <w:tcW w:w="2482" w:type="dxa"/>
          </w:tcPr>
          <w:p>
            <w:pPr>
              <w:shd w:val="clear"/>
              <w:spacing w:line="360" w:lineRule="auto"/>
              <w:rPr>
                <w:rFonts w:ascii="宋体" w:hAnsi="宋体" w:eastAsia="宋体" w:cs="宋体"/>
                <w:b/>
                <w:kern w:val="0"/>
                <w:sz w:val="24"/>
              </w:rPr>
            </w:pPr>
          </w:p>
        </w:tc>
        <w:tc>
          <w:tcPr>
            <w:tcW w:w="2881" w:type="dxa"/>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rPr>
                <w:rFonts w:ascii="宋体" w:hAnsi="宋体" w:eastAsia="宋体" w:cs="宋体"/>
                <w:b/>
                <w:kern w:val="0"/>
                <w:sz w:val="24"/>
              </w:rPr>
            </w:pPr>
          </w:p>
        </w:tc>
        <w:tc>
          <w:tcPr>
            <w:tcW w:w="2482" w:type="dxa"/>
          </w:tcPr>
          <w:p>
            <w:pPr>
              <w:shd w:val="clear"/>
              <w:spacing w:line="360" w:lineRule="auto"/>
              <w:rPr>
                <w:rFonts w:ascii="宋体" w:hAnsi="宋体" w:eastAsia="宋体" w:cs="宋体"/>
                <w:b/>
                <w:kern w:val="0"/>
                <w:sz w:val="24"/>
              </w:rPr>
            </w:pPr>
          </w:p>
        </w:tc>
        <w:tc>
          <w:tcPr>
            <w:tcW w:w="2881" w:type="dxa"/>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hd w:val="clear"/>
              <w:spacing w:line="360" w:lineRule="auto"/>
              <w:rPr>
                <w:rFonts w:ascii="宋体" w:hAnsi="宋体" w:eastAsia="宋体" w:cs="宋体"/>
                <w:b/>
                <w:kern w:val="0"/>
                <w:sz w:val="24"/>
              </w:rPr>
            </w:pPr>
          </w:p>
        </w:tc>
        <w:tc>
          <w:tcPr>
            <w:tcW w:w="2881" w:type="dxa"/>
          </w:tcPr>
          <w:p>
            <w:pPr>
              <w:shd w:val="clear"/>
              <w:spacing w:line="360" w:lineRule="auto"/>
              <w:rPr>
                <w:rFonts w:ascii="宋体" w:hAnsi="宋体" w:eastAsia="宋体" w:cs="宋体"/>
                <w:b/>
                <w:kern w:val="0"/>
                <w:sz w:val="24"/>
              </w:rPr>
            </w:pPr>
          </w:p>
        </w:tc>
      </w:tr>
    </w:tbl>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hd w:val="clear"/>
        <w:spacing w:line="360" w:lineRule="auto"/>
        <w:rPr>
          <w:rFonts w:ascii="宋体" w:hAnsi="宋体" w:eastAsia="宋体" w:cs="宋体"/>
          <w:b/>
          <w:bCs/>
          <w:sz w:val="24"/>
        </w:rPr>
      </w:pPr>
    </w:p>
    <w:p>
      <w:pPr>
        <w:shd w:val="clea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shd w:val="clea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hd w:val="clea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rPr>
                <w:rFonts w:ascii="宋体" w:hAnsi="宋体" w:eastAsia="宋体" w:cs="宋体"/>
                <w:b/>
                <w:kern w:val="0"/>
                <w:sz w:val="24"/>
              </w:rPr>
            </w:pPr>
          </w:p>
        </w:tc>
        <w:tc>
          <w:tcPr>
            <w:tcW w:w="5387" w:type="dxa"/>
            <w:vAlign w:val="center"/>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rPr>
                <w:rFonts w:ascii="宋体" w:hAnsi="宋体" w:eastAsia="宋体" w:cs="宋体"/>
                <w:b/>
                <w:kern w:val="0"/>
                <w:sz w:val="24"/>
              </w:rPr>
            </w:pPr>
          </w:p>
        </w:tc>
        <w:tc>
          <w:tcPr>
            <w:tcW w:w="5387" w:type="dxa"/>
            <w:vAlign w:val="center"/>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hd w:val="clear"/>
              <w:spacing w:line="360" w:lineRule="auto"/>
              <w:rPr>
                <w:rFonts w:ascii="宋体" w:hAnsi="宋体" w:eastAsia="宋体" w:cs="宋体"/>
                <w:b/>
                <w:kern w:val="0"/>
                <w:sz w:val="24"/>
              </w:rPr>
            </w:pPr>
          </w:p>
        </w:tc>
      </w:tr>
    </w:tbl>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hd w:val="clear"/>
        <w:spacing w:line="360" w:lineRule="auto"/>
        <w:rPr>
          <w:rFonts w:ascii="宋体" w:hAnsi="宋体" w:eastAsia="宋体" w:cs="宋体"/>
          <w:b/>
          <w:kern w:val="0"/>
          <w:sz w:val="24"/>
        </w:rPr>
      </w:pPr>
    </w:p>
    <w:p>
      <w:pPr>
        <w:shd w:val="clear"/>
        <w:spacing w:line="360" w:lineRule="auto"/>
        <w:rPr>
          <w:rFonts w:ascii="宋体" w:hAnsi="宋体" w:eastAsia="宋体" w:cs="宋体"/>
          <w:b/>
          <w:kern w:val="0"/>
          <w:sz w:val="24"/>
        </w:rPr>
      </w:pPr>
    </w:p>
    <w:p>
      <w:pPr>
        <w:shd w:val="clear"/>
        <w:spacing w:line="360" w:lineRule="auto"/>
        <w:rPr>
          <w:rFonts w:ascii="宋体" w:hAnsi="宋体" w:eastAsia="宋体" w:cs="宋体"/>
          <w:b/>
          <w:kern w:val="0"/>
          <w:sz w:val="24"/>
        </w:rPr>
      </w:pPr>
      <w:r>
        <w:rPr>
          <w:rFonts w:hint="eastAsia" w:ascii="宋体" w:hAnsi="宋体" w:eastAsia="宋体" w:cs="宋体"/>
          <w:b/>
          <w:kern w:val="0"/>
          <w:sz w:val="24"/>
        </w:rPr>
        <w:t>注：</w:t>
      </w:r>
    </w:p>
    <w:p>
      <w:pPr>
        <w:shd w:val="clea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hd w:val="clea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shd w:val="clea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shd w:val="clea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hd w:val="clear"/>
        <w:snapToGrid w:val="0"/>
        <w:spacing w:line="360" w:lineRule="auto"/>
        <w:rPr>
          <w:rFonts w:ascii="宋体" w:hAnsi="宋体" w:eastAsia="宋体" w:cs="宋体"/>
          <w:sz w:val="24"/>
        </w:rPr>
      </w:pPr>
    </w:p>
    <w:p>
      <w:pPr>
        <w:shd w:val="clea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hd w:val="clea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2024年临江公司电动阀门采购项目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202407036-3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hd w:val="clea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hd w:val="clea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hd w:val="clea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hd w:val="clea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hd w:val="clea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hd w:val="clear"/>
        <w:snapToGrid w:val="0"/>
        <w:spacing w:line="360" w:lineRule="auto"/>
        <w:rPr>
          <w:rFonts w:ascii="宋体" w:hAnsi="宋体" w:eastAsia="宋体" w:cs="宋体"/>
          <w:sz w:val="24"/>
        </w:rPr>
      </w:pPr>
    </w:p>
    <w:p>
      <w:pPr>
        <w:shd w:val="clear"/>
        <w:snapToGrid w:val="0"/>
        <w:spacing w:line="360" w:lineRule="auto"/>
        <w:rPr>
          <w:rFonts w:ascii="宋体" w:hAnsi="宋体" w:eastAsia="宋体" w:cs="宋体"/>
          <w:sz w:val="24"/>
        </w:rPr>
      </w:pPr>
    </w:p>
    <w:p>
      <w:pPr>
        <w:shd w:val="clear"/>
        <w:snapToGrid w:val="0"/>
        <w:spacing w:line="360" w:lineRule="auto"/>
        <w:rPr>
          <w:rFonts w:ascii="宋体" w:hAnsi="宋体" w:eastAsia="宋体" w:cs="宋体"/>
          <w:sz w:val="24"/>
        </w:rPr>
      </w:pPr>
    </w:p>
    <w:p>
      <w:pPr>
        <w:shd w:val="clea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hd w:val="clea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shd w:val="clear"/>
        <w:jc w:val="center"/>
        <w:rPr>
          <w:sz w:val="32"/>
          <w:szCs w:val="32"/>
        </w:rPr>
      </w:pPr>
      <w:r>
        <w:rPr>
          <w:rFonts w:hint="eastAsia"/>
          <w:sz w:val="32"/>
          <w:szCs w:val="32"/>
        </w:rPr>
        <w:t>一 、 报价函</w:t>
      </w:r>
    </w:p>
    <w:p>
      <w:pPr>
        <w:pStyle w:val="7"/>
        <w:shd w:val="clear"/>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shd w:val="clear"/>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2024年临江公司电动阀门采购项目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202407036-3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shd w:val="clear"/>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8"/>
        <w:shd w:val="clear"/>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shd w:val="clear"/>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shd w:val="clear"/>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shd w:val="clear"/>
        <w:ind w:firstLine="480" w:firstLineChars="200"/>
        <w:jc w:val="left"/>
        <w:rPr>
          <w:rFonts w:hAnsi="宋体" w:cs="宋体"/>
        </w:rPr>
      </w:pPr>
    </w:p>
    <w:p>
      <w:pPr>
        <w:pStyle w:val="7"/>
        <w:shd w:val="clear"/>
        <w:ind w:firstLine="480" w:firstLineChars="200"/>
        <w:jc w:val="left"/>
        <w:rPr>
          <w:rFonts w:hAnsi="宋体" w:cs="宋体"/>
        </w:rPr>
      </w:pPr>
    </w:p>
    <w:p>
      <w:pPr>
        <w:pStyle w:val="7"/>
        <w:shd w:val="clear"/>
        <w:jc w:val="left"/>
        <w:rPr>
          <w:rFonts w:hAnsi="宋体" w:cs="宋体"/>
        </w:rPr>
      </w:pPr>
      <w:r>
        <w:rPr>
          <w:rFonts w:hint="eastAsia" w:hAnsi="宋体" w:cs="宋体"/>
        </w:rPr>
        <w:t>供应商名称：（盖单位公章）</w:t>
      </w:r>
    </w:p>
    <w:p>
      <w:pPr>
        <w:pStyle w:val="7"/>
        <w:shd w:val="clear"/>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shd w:val="clear"/>
        <w:tabs>
          <w:tab w:val="left" w:pos="4101"/>
        </w:tabs>
        <w:jc w:val="left"/>
        <w:rPr>
          <w:rFonts w:hAnsi="宋体" w:cs="宋体"/>
        </w:rPr>
      </w:pPr>
      <w:r>
        <w:rPr>
          <w:rFonts w:hint="eastAsia" w:hAnsi="宋体" w:cs="宋体"/>
        </w:rPr>
        <w:t>地址：</w:t>
      </w:r>
    </w:p>
    <w:p>
      <w:pPr>
        <w:pStyle w:val="7"/>
        <w:shd w:val="clear"/>
        <w:tabs>
          <w:tab w:val="left" w:pos="4101"/>
        </w:tabs>
        <w:jc w:val="left"/>
        <w:rPr>
          <w:rFonts w:hAnsi="宋体" w:cs="宋体"/>
        </w:rPr>
      </w:pPr>
      <w:r>
        <w:rPr>
          <w:rFonts w:hint="eastAsia" w:hAnsi="宋体" w:cs="宋体"/>
        </w:rPr>
        <w:t>电话</w:t>
      </w:r>
      <w:r>
        <w:rPr>
          <w:rFonts w:hint="eastAsia" w:hAnsi="宋体" w:cs="宋体"/>
          <w:spacing w:val="-17"/>
        </w:rPr>
        <w:t>：</w:t>
      </w:r>
    </w:p>
    <w:p>
      <w:pPr>
        <w:shd w:val="clea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shd w:val="clear"/>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hd w:val="clea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2024年临江公司电动阀门采购项目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202407036-3</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hd w:val="clea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4324"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438"/>
        <w:gridCol w:w="932"/>
        <w:gridCol w:w="1368"/>
        <w:gridCol w:w="1370"/>
        <w:gridCol w:w="4150"/>
        <w:gridCol w:w="1150"/>
        <w:gridCol w:w="1233"/>
        <w:gridCol w:w="1033"/>
        <w:gridCol w:w="884"/>
        <w:gridCol w:w="916"/>
        <w:gridCol w:w="85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ascii="等线 Light" w:hAnsi="等线 Light" w:eastAsia="等线 Light" w:cs="等线 Light"/>
                <w:b/>
                <w:bCs/>
                <w:i w:val="0"/>
                <w:iCs w:val="0"/>
                <w:color w:val="000000"/>
                <w:sz w:val="21"/>
                <w:szCs w:val="21"/>
                <w:u w:val="none"/>
              </w:rPr>
            </w:pPr>
            <w:r>
              <w:rPr>
                <w:rFonts w:hint="eastAsia" w:ascii="等线 Light" w:hAnsi="等线 Light" w:eastAsia="等线 Light" w:cs="等线 Light"/>
                <w:b/>
                <w:bCs/>
                <w:i w:val="0"/>
                <w:iCs w:val="0"/>
                <w:color w:val="000000"/>
                <w:kern w:val="0"/>
                <w:sz w:val="21"/>
                <w:szCs w:val="21"/>
                <w:u w:val="none"/>
                <w:lang w:val="en-US" w:eastAsia="zh-CN" w:bidi="ar"/>
              </w:rPr>
              <w:t>序号</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b/>
                <w:bCs/>
                <w:i w:val="0"/>
                <w:iCs w:val="0"/>
                <w:color w:val="000000"/>
                <w:sz w:val="21"/>
                <w:szCs w:val="21"/>
                <w:u w:val="none"/>
              </w:rPr>
            </w:pPr>
            <w:r>
              <w:rPr>
                <w:rFonts w:hint="eastAsia" w:ascii="等线 Light" w:hAnsi="等线 Light" w:eastAsia="等线 Light" w:cs="等线 Light"/>
                <w:b/>
                <w:bCs/>
                <w:i w:val="0"/>
                <w:iCs w:val="0"/>
                <w:color w:val="000000"/>
                <w:kern w:val="0"/>
                <w:sz w:val="21"/>
                <w:szCs w:val="21"/>
                <w:u w:val="none"/>
                <w:lang w:val="en-US" w:eastAsia="zh-CN" w:bidi="ar"/>
              </w:rPr>
              <w:t>物资名称</w:t>
            </w:r>
          </w:p>
        </w:tc>
        <w:tc>
          <w:tcPr>
            <w:tcW w:w="1368"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b/>
                <w:bCs/>
                <w:i w:val="0"/>
                <w:iCs w:val="0"/>
                <w:color w:val="000000"/>
                <w:kern w:val="0"/>
                <w:sz w:val="21"/>
                <w:szCs w:val="21"/>
                <w:u w:val="none"/>
                <w:lang w:val="en-US" w:eastAsia="zh-CN" w:bidi="ar"/>
              </w:rPr>
            </w:pPr>
            <w:r>
              <w:rPr>
                <w:rFonts w:hint="eastAsia" w:ascii="等线 Light" w:hAnsi="等线 Light" w:eastAsia="等线 Light" w:cs="等线 Light"/>
                <w:b/>
                <w:bCs/>
                <w:i w:val="0"/>
                <w:iCs w:val="0"/>
                <w:color w:val="000000"/>
                <w:kern w:val="0"/>
                <w:sz w:val="21"/>
                <w:szCs w:val="21"/>
                <w:u w:val="none"/>
                <w:lang w:val="en-US" w:eastAsia="zh-CN" w:bidi="ar"/>
              </w:rPr>
              <w:t>品牌</w:t>
            </w:r>
          </w:p>
        </w:tc>
        <w:tc>
          <w:tcPr>
            <w:tcW w:w="1370" w:type="dxa"/>
            <w:tcBorders>
              <w:tl2br w:val="nil"/>
              <w:tr2bl w:val="nil"/>
            </w:tcBorders>
            <w:shd w:val="clear" w:color="auto" w:fill="auto"/>
            <w:vAlign w:val="center"/>
          </w:tcPr>
          <w:p>
            <w:pPr>
              <w:keepNext w:val="0"/>
              <w:keepLines w:val="0"/>
              <w:widowControl/>
              <w:suppressLineNumbers w:val="0"/>
              <w:jc w:val="left"/>
              <w:textAlignment w:val="center"/>
              <w:rPr>
                <w:rFonts w:hint="default" w:ascii="等线 Light" w:hAnsi="等线 Light" w:eastAsia="等线 Light" w:cs="等线 Light"/>
                <w:b/>
                <w:bCs/>
                <w:i w:val="0"/>
                <w:iCs w:val="0"/>
                <w:color w:val="000000"/>
                <w:kern w:val="0"/>
                <w:sz w:val="21"/>
                <w:szCs w:val="21"/>
                <w:u w:val="none"/>
                <w:lang w:val="en-US" w:eastAsia="zh-CN" w:bidi="ar"/>
              </w:rPr>
            </w:pPr>
            <w:r>
              <w:rPr>
                <w:rFonts w:hint="eastAsia" w:ascii="等线 Light" w:hAnsi="等线 Light" w:eastAsia="等线 Light" w:cs="等线 Light"/>
                <w:b/>
                <w:bCs/>
                <w:i w:val="0"/>
                <w:iCs w:val="0"/>
                <w:color w:val="000000"/>
                <w:kern w:val="0"/>
                <w:sz w:val="21"/>
                <w:szCs w:val="21"/>
                <w:u w:val="none"/>
                <w:lang w:val="en-US" w:eastAsia="zh-CN" w:bidi="ar"/>
              </w:rPr>
              <w:t>报价品牌</w:t>
            </w: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b/>
                <w:bCs/>
                <w:i w:val="0"/>
                <w:iCs w:val="0"/>
                <w:color w:val="000000"/>
                <w:kern w:val="0"/>
                <w:sz w:val="21"/>
                <w:szCs w:val="21"/>
                <w:u w:val="none"/>
                <w:lang w:val="en-US" w:eastAsia="zh-CN" w:bidi="ar"/>
              </w:rPr>
            </w:pPr>
            <w:r>
              <w:rPr>
                <w:rFonts w:hint="eastAsia" w:ascii="等线 Light" w:hAnsi="等线 Light" w:eastAsia="等线 Light" w:cs="等线 Light"/>
                <w:b/>
                <w:bCs/>
                <w:i w:val="0"/>
                <w:iCs w:val="0"/>
                <w:color w:val="000000"/>
                <w:kern w:val="0"/>
                <w:sz w:val="21"/>
                <w:szCs w:val="21"/>
                <w:u w:val="none"/>
                <w:lang w:val="en-US" w:eastAsia="zh-CN" w:bidi="ar"/>
              </w:rPr>
              <w:t>型号规格</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b/>
                <w:bCs/>
                <w:i w:val="0"/>
                <w:iCs w:val="0"/>
                <w:color w:val="000000"/>
                <w:sz w:val="21"/>
                <w:szCs w:val="21"/>
                <w:u w:val="none"/>
              </w:rPr>
            </w:pPr>
            <w:r>
              <w:rPr>
                <w:rFonts w:hint="eastAsia" w:ascii="等线 Light" w:hAnsi="等线 Light" w:eastAsia="等线 Light" w:cs="等线 Light"/>
                <w:b/>
                <w:bCs/>
                <w:i w:val="0"/>
                <w:iCs w:val="0"/>
                <w:color w:val="000000"/>
                <w:kern w:val="0"/>
                <w:sz w:val="21"/>
                <w:szCs w:val="21"/>
                <w:u w:val="none"/>
                <w:lang w:val="en-US" w:eastAsia="zh-CN" w:bidi="ar"/>
              </w:rPr>
              <w:t>需求部门</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b/>
                <w:bCs/>
                <w:i w:val="0"/>
                <w:iCs w:val="0"/>
                <w:color w:val="000000"/>
                <w:sz w:val="21"/>
                <w:szCs w:val="21"/>
                <w:u w:val="none"/>
              </w:rPr>
            </w:pPr>
            <w:r>
              <w:rPr>
                <w:rFonts w:hint="eastAsia" w:ascii="等线 Light" w:hAnsi="等线 Light" w:eastAsia="等线 Light" w:cs="等线 Light"/>
                <w:b/>
                <w:bCs/>
                <w:i w:val="0"/>
                <w:iCs w:val="0"/>
                <w:color w:val="000000"/>
                <w:kern w:val="0"/>
                <w:sz w:val="21"/>
                <w:szCs w:val="21"/>
                <w:u w:val="none"/>
                <w:lang w:val="en-US" w:eastAsia="zh-CN" w:bidi="ar"/>
              </w:rPr>
              <w:t>单位</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b/>
                <w:bCs/>
                <w:i w:val="0"/>
                <w:iCs w:val="0"/>
                <w:color w:val="000000"/>
                <w:sz w:val="21"/>
                <w:szCs w:val="21"/>
                <w:u w:val="none"/>
              </w:rPr>
            </w:pPr>
            <w:r>
              <w:rPr>
                <w:rFonts w:hint="eastAsia" w:ascii="等线 Light" w:hAnsi="等线 Light" w:eastAsia="等线 Light" w:cs="等线 Light"/>
                <w:b/>
                <w:bCs/>
                <w:i w:val="0"/>
                <w:iCs w:val="0"/>
                <w:color w:val="000000"/>
                <w:kern w:val="0"/>
                <w:sz w:val="21"/>
                <w:szCs w:val="21"/>
                <w:u w:val="none"/>
                <w:lang w:val="en-US" w:eastAsia="zh-CN" w:bidi="ar"/>
              </w:rPr>
              <w:t>数量</w:t>
            </w:r>
          </w:p>
        </w:tc>
        <w:tc>
          <w:tcPr>
            <w:tcW w:w="88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等线 Light" w:hAnsi="等线 Light" w:eastAsia="等线 Light" w:cs="等线 Light"/>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单价（元）</w:t>
            </w:r>
          </w:p>
        </w:tc>
        <w:tc>
          <w:tcPr>
            <w:tcW w:w="91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等线 Light" w:hAnsi="等线 Light" w:eastAsia="等线 Light" w:cs="等线 Light"/>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金额                       （元）</w:t>
            </w:r>
          </w:p>
        </w:tc>
        <w:tc>
          <w:tcPr>
            <w:tcW w:w="8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等线 Light" w:hAnsi="等线 Light" w:eastAsia="等线 Light" w:cs="等线 Light"/>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亚德克/SMC/ASCO</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型号：K302116，管径G1/4，线圈型号：MP-C-080，220VAC，含阀体</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亚德克/SMC/ASCO</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型号：SCXG327B001，含阀体，密封圈</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3</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亚德克/SMC/ASCO</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型号：K302276，管径G3/4，线圈型号：MP-C-080，220VAC，含阀体</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亚德克/SMC/ASCO</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型号：SR561B-RN38DW(24v）</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10</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亚德克/SMC/ASCO</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型号：4V210-08，两位五通，单线圈24Vdc</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40</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亚德克/SMC/ASCO</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型号：4V210-08，两位五通，单线圈220VAC</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20</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7</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亚德克/SMC/ASCO</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型号：4M210-08，两位五通，单线圈24Vdc</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30</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8</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亚德克/SMC/festo</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型号：4M310-08，板式电磁阀</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20</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9</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亚德克/SMC/ASCO</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型号：4M310-10，两位五通，单线圈24Vdc</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20</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10</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亚德克/SMC/ASCO</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型号：4V110，两位五通，单线圈24Vdc</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10</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11</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亚德克/SMC/ASCO</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2S250-25B,材质：304，DN25</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12</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亚德克/SMC/ASCO</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2S250-20B,材质：304，DN20</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13</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亚德克/SMC/ASCO</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2S250-15B,材质：304，DN20</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14</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paker/ATOS/Bürkert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型号：ZB09,230V，9w，带阀体</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15</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paker/ATOS/Bürkert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型号：CH1227,115V，14MM，20w,带阀体,IP67</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16</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paker/ATOS/Bürkert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型号：E121K63,14W,230VAC，带阀体</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17</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电磁阀线圈</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亚德克/SMC/ASCO</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24Vdc，4.8W，30mm*30mm*22mm，内孔9mm</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20</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18</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电磁阀线圈</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亚德克/SMC/ASCO</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220Vdc，6W，30mm*30mm*22mm，内孔9mm</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20</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19</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电磁阀线圈</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丹佛斯/伊顿/或同等</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型号：H-507848，24Vdc，30W，K01/02</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20</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20</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电磁阀线圈</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丹佛斯/伊顿/或同等</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型号：NR0200，DC24v，15w</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21</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电磁阀线圈</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丹佛斯/伊顿/或同等</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型号：N282，DC24v，20w</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3"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22</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电磁阀线圈</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paker/ATOS/Bürkert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型号：483541P8，EZ96P8，115V/50Hz</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23</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型号：YCH41-09-2GSP，内孔9mm，G1/4，AC220V，压力等级：0.01~12MPa，两位两通电磁阀，常温</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1"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24</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型号：PG-M02K，内孔1.5mm，G1/4，AC220V，压力等级：0~50bar，两位两通电磁阀，常温</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1"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25</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型号：PU-20，0~10Bar，内丝管径3/4，线圈D410A6，线圈孔径20mm，两位两通电磁阀，常温</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26</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电动铸钢四氟对夹蝶阀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型号：D971F-16P，压力1.0MPa，DN80，软密封耐高温阀门；                                                              执行器型号：PWXD-05S，220VAC，开关行程带指示，2开反馈2闭反馈,</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4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27</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电动铸钢四氟对夹蝶阀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型号：D971F-16P，压力1.0MPa，DN125，软密封耐高温阀门；                                                                  执行器型号：PWXD-10S，220VAC，开关行程带指示，2开反馈2闭反馈,</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4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28</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电动对夹蝶阀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阀体型号：PWOY-D9S71X-16Q，DN80，PN1.6MPa，SS304阀板；                                                                     执行器型号：PWXD-05S，220VAC，开关行程带指示，2开反馈2闭反馈,</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4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29</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电动对夹蝶阀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阀体型号：PWOY-D9S71X-16Q，DN100,PN1.6MPa，SS304阀板；                                                                     执行器型号：PWXD-10S，220VAC，开关行程带指示，2开反馈2闭反馈,</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63"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30</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电动对夹蝶阀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阀体型号：PWOY-D9S71X-16Q,DN125,PN1.6MPa，SS304阀板；                                                                     执行器型号：PWXD-10S，220VAC，开关行程带指示，2开反馈2闭反馈,</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63"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31</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电动对夹蝶阀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阀体型号：PWOY-D9S71X-16Q,DN150,PN1.6MPa，SS304阀板；                                                           执行器型号：：PWXD-05S，220VAC，开关行程带指示，2开反馈2闭反馈,</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32</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电动三片式高压球阀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阀体型号：2''F21/2''R，CF8M，1500WOG，；压力PN160/2000Psi；温度-40℃—180℃；不锈钢316；螺纹连接；  执行器型号：ACT-110B，220VAC，开关行程带指示，2开反馈2闭反馈,</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33</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电动调节阀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T967H-100,PN100,DN80,（天津市塘沽第一阀门有限公司，上海良工阀门厂有限公司，上海高压阀门厂集团有限公司）</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85"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34</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电动调节阀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T967H-100,PN100,DN125,需匹配rotork调节阀（天津市塘沽第一阀门有限公司，上海良工阀门厂有限公司，上海高压阀门厂集团有限公司）</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35</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电动调节阀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T967H-40,PN40,DN125,需匹配rotork调节阀（天津市塘沽第一阀门有限公司，上海良工阀门厂有限公司，上海高压阀门厂集团有限公司）</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36</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电动调节阀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T967H-100,PN100,DN32,需匹配rotork调节阀（天津市塘沽第一阀门有限公司，上海良工阀门厂有限公司，上海高压阀门厂集团有限公司）</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37</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电动调节阀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T967H-100,PN100,DN25,需匹配rotork调节阀（天津市塘沽第一阀门有限公司，上海良工阀门厂有限公司，上海高压阀门厂集团有限公司）</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38</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电动截止阀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J961Y-100I,PN100,DN125，需匹配rotork电动阀（天津市塘沽第一阀门有限公司，上海良工阀门厂有限公司，上海高压阀门厂集团有限公司）</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39</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电动截止阀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J961H-100,PN100,DN50，需匹配rotork电动阀（天津市塘沽第一阀门有限公司，上海良工阀门厂有限公司，上海高压阀门厂集团有限公司）</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40</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电动截止阀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J961Y-100,PN100,DN65，需匹配rotork电动阀（天津市塘沽第一阀门有限公司，上海良工阀门厂有限公司，上海高压阀门厂集团有限公司）</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41</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电动截止阀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J961Y-100,PN100,DN50，需匹配rotork电动阀（天津市塘沽第一阀门有限公司，上海良工阀门厂有限公司，上海高压阀门厂集团有限公司）</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42</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电动截止阀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J961H-100,PN100,DN80，需匹配rotork电动阀（天津市塘沽第一阀门有限公司，上海良工阀门厂有限公司，上海高压阀门厂集团有限公司）</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43</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电动调节阀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T967H-100,PN100,DN32，需匹配rotork电动阀（天津市塘沽第一阀门有限公司，上海良工阀门厂有限公司，上海高压阀门厂集团有限公司）</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44</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电动截止阀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J961Y-100,PN100,DN20，需匹配rotork电动阀（天津市塘沽第一阀门有限公司，上海良工阀门厂有限公司，上海高压阀门厂集团有限公司）</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45</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电动闸阀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Z961Y-100I,PN100,DN250，需匹配rotork电动阀（天津市塘沽第一阀门有限公司，上海良工阀门厂有限公司，上海高压阀门厂集团有限公司）</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9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46</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喷吹阀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ASCO</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型号：SCR353G230，DC24V，76mm管径，3寸</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47</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喷吹阀膜片</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ASCO</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型号：SCR353G230，配合膜片，3寸，含大膜片，小膜片，弹簧</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20</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48</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喷吹阀密封圈</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ASCO</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型号：SCR353G230，大、小密封圈一套</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10</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49</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气动电磁阀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ASCO</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型号：G531C002MS，DC24V</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50</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气动电磁阀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ASCO</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型号：G531C017MS，AC220V</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51</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垃圾吊电磁阀插头</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MURR 230V AC\DC 0.5A（全波整流）</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25</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1"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52</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垃圾吊电磁阀线圈</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YHC22B-20500E1 205VDC 100%ED 0.15A</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25</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53</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电磁阀线圈</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CJT1-40 50Hz 380V 3600匝 铜线线径0.18</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1"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54</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法兰型电磁阀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ZQDF-1Y-25P，通径20mm，DC24V，介质：水、耐温＜180℃，法兰DN20，PN1.6MPa</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10</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55</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法兰型电磁阀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ZQDF-1Y-16P DN32，DC24V，介质：水、耐温＜180℃，PN1.6MPa</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25</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56</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防爆电磁阀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型号：4V210配EX0960,额定电流0.16A,功率3.8W；电压24VDC</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1"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57</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熔断式保护电磁阀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型号：HP19B,复位手轮</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15</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58</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脉冲喷吹电磁阀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型号：DMF-Z-20A,24VDC，6寸</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8</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59</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电子排水器</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乔克/正泰/德力西</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型号：MIC-B，分体式，4分管，24Vdc</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10</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60</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电子排水器</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乔克/正泰/德力西</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型号：MIC-A，一体式，4分管，220Vdc</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20</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61</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电动比例调节阀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埃克托德（actored）</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执行器型号：GEA20A，电源：220VAC，扭矩2000N，IP65，含阀门，阀门型号：T634,接口：3/4NPT，PN100，阀门材质：316L</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62</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电动开关阀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埃克托德（actored）</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型号：AGT-110B，扭矩：110Nm，电源：AC220V,IP67，含阀门，球阀，材质：CF8M 1500WOG，DN65，R型螺纹</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1"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63</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布袋脉冲电磁阀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CA45FS010-30530</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3"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64</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Q941X-10P DN65</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65</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Q941X-10P DN80</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66</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Q941X-10P DN50</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67</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Q941X-10P DN40</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68</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Q941X-10P DN32</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69</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Q941X-10P DN25</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70</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电动球阀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南京方威，FVQ13AC-B，AC100-230V，2W，10N.M，IP50，常闭型</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71</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4WE6Y6X/EW220RNZ5L</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72</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ASCO</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SCG551A017MS DC24V 带线圈</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套</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73</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2W160-15 线圈：24VDC</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只</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74</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参照或者相当于VXZ240GGAXB 线圈：24VDC（</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只</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75</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参照或者相当于NFB210D002 线圈：24VDC</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只</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76</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参照或者相当于SCE238D002 线圈：24VDC</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只</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77</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参照或者相当于SCG553A017MS 线圈：24VDC</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只</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78</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参照或者相当于4V210-08  线圈：AC220V</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只</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79</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参照或者相当于4V210-08  线圈：DC24V</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只</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80</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2W-160-15，PN10，线圈电压220VAC，四分内螺纹</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只</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81</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型号：4M310-08</w:t>
            </w:r>
            <w:r>
              <w:rPr>
                <w:rFonts w:hint="eastAsia" w:ascii="等线 Light" w:hAnsi="等线 Light" w:eastAsia="等线 Light" w:cs="等线 Light"/>
                <w:i w:val="0"/>
                <w:iCs w:val="0"/>
                <w:color w:val="000000"/>
                <w:kern w:val="0"/>
                <w:sz w:val="21"/>
                <w:szCs w:val="21"/>
                <w:u w:val="none"/>
                <w:lang w:val="en-US" w:eastAsia="zh-CN" w:bidi="ar"/>
              </w:rPr>
              <w:br w:type="textWrapping"/>
            </w:r>
            <w:r>
              <w:rPr>
                <w:rFonts w:hint="eastAsia" w:ascii="等线 Light" w:hAnsi="等线 Light" w:eastAsia="等线 Light" w:cs="等线 Light"/>
                <w:i w:val="0"/>
                <w:iCs w:val="0"/>
                <w:color w:val="000000"/>
                <w:kern w:val="0"/>
                <w:sz w:val="21"/>
                <w:szCs w:val="21"/>
                <w:u w:val="none"/>
                <w:lang w:val="en-US" w:eastAsia="zh-CN" w:bidi="ar"/>
              </w:rPr>
              <w:t>线圈电压：DC24V</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只</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3"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82</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SMC</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SY5120-5GZD-01 24V</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套</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83</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SMC</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SY9120-5DZ-03 带线圈</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套</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84</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SMC</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SY9220-5LZD-03(含两个电磁阀线圈)</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套</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85</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电磁阀带线圈</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ASCO</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G553A017MS  DC24V</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套</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1"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86</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电磁阀防爆线圈</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0960   线圈：24VDC</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只</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87</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电磁阀线圈</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ASCO</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G551A017MS</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只</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88</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电磁阀线圈</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ASCO</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G553A017MS配套电磁线圈  DC24V</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只</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6"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89</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防爆电磁阀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13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4150"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4V410-15/24V</w:t>
            </w:r>
          </w:p>
        </w:tc>
        <w:tc>
          <w:tcPr>
            <w:tcW w:w="1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12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个</w:t>
            </w:r>
          </w:p>
        </w:tc>
        <w:tc>
          <w:tcPr>
            <w:tcW w:w="10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w:t>
            </w:r>
          </w:p>
        </w:tc>
        <w:tc>
          <w:tcPr>
            <w:tcW w:w="8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c>
          <w:tcPr>
            <w:tcW w:w="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6" w:hRule="atLeast"/>
        </w:trPr>
        <w:tc>
          <w:tcPr>
            <w:tcW w:w="4108" w:type="dxa"/>
            <w:gridSpan w:val="4"/>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等线 Light" w:hAnsi="等线 Light" w:eastAsia="等线 Light" w:cs="等线 Light"/>
                <w:i w:val="0"/>
                <w:iCs w:val="0"/>
                <w:color w:val="000000"/>
                <w:kern w:val="0"/>
                <w:sz w:val="21"/>
                <w:szCs w:val="21"/>
                <w:u w:val="none"/>
                <w:lang w:val="en-US" w:eastAsia="zh-CN" w:bidi="ar"/>
              </w:rPr>
            </w:pPr>
            <w:r>
              <w:rPr>
                <w:rFonts w:hint="eastAsia" w:cs="仿宋" w:asciiTheme="minorEastAsia" w:hAnsiTheme="minorEastAsia"/>
                <w:b/>
                <w:sz w:val="24"/>
              </w:rPr>
              <w:t>响应报价合计（小写）</w:t>
            </w:r>
          </w:p>
        </w:tc>
        <w:tc>
          <w:tcPr>
            <w:tcW w:w="10216" w:type="dxa"/>
            <w:gridSpan w:val="7"/>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6" w:hRule="atLeast"/>
        </w:trPr>
        <w:tc>
          <w:tcPr>
            <w:tcW w:w="4108" w:type="dxa"/>
            <w:gridSpan w:val="4"/>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等线 Light" w:hAnsi="等线 Light" w:eastAsia="等线 Light" w:cs="等线 Light"/>
                <w:i w:val="0"/>
                <w:iCs w:val="0"/>
                <w:color w:val="000000"/>
                <w:kern w:val="0"/>
                <w:sz w:val="21"/>
                <w:szCs w:val="21"/>
                <w:u w:val="none"/>
                <w:lang w:val="en-US" w:eastAsia="zh-CN" w:bidi="ar"/>
              </w:rPr>
            </w:pPr>
            <w:r>
              <w:rPr>
                <w:rFonts w:hint="eastAsia" w:cs="仿宋" w:asciiTheme="minorEastAsia" w:hAnsiTheme="minorEastAsia"/>
                <w:b/>
                <w:sz w:val="24"/>
              </w:rPr>
              <w:t>响应报价合计（大写）</w:t>
            </w:r>
          </w:p>
        </w:tc>
        <w:tc>
          <w:tcPr>
            <w:tcW w:w="10216" w:type="dxa"/>
            <w:gridSpan w:val="7"/>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等线 Light" w:hAnsi="等线 Light" w:eastAsia="等线 Light" w:cs="等线 Light"/>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6" w:hRule="atLeast"/>
        </w:trPr>
        <w:tc>
          <w:tcPr>
            <w:tcW w:w="4108" w:type="dxa"/>
            <w:gridSpan w:val="4"/>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等线 Light" w:hAnsi="等线 Light" w:eastAsia="等线 Light" w:cs="等线 Light"/>
                <w:i w:val="0"/>
                <w:iCs w:val="0"/>
                <w:color w:val="000000"/>
                <w:kern w:val="0"/>
                <w:sz w:val="21"/>
                <w:szCs w:val="21"/>
                <w:u w:val="none"/>
                <w:lang w:val="en-US" w:eastAsia="zh-CN" w:bidi="ar"/>
              </w:rPr>
            </w:pPr>
            <w:r>
              <w:rPr>
                <w:rFonts w:hint="eastAsia" w:cs="仿宋" w:asciiTheme="minorEastAsia" w:hAnsiTheme="minorEastAsia"/>
                <w:b/>
                <w:sz w:val="24"/>
              </w:rPr>
              <w:t>税率</w:t>
            </w:r>
          </w:p>
        </w:tc>
        <w:tc>
          <w:tcPr>
            <w:tcW w:w="10216" w:type="dxa"/>
            <w:gridSpan w:val="7"/>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等线 Light" w:hAnsi="等线 Light" w:eastAsia="等线 Light" w:cs="等线 Light"/>
                <w:i w:val="0"/>
                <w:iCs w:val="0"/>
                <w:color w:val="000000"/>
                <w:kern w:val="0"/>
                <w:sz w:val="21"/>
                <w:szCs w:val="21"/>
                <w:u w:val="none"/>
                <w:lang w:val="en-US" w:eastAsia="zh-CN" w:bidi="ar"/>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pStyle w:val="2"/>
        <w:rPr>
          <w:rFonts w:hint="eastAsia" w:cs="仿宋" w:asciiTheme="minorEastAsia" w:hAnsiTheme="minorEastAsia"/>
          <w:b/>
          <w:kern w:val="0"/>
          <w:sz w:val="24"/>
          <w:lang w:val="zh-CN"/>
        </w:rPr>
      </w:pPr>
    </w:p>
    <w:p>
      <w:pPr>
        <w:rPr>
          <w:rFonts w:hint="eastAsia" w:cs="仿宋" w:asciiTheme="minorEastAsia" w:hAnsiTheme="minorEastAsia"/>
          <w:b/>
          <w:kern w:val="0"/>
          <w:sz w:val="24"/>
          <w:lang w:val="zh-CN"/>
        </w:rPr>
      </w:pPr>
    </w:p>
    <w:p>
      <w:pPr>
        <w:shd w:val="clea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hd w:val="clea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hd w:val="clea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hd w:val="clea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7"/>
        <w:shd w:val="clear"/>
      </w:pPr>
    </w:p>
    <w:p>
      <w:pPr>
        <w:shd w:val="clea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hd w:val="clear"/>
        <w:spacing w:line="360" w:lineRule="auto"/>
        <w:jc w:val="center"/>
        <w:rPr>
          <w:rFonts w:cs="仿宋" w:asciiTheme="minorEastAsia" w:hAnsiTheme="minorEastAsia"/>
          <w:b/>
          <w:spacing w:val="6"/>
          <w:sz w:val="32"/>
          <w:szCs w:val="32"/>
        </w:rPr>
      </w:pPr>
      <w:bookmarkStart w:id="519" w:name="_Toc465665161"/>
      <w:r>
        <w:rPr>
          <w:rFonts w:hint="eastAsia" w:cs="宋体" w:asciiTheme="minorEastAsia" w:hAnsiTheme="minorEastAsia"/>
          <w:b/>
          <w:bCs/>
          <w:kern w:val="44"/>
          <w:sz w:val="44"/>
          <w:szCs w:val="44"/>
        </w:rPr>
        <w:t>附件</w:t>
      </w:r>
      <w:bookmarkEnd w:id="519"/>
    </w:p>
    <w:p>
      <w:pPr>
        <w:shd w:val="clea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hd w:val="clea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hd w:val="clea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hd w:val="clea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hd w:val="clea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hd w:val="clear"/>
        <w:snapToGrid w:val="0"/>
        <w:spacing w:line="360" w:lineRule="auto"/>
        <w:rPr>
          <w:rFonts w:ascii="宋体" w:hAnsi="宋体" w:cs="宋体"/>
          <w:bCs/>
          <w:sz w:val="24"/>
        </w:rPr>
      </w:pPr>
      <w:r>
        <w:rPr>
          <w:rFonts w:hint="eastAsia" w:ascii="宋体" w:hAnsi="宋体" w:cs="宋体"/>
          <w:bCs/>
          <w:sz w:val="24"/>
        </w:rPr>
        <w:t>二、质疑项目基本情况</w:t>
      </w:r>
    </w:p>
    <w:p>
      <w:pPr>
        <w:shd w:val="clea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hd w:val="clear"/>
        <w:snapToGrid w:val="0"/>
        <w:spacing w:line="360" w:lineRule="auto"/>
        <w:rPr>
          <w:rFonts w:ascii="宋体" w:hAnsi="宋体" w:cs="宋体"/>
          <w:bCs/>
          <w:sz w:val="24"/>
        </w:rPr>
      </w:pPr>
      <w:r>
        <w:rPr>
          <w:rFonts w:hint="eastAsia" w:ascii="宋体" w:hAnsi="宋体" w:cs="宋体"/>
          <w:bCs/>
          <w:sz w:val="24"/>
        </w:rPr>
        <w:t>三、质疑事项具体内容</w:t>
      </w:r>
    </w:p>
    <w:p>
      <w:pPr>
        <w:shd w:val="clea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质疑事项2</w:t>
      </w:r>
    </w:p>
    <w:p>
      <w:pPr>
        <w:shd w:val="clear"/>
        <w:snapToGrid w:val="0"/>
        <w:spacing w:line="360" w:lineRule="auto"/>
        <w:rPr>
          <w:rFonts w:ascii="宋体" w:hAnsi="宋体" w:cs="宋体"/>
          <w:sz w:val="24"/>
        </w:rPr>
      </w:pPr>
      <w:r>
        <w:rPr>
          <w:rFonts w:hint="eastAsia" w:ascii="宋体" w:hAnsi="宋体" w:cs="宋体"/>
          <w:sz w:val="24"/>
        </w:rPr>
        <w:t>……</w:t>
      </w:r>
    </w:p>
    <w:p>
      <w:pPr>
        <w:shd w:val="clear"/>
        <w:snapToGrid w:val="0"/>
        <w:spacing w:line="360" w:lineRule="auto"/>
        <w:rPr>
          <w:rFonts w:ascii="宋体" w:hAnsi="宋体" w:cs="宋体"/>
          <w:bCs/>
          <w:sz w:val="24"/>
        </w:rPr>
      </w:pPr>
      <w:r>
        <w:rPr>
          <w:rFonts w:hint="eastAsia" w:ascii="宋体" w:hAnsi="宋体" w:cs="宋体"/>
          <w:bCs/>
          <w:sz w:val="24"/>
        </w:rPr>
        <w:t>四、与质疑事项相关的质疑请求</w:t>
      </w:r>
    </w:p>
    <w:p>
      <w:pPr>
        <w:shd w:val="clea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hd w:val="clea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hd w:val="clear"/>
        <w:spacing w:line="360" w:lineRule="auto"/>
        <w:rPr>
          <w:rFonts w:ascii="宋体" w:hAnsi="宋体" w:cs="宋体"/>
          <w:sz w:val="24"/>
        </w:rPr>
      </w:pPr>
      <w:r>
        <w:rPr>
          <w:rFonts w:hint="eastAsia" w:ascii="宋体" w:hAnsi="宋体" w:cs="宋体"/>
          <w:sz w:val="24"/>
        </w:rPr>
        <w:t xml:space="preserve">日期：    </w:t>
      </w:r>
    </w:p>
    <w:p>
      <w:pPr>
        <w:shd w:val="clear"/>
        <w:spacing w:line="360" w:lineRule="auto"/>
        <w:jc w:val="center"/>
        <w:rPr>
          <w:rFonts w:ascii="宋体" w:hAnsi="宋体" w:cs="宋体"/>
          <w:b/>
          <w:bCs/>
          <w:sz w:val="24"/>
        </w:rPr>
      </w:pPr>
    </w:p>
    <w:p>
      <w:pPr>
        <w:shd w:val="clea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shd w:val="clear"/>
      </w:pPr>
    </w:p>
    <w:p>
      <w:pPr>
        <w:shd w:val="clear"/>
        <w:spacing w:line="360" w:lineRule="auto"/>
        <w:rPr>
          <w:rFonts w:ascii="宋体" w:hAnsi="宋体" w:cs="宋体"/>
          <w:b/>
          <w:sz w:val="24"/>
        </w:rPr>
      </w:pPr>
      <w:r>
        <w:rPr>
          <w:rFonts w:hint="eastAsia" w:ascii="宋体" w:hAnsi="宋体" w:cs="宋体"/>
          <w:b/>
          <w:sz w:val="24"/>
        </w:rPr>
        <w:t>质疑函制作说明：</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hd w:val="clear"/>
        <w:spacing w:line="360" w:lineRule="auto"/>
        <w:ind w:firstLine="600" w:firstLineChars="200"/>
        <w:jc w:val="left"/>
        <w:rPr>
          <w:rFonts w:ascii="宋体" w:hAnsi="宋体" w:cs="宋体"/>
          <w:sz w:val="30"/>
          <w:szCs w:val="30"/>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hd w:val="clea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shd w:val="clea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hd w:val="clea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2024年临江公司电动阀门采购项目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202407036-3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w:t>
      </w:r>
      <w:r>
        <w:rPr>
          <w:rFonts w:hint="eastAsia" w:cs="仿宋" w:asciiTheme="minorEastAsia" w:hAnsiTheme="minorEastAsia"/>
          <w:bCs/>
          <w:sz w:val="24"/>
          <w:lang w:eastAsia="zh-CN"/>
        </w:rPr>
        <w:t>做如下</w:t>
      </w:r>
      <w:r>
        <w:rPr>
          <w:rFonts w:hint="eastAsia" w:cs="仿宋" w:asciiTheme="minorEastAsia" w:hAnsiTheme="minorEastAsia"/>
          <w:bCs/>
          <w:sz w:val="24"/>
        </w:rPr>
        <w:t>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hd w:val="clear"/>
        <w:spacing w:line="360" w:lineRule="auto"/>
        <w:ind w:firstLine="494"/>
        <w:rPr>
          <w:rFonts w:cs="仿宋" w:asciiTheme="minorEastAsia" w:hAnsiTheme="minorEastAsia"/>
          <w:sz w:val="24"/>
        </w:rPr>
      </w:pPr>
    </w:p>
    <w:p>
      <w:pPr>
        <w:shd w:val="clear"/>
        <w:spacing w:line="360" w:lineRule="auto"/>
        <w:ind w:firstLine="494"/>
        <w:rPr>
          <w:rFonts w:cs="仿宋" w:asciiTheme="minorEastAsia" w:hAnsiTheme="minorEastAsia"/>
          <w:sz w:val="24"/>
        </w:rPr>
      </w:pPr>
    </w:p>
    <w:p>
      <w:pPr>
        <w:shd w:val="clear"/>
        <w:spacing w:line="360" w:lineRule="auto"/>
        <w:ind w:firstLine="494"/>
        <w:rPr>
          <w:rFonts w:cs="仿宋" w:asciiTheme="minorEastAsia" w:hAnsiTheme="minorEastAsia"/>
          <w:sz w:val="24"/>
        </w:rPr>
      </w:pPr>
    </w:p>
    <w:p>
      <w:pPr>
        <w:shd w:val="clear"/>
        <w:spacing w:line="360" w:lineRule="auto"/>
        <w:ind w:firstLine="494"/>
        <w:rPr>
          <w:rFonts w:cs="仿宋" w:asciiTheme="minorEastAsia" w:hAnsiTheme="minorEastAsia"/>
          <w:sz w:val="24"/>
        </w:rPr>
      </w:pPr>
    </w:p>
    <w:p>
      <w:pPr>
        <w:shd w:val="clea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shd w:val="clea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shd w:val="clear"/>
        <w:rPr>
          <w:rFonts w:cs="仿宋" w:asciiTheme="minorEastAsia" w:hAnsiTheme="minorEastAsia"/>
          <w:sz w:val="24"/>
        </w:rPr>
      </w:pPr>
      <w:r>
        <w:rPr>
          <w:rFonts w:hint="eastAsia" w:cs="仿宋" w:asciiTheme="minorEastAsia" w:hAnsiTheme="minorEastAsia"/>
          <w:b/>
          <w:bCs/>
          <w:sz w:val="24"/>
        </w:rPr>
        <w:t>附：</w:t>
      </w:r>
    </w:p>
    <w:p>
      <w:pPr>
        <w:shd w:val="clea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rPr>
          <w:rFonts w:cs="仿宋" w:asciiTheme="minorEastAsia" w:hAnsiTheme="minorEastAsia"/>
          <w:b/>
          <w:spacing w:val="6"/>
          <w:sz w:val="32"/>
          <w:szCs w:val="32"/>
        </w:rPr>
      </w:pPr>
    </w:p>
    <w:p>
      <w:pPr>
        <w:shd w:val="clea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hd w:val="clea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hd w:val="clea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hd w:val="clear"/>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2024年临江公司电动阀门采购项目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202407036-3</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4"/>
        <w:shd w:val="clear"/>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hd w:val="clea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hd w:val="clea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shd w:val="clea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shd w:val="clear"/>
      </w:pPr>
    </w:p>
    <w:p>
      <w:pPr>
        <w:pStyle w:val="8"/>
        <w:shd w:val="clear"/>
      </w:pPr>
    </w:p>
    <w:p>
      <w:pPr>
        <w:pStyle w:val="14"/>
        <w:shd w:val="clear"/>
      </w:pPr>
    </w:p>
    <w:p>
      <w:pPr>
        <w:shd w:val="clear"/>
      </w:pPr>
    </w:p>
    <w:p>
      <w:pPr>
        <w:pStyle w:val="10"/>
        <w:shd w:val="clear"/>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hd w:val="clea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hd w:val="clea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2024年临江公司电动阀门采购项目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202407036-3</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hd w:val="clea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4084" w:type="dxa"/>
            <w:vAlign w:val="center"/>
          </w:tcPr>
          <w:p>
            <w:pPr>
              <w:shd w:val="clea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hd w:val="clear"/>
              <w:spacing w:line="360" w:lineRule="auto"/>
              <w:rPr>
                <w:rFonts w:ascii="宋体" w:hAnsi="宋体" w:cs="宋体"/>
                <w:sz w:val="24"/>
              </w:rPr>
            </w:pPr>
            <w:r>
              <w:rPr>
                <w:rFonts w:hint="eastAsia" w:ascii="宋体" w:hAnsi="宋体" w:cs="宋体"/>
                <w:sz w:val="24"/>
              </w:rPr>
              <w:t>联系方式</w:t>
            </w:r>
          </w:p>
        </w:tc>
        <w:tc>
          <w:tcPr>
            <w:tcW w:w="1026" w:type="dxa"/>
            <w:vAlign w:val="center"/>
          </w:tcPr>
          <w:p>
            <w:pPr>
              <w:shd w:val="clea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4084" w:type="dxa"/>
            <w:vAlign w:val="center"/>
          </w:tcPr>
          <w:p>
            <w:pPr>
              <w:shd w:val="clea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hd w:val="clear"/>
              <w:spacing w:line="360" w:lineRule="auto"/>
              <w:rPr>
                <w:rFonts w:ascii="宋体" w:hAnsi="宋体" w:cs="宋体"/>
                <w:sz w:val="24"/>
              </w:rPr>
            </w:pPr>
            <w:r>
              <w:rPr>
                <w:rFonts w:hint="eastAsia" w:ascii="宋体" w:hAnsi="宋体" w:cs="宋体"/>
                <w:sz w:val="24"/>
              </w:rPr>
              <w:t>联系方式</w:t>
            </w:r>
          </w:p>
        </w:tc>
        <w:tc>
          <w:tcPr>
            <w:tcW w:w="1026" w:type="dxa"/>
            <w:vAlign w:val="center"/>
          </w:tcPr>
          <w:p>
            <w:pPr>
              <w:shd w:val="clea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lang w:val="en-US" w:eastAsia="zh-CN"/>
              </w:rPr>
              <w:t>伍仟玖佰元</w:t>
            </w:r>
            <w:r>
              <w:rPr>
                <w:rFonts w:hint="eastAsia" w:ascii="宋体" w:hAnsi="宋体" w:cs="宋体"/>
                <w:sz w:val="24"/>
              </w:rPr>
              <w:t>人民币</w:t>
            </w:r>
          </w:p>
          <w:p>
            <w:pPr>
              <w:shd w:val="clea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cs="宋体"/>
                <w:sz w:val="24"/>
                <w:lang w:val="en-US" w:eastAsia="zh-CN"/>
              </w:rPr>
              <w:t>5900元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hd w:val="clea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银行账号：</w:t>
            </w:r>
          </w:p>
        </w:tc>
      </w:tr>
    </w:tbl>
    <w:p>
      <w:pPr>
        <w:pStyle w:val="7"/>
        <w:shd w:val="clear"/>
        <w:rPr>
          <w:rFonts w:ascii="宋体" w:hAnsi="宋体" w:cs="宋体"/>
        </w:rPr>
      </w:pPr>
    </w:p>
    <w:p>
      <w:pPr>
        <w:pBdr>
          <w:top w:val="single" w:color="auto" w:sz="4" w:space="1"/>
          <w:left w:val="single" w:color="auto" w:sz="4" w:space="4"/>
          <w:bottom w:val="single" w:color="auto" w:sz="4" w:space="1"/>
          <w:right w:val="single" w:color="auto" w:sz="4" w:space="0"/>
        </w:pBdr>
        <w:shd w:val="clea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2024年临江公司电动阀门采购项目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202407036-3</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u w:val="single"/>
          <w:lang w:val="en-US" w:eastAsia="zh-CN"/>
        </w:rPr>
        <w:t>伍仟玖佰元</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lang w:val="en-US" w:eastAsia="zh-CN"/>
        </w:rPr>
        <w:t>5900/</w:t>
      </w:r>
      <w:r>
        <w:rPr>
          <w:rFonts w:hint="eastAsia" w:ascii="宋体" w:hAnsi="宋体" w:eastAsia="宋体" w:cs="宋体"/>
          <w:sz w:val="24"/>
          <w:u w:val="single"/>
          <w:lang w:val="en-US" w:eastAsia="zh-CN"/>
        </w:rPr>
        <w:t>元</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 xml:space="preserve"> 日期：                                                                       </w:t>
      </w:r>
    </w:p>
    <w:p>
      <w:pPr>
        <w:pStyle w:val="10"/>
        <w:shd w:val="clear"/>
        <w:rPr>
          <w:rFonts w:hint="eastAsia" w:hAnsi="宋体" w:cs="宋体"/>
          <w:b/>
          <w:bCs/>
          <w:sz w:val="24"/>
        </w:rPr>
      </w:pPr>
    </w:p>
    <w:p>
      <w:pPr>
        <w:pStyle w:val="10"/>
        <w:shd w:val="clear"/>
        <w:rPr>
          <w:rFonts w:hint="eastAsia" w:hAnsi="宋体" w:cs="宋体"/>
          <w:b/>
          <w:bCs/>
          <w:sz w:val="24"/>
        </w:rPr>
      </w:pPr>
    </w:p>
    <w:p>
      <w:pPr>
        <w:pStyle w:val="10"/>
        <w:shd w:val="clea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D22C2B91"/>
    <w:multiLevelType w:val="singleLevel"/>
    <w:tmpl w:val="D22C2B91"/>
    <w:lvl w:ilvl="0" w:tentative="0">
      <w:start w:val="1"/>
      <w:numFmt w:val="decimal"/>
      <w:lvlText w:val="%1."/>
      <w:lvlJc w:val="left"/>
      <w:pPr>
        <w:tabs>
          <w:tab w:val="left" w:pos="312"/>
        </w:tabs>
      </w:pPr>
    </w:lvl>
  </w:abstractNum>
  <w:abstractNum w:abstractNumId="2">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jODNjNjE4Y2U2ZWJjYTMzYTk3NGZjY2FkYmE1ZGUifQ=="/>
  </w:docVars>
  <w:rsids>
    <w:rsidRoot w:val="004E73AF"/>
    <w:rsid w:val="00211F61"/>
    <w:rsid w:val="00466F38"/>
    <w:rsid w:val="004E73AF"/>
    <w:rsid w:val="00505519"/>
    <w:rsid w:val="00816543"/>
    <w:rsid w:val="00935EC2"/>
    <w:rsid w:val="00C3645A"/>
    <w:rsid w:val="00D00625"/>
    <w:rsid w:val="00D24328"/>
    <w:rsid w:val="00DF3633"/>
    <w:rsid w:val="00E81C9E"/>
    <w:rsid w:val="013853AC"/>
    <w:rsid w:val="01603505"/>
    <w:rsid w:val="023E1286"/>
    <w:rsid w:val="029C7664"/>
    <w:rsid w:val="030669ED"/>
    <w:rsid w:val="032B7E17"/>
    <w:rsid w:val="034B5FC8"/>
    <w:rsid w:val="03CA5C6D"/>
    <w:rsid w:val="04755F31"/>
    <w:rsid w:val="04E634F4"/>
    <w:rsid w:val="051C6F0E"/>
    <w:rsid w:val="057311F3"/>
    <w:rsid w:val="05AC3859"/>
    <w:rsid w:val="05B622F4"/>
    <w:rsid w:val="06803F38"/>
    <w:rsid w:val="06897EFF"/>
    <w:rsid w:val="06A1751D"/>
    <w:rsid w:val="07013F3A"/>
    <w:rsid w:val="078B333A"/>
    <w:rsid w:val="07A67451"/>
    <w:rsid w:val="07C24B12"/>
    <w:rsid w:val="07D15ABF"/>
    <w:rsid w:val="087E795F"/>
    <w:rsid w:val="09104908"/>
    <w:rsid w:val="093128BE"/>
    <w:rsid w:val="095D4E48"/>
    <w:rsid w:val="09E83E11"/>
    <w:rsid w:val="09EC7123"/>
    <w:rsid w:val="09ED56C9"/>
    <w:rsid w:val="0B530D41"/>
    <w:rsid w:val="0BF7590B"/>
    <w:rsid w:val="0BFE313E"/>
    <w:rsid w:val="0C177D5B"/>
    <w:rsid w:val="0C286D18"/>
    <w:rsid w:val="0C2A044F"/>
    <w:rsid w:val="0C492847"/>
    <w:rsid w:val="0CF31D21"/>
    <w:rsid w:val="0D89320B"/>
    <w:rsid w:val="0D8B0B2E"/>
    <w:rsid w:val="0F111837"/>
    <w:rsid w:val="0F2F6501"/>
    <w:rsid w:val="0F81598B"/>
    <w:rsid w:val="0F8C5026"/>
    <w:rsid w:val="0FB91E94"/>
    <w:rsid w:val="0FED68AB"/>
    <w:rsid w:val="10C76755"/>
    <w:rsid w:val="119A1F0A"/>
    <w:rsid w:val="11B04EDA"/>
    <w:rsid w:val="11C46A46"/>
    <w:rsid w:val="11F35B37"/>
    <w:rsid w:val="12D0166B"/>
    <w:rsid w:val="12E110C3"/>
    <w:rsid w:val="135A601C"/>
    <w:rsid w:val="143E2438"/>
    <w:rsid w:val="148828BC"/>
    <w:rsid w:val="14DF7D0B"/>
    <w:rsid w:val="152B7330"/>
    <w:rsid w:val="152C0D1B"/>
    <w:rsid w:val="15CB2DA0"/>
    <w:rsid w:val="16135A37"/>
    <w:rsid w:val="166F3635"/>
    <w:rsid w:val="16806E74"/>
    <w:rsid w:val="17AF353E"/>
    <w:rsid w:val="185870FA"/>
    <w:rsid w:val="185A544F"/>
    <w:rsid w:val="18890233"/>
    <w:rsid w:val="18A60DE5"/>
    <w:rsid w:val="190D49C0"/>
    <w:rsid w:val="194875CE"/>
    <w:rsid w:val="198737C7"/>
    <w:rsid w:val="19976A31"/>
    <w:rsid w:val="19DC6BDA"/>
    <w:rsid w:val="1A4B1C44"/>
    <w:rsid w:val="1AA56FDE"/>
    <w:rsid w:val="1B1B25BA"/>
    <w:rsid w:val="1B7913A6"/>
    <w:rsid w:val="1CDA1CCB"/>
    <w:rsid w:val="1D61352C"/>
    <w:rsid w:val="1D882867"/>
    <w:rsid w:val="1DCF6B00"/>
    <w:rsid w:val="1DFA0457"/>
    <w:rsid w:val="1E5F5CBE"/>
    <w:rsid w:val="1E8307F5"/>
    <w:rsid w:val="1F457921"/>
    <w:rsid w:val="20185FB4"/>
    <w:rsid w:val="20D12777"/>
    <w:rsid w:val="20DA440D"/>
    <w:rsid w:val="20FB672E"/>
    <w:rsid w:val="213339C4"/>
    <w:rsid w:val="213E728A"/>
    <w:rsid w:val="21677697"/>
    <w:rsid w:val="21C81DCC"/>
    <w:rsid w:val="22660767"/>
    <w:rsid w:val="228D26CE"/>
    <w:rsid w:val="22916FA5"/>
    <w:rsid w:val="23C64579"/>
    <w:rsid w:val="24011D4E"/>
    <w:rsid w:val="247C6E9E"/>
    <w:rsid w:val="25650E5F"/>
    <w:rsid w:val="25C26B32"/>
    <w:rsid w:val="26010880"/>
    <w:rsid w:val="26B943F0"/>
    <w:rsid w:val="26F15921"/>
    <w:rsid w:val="27BD0E59"/>
    <w:rsid w:val="286363AA"/>
    <w:rsid w:val="28D92620"/>
    <w:rsid w:val="294E0F60"/>
    <w:rsid w:val="2987716A"/>
    <w:rsid w:val="29AE18A7"/>
    <w:rsid w:val="2A6366FF"/>
    <w:rsid w:val="2A712F5F"/>
    <w:rsid w:val="2B3D5BF4"/>
    <w:rsid w:val="2C194B51"/>
    <w:rsid w:val="2C4141D8"/>
    <w:rsid w:val="2C6D4397"/>
    <w:rsid w:val="2C950AFD"/>
    <w:rsid w:val="2D210C4A"/>
    <w:rsid w:val="2E356E8E"/>
    <w:rsid w:val="2E9F315C"/>
    <w:rsid w:val="2EBA484A"/>
    <w:rsid w:val="2F4D3609"/>
    <w:rsid w:val="2F5836E9"/>
    <w:rsid w:val="2FFB1D5A"/>
    <w:rsid w:val="300206D5"/>
    <w:rsid w:val="30062480"/>
    <w:rsid w:val="30556F21"/>
    <w:rsid w:val="308C5F1F"/>
    <w:rsid w:val="31111553"/>
    <w:rsid w:val="31191AA6"/>
    <w:rsid w:val="314B6E80"/>
    <w:rsid w:val="32365CB6"/>
    <w:rsid w:val="32843E96"/>
    <w:rsid w:val="32C410E7"/>
    <w:rsid w:val="32EC2577"/>
    <w:rsid w:val="334341C1"/>
    <w:rsid w:val="34454474"/>
    <w:rsid w:val="34AF40BC"/>
    <w:rsid w:val="36162BCB"/>
    <w:rsid w:val="364530C9"/>
    <w:rsid w:val="36A71B58"/>
    <w:rsid w:val="37103BA1"/>
    <w:rsid w:val="37514AF4"/>
    <w:rsid w:val="377C0298"/>
    <w:rsid w:val="378346FD"/>
    <w:rsid w:val="37B04D36"/>
    <w:rsid w:val="37C65D75"/>
    <w:rsid w:val="37D2523E"/>
    <w:rsid w:val="39C31C6C"/>
    <w:rsid w:val="3A6303AE"/>
    <w:rsid w:val="3A8C13B4"/>
    <w:rsid w:val="3A993EAE"/>
    <w:rsid w:val="3AB61186"/>
    <w:rsid w:val="3C283344"/>
    <w:rsid w:val="3C485F9D"/>
    <w:rsid w:val="3C7C70D7"/>
    <w:rsid w:val="3C940DD1"/>
    <w:rsid w:val="3E0C6463"/>
    <w:rsid w:val="3EE43BF5"/>
    <w:rsid w:val="403E57B7"/>
    <w:rsid w:val="411A0F39"/>
    <w:rsid w:val="415A5C88"/>
    <w:rsid w:val="41CE08E1"/>
    <w:rsid w:val="42112513"/>
    <w:rsid w:val="42EE2B55"/>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1506E7"/>
    <w:rsid w:val="4A4848F1"/>
    <w:rsid w:val="4A875AD1"/>
    <w:rsid w:val="4A903604"/>
    <w:rsid w:val="4AE27CAC"/>
    <w:rsid w:val="4B1B2ECF"/>
    <w:rsid w:val="4B2E6F39"/>
    <w:rsid w:val="4B5271CF"/>
    <w:rsid w:val="4B6E282F"/>
    <w:rsid w:val="4BAC48C9"/>
    <w:rsid w:val="4BB27DC6"/>
    <w:rsid w:val="4C0157E0"/>
    <w:rsid w:val="4CD52BD1"/>
    <w:rsid w:val="4CEA2347"/>
    <w:rsid w:val="4D19039B"/>
    <w:rsid w:val="4D243428"/>
    <w:rsid w:val="4D2B35F0"/>
    <w:rsid w:val="4D2D7FC0"/>
    <w:rsid w:val="4D3418B2"/>
    <w:rsid w:val="4E1E04FA"/>
    <w:rsid w:val="4E604FB7"/>
    <w:rsid w:val="4EFA25EF"/>
    <w:rsid w:val="4F2C043D"/>
    <w:rsid w:val="4F9246A8"/>
    <w:rsid w:val="4FBC621D"/>
    <w:rsid w:val="4FC275AB"/>
    <w:rsid w:val="4FEB08B0"/>
    <w:rsid w:val="50A13664"/>
    <w:rsid w:val="51937E4D"/>
    <w:rsid w:val="51DA016E"/>
    <w:rsid w:val="52383592"/>
    <w:rsid w:val="523875F5"/>
    <w:rsid w:val="52506204"/>
    <w:rsid w:val="52BE22AC"/>
    <w:rsid w:val="52DA08BD"/>
    <w:rsid w:val="53D12FCE"/>
    <w:rsid w:val="53D9518B"/>
    <w:rsid w:val="53EA19C7"/>
    <w:rsid w:val="53FA1DF3"/>
    <w:rsid w:val="54AB2D04"/>
    <w:rsid w:val="54CF3A22"/>
    <w:rsid w:val="557B35BC"/>
    <w:rsid w:val="56390090"/>
    <w:rsid w:val="565C1CF5"/>
    <w:rsid w:val="56E235EF"/>
    <w:rsid w:val="571F3A0C"/>
    <w:rsid w:val="576B0378"/>
    <w:rsid w:val="57DC32D5"/>
    <w:rsid w:val="57F2034A"/>
    <w:rsid w:val="580A596F"/>
    <w:rsid w:val="58207565"/>
    <w:rsid w:val="58235318"/>
    <w:rsid w:val="588B2C03"/>
    <w:rsid w:val="58F31538"/>
    <w:rsid w:val="59121C77"/>
    <w:rsid w:val="59DE0E09"/>
    <w:rsid w:val="59DF6851"/>
    <w:rsid w:val="5A283DD0"/>
    <w:rsid w:val="5ACD76EE"/>
    <w:rsid w:val="5AD36B10"/>
    <w:rsid w:val="5B366E46"/>
    <w:rsid w:val="5B3D7F5F"/>
    <w:rsid w:val="5B460326"/>
    <w:rsid w:val="5C7B276E"/>
    <w:rsid w:val="5C9A592C"/>
    <w:rsid w:val="5E8E347A"/>
    <w:rsid w:val="5EC9591E"/>
    <w:rsid w:val="5F0279C4"/>
    <w:rsid w:val="5F284356"/>
    <w:rsid w:val="5F944466"/>
    <w:rsid w:val="5FBE7D8F"/>
    <w:rsid w:val="60470EFE"/>
    <w:rsid w:val="60844C26"/>
    <w:rsid w:val="60A9029A"/>
    <w:rsid w:val="60DA29A7"/>
    <w:rsid w:val="60FA16F8"/>
    <w:rsid w:val="6139287F"/>
    <w:rsid w:val="619C1A0A"/>
    <w:rsid w:val="61CA0C65"/>
    <w:rsid w:val="62C642C8"/>
    <w:rsid w:val="631B2246"/>
    <w:rsid w:val="6320666B"/>
    <w:rsid w:val="63CF15A0"/>
    <w:rsid w:val="64E609A5"/>
    <w:rsid w:val="65A92947"/>
    <w:rsid w:val="6614173A"/>
    <w:rsid w:val="661A50B7"/>
    <w:rsid w:val="66976C44"/>
    <w:rsid w:val="66F30BCE"/>
    <w:rsid w:val="673C0170"/>
    <w:rsid w:val="673E5F91"/>
    <w:rsid w:val="677A6041"/>
    <w:rsid w:val="67D6317A"/>
    <w:rsid w:val="67D649B5"/>
    <w:rsid w:val="68ED6365"/>
    <w:rsid w:val="6A4E3ABD"/>
    <w:rsid w:val="6AE63D7E"/>
    <w:rsid w:val="6B462C2B"/>
    <w:rsid w:val="6B8359E9"/>
    <w:rsid w:val="6BD277B9"/>
    <w:rsid w:val="6C213DDC"/>
    <w:rsid w:val="6C321620"/>
    <w:rsid w:val="6DA02882"/>
    <w:rsid w:val="6DA12E69"/>
    <w:rsid w:val="6DBB3B60"/>
    <w:rsid w:val="6DF749BB"/>
    <w:rsid w:val="6F0B4673"/>
    <w:rsid w:val="6F4831D1"/>
    <w:rsid w:val="700E4F44"/>
    <w:rsid w:val="70173239"/>
    <w:rsid w:val="70D5629C"/>
    <w:rsid w:val="7102338E"/>
    <w:rsid w:val="711D3FA5"/>
    <w:rsid w:val="721A5B23"/>
    <w:rsid w:val="72B931C1"/>
    <w:rsid w:val="734A515C"/>
    <w:rsid w:val="738D03F5"/>
    <w:rsid w:val="73E442FB"/>
    <w:rsid w:val="73EF1E6D"/>
    <w:rsid w:val="74173DA2"/>
    <w:rsid w:val="76471CF3"/>
    <w:rsid w:val="76723FC6"/>
    <w:rsid w:val="767E5B01"/>
    <w:rsid w:val="778F44F9"/>
    <w:rsid w:val="77D55853"/>
    <w:rsid w:val="77F2017E"/>
    <w:rsid w:val="78357E46"/>
    <w:rsid w:val="78D36201"/>
    <w:rsid w:val="79017606"/>
    <w:rsid w:val="790772D9"/>
    <w:rsid w:val="79195C7B"/>
    <w:rsid w:val="79D7762B"/>
    <w:rsid w:val="79EB254B"/>
    <w:rsid w:val="7BA202E2"/>
    <w:rsid w:val="7BA82ABD"/>
    <w:rsid w:val="7BF8110A"/>
    <w:rsid w:val="7C492A5C"/>
    <w:rsid w:val="7C757EAB"/>
    <w:rsid w:val="7CDC25FD"/>
    <w:rsid w:val="7D0A41BC"/>
    <w:rsid w:val="7D0A4B32"/>
    <w:rsid w:val="7D797C2B"/>
    <w:rsid w:val="7D823D52"/>
    <w:rsid w:val="7DAC6A56"/>
    <w:rsid w:val="7E310F9A"/>
    <w:rsid w:val="7E381ACE"/>
    <w:rsid w:val="7ED9418D"/>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3"/>
    <w:autoRedefine/>
    <w:qFormat/>
    <w:uiPriority w:val="0"/>
  </w:style>
  <w:style w:type="character" w:customStyle="1" w:styleId="33">
    <w:name w:val="font11"/>
    <w:basedOn w:val="17"/>
    <w:autoRedefine/>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26731</Words>
  <Characters>27978</Characters>
  <Lines>224</Lines>
  <Paragraphs>63</Paragraphs>
  <TotalTime>8</TotalTime>
  <ScaleCrop>false</ScaleCrop>
  <LinksUpToDate>false</LinksUpToDate>
  <CharactersWithSpaces>31224</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8237476547</cp:lastModifiedBy>
  <dcterms:modified xsi:type="dcterms:W3CDTF">2024-09-06T01:54:10Z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84A4714C30764EB0859368879CA3AF87_13</vt:lpwstr>
  </property>
</Properties>
</file>