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hint="default"/>
          <w:color w:val="auto"/>
          <w:highlight w:val="none"/>
          <w:lang w:val="en-US"/>
        </w:rPr>
      </w:pPr>
      <w:r>
        <w:rPr>
          <w:rFonts w:hint="eastAsia" w:cs="宋体" w:asciiTheme="minorEastAsia" w:hAnsiTheme="minorEastAsia"/>
          <w:color w:val="auto"/>
          <w:sz w:val="48"/>
          <w:szCs w:val="48"/>
          <w:highlight w:val="none"/>
          <w:u w:val="single"/>
          <w:lang w:eastAsia="zh-CN"/>
        </w:rPr>
        <w:t>2024年临江公司SICK</w:t>
      </w:r>
      <w:r>
        <w:rPr>
          <w:rFonts w:hint="eastAsia" w:cs="宋体" w:asciiTheme="minorEastAsia" w:hAnsiTheme="minorEastAsia"/>
          <w:color w:val="auto"/>
          <w:sz w:val="48"/>
          <w:szCs w:val="48"/>
          <w:highlight w:val="none"/>
          <w:u w:val="single"/>
          <w:lang w:val="en-US" w:eastAsia="zh-CN"/>
        </w:rPr>
        <w:t>备件</w:t>
      </w:r>
      <w:r>
        <w:rPr>
          <w:rFonts w:hint="eastAsia" w:cs="宋体" w:asciiTheme="minorEastAsia" w:hAnsiTheme="minorEastAsia"/>
          <w:color w:val="auto"/>
          <w:sz w:val="48"/>
          <w:szCs w:val="48"/>
          <w:highlight w:val="none"/>
          <w:u w:val="single"/>
          <w:lang w:eastAsia="zh-CN"/>
        </w:rPr>
        <w:t>采购</w:t>
      </w:r>
      <w:r>
        <w:rPr>
          <w:rFonts w:hint="eastAsia" w:cs="宋体" w:asciiTheme="minorEastAsia" w:hAnsiTheme="minorEastAsia"/>
          <w:color w:val="auto"/>
          <w:sz w:val="48"/>
          <w:szCs w:val="48"/>
          <w:highlight w:val="none"/>
          <w:u w:val="single"/>
          <w:lang w:val="en-US" w:eastAsia="zh-CN"/>
        </w:rPr>
        <w:t>项目</w:t>
      </w:r>
    </w:p>
    <w:p>
      <w:pPr>
        <w:adjustRightInd w:val="0"/>
        <w:snapToGrid w:val="0"/>
        <w:spacing w:line="360" w:lineRule="auto"/>
        <w:jc w:val="center"/>
        <w:rPr>
          <w:rFonts w:cs="宋体" w:asciiTheme="minorEastAsia" w:hAnsiTheme="minorEastAsia"/>
          <w:color w:val="auto"/>
          <w:sz w:val="48"/>
          <w:szCs w:val="48"/>
          <w:highlight w:val="none"/>
        </w:rPr>
      </w:pPr>
    </w:p>
    <w:p>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NY-1HGX2405004</w:t>
      </w:r>
    </w:p>
    <w:p>
      <w:pPr>
        <w:spacing w:line="360" w:lineRule="auto"/>
        <w:jc w:val="center"/>
        <w:rPr>
          <w:rFonts w:cs="仿宋" w:asciiTheme="minorEastAsia" w:hAnsiTheme="minorEastAsia"/>
          <w:b/>
          <w:bCs/>
          <w:color w:val="auto"/>
          <w:sz w:val="72"/>
          <w:szCs w:val="72"/>
          <w:highlight w:val="none"/>
        </w:rPr>
      </w:pPr>
    </w:p>
    <w:p>
      <w:pPr>
        <w:pStyle w:val="5"/>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9"/>
        <w:rPr>
          <w:rFonts w:cs="仿宋" w:asciiTheme="minorEastAsia" w:hAnsiTheme="minorEastAsia"/>
          <w:color w:val="auto"/>
          <w:sz w:val="24"/>
          <w:szCs w:val="24"/>
          <w:highlight w:val="none"/>
        </w:rPr>
      </w:pPr>
    </w:p>
    <w:p>
      <w:pPr>
        <w:pStyle w:val="9"/>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cs="仿宋" w:asciiTheme="minorEastAsia" w:hAnsiTheme="minorEastAsia"/>
          <w:color w:val="auto"/>
          <w:sz w:val="32"/>
          <w:szCs w:val="32"/>
          <w:highlight w:val="none"/>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12</w:t>
      </w:r>
      <w:bookmarkStart w:id="517" w:name="_GoBack"/>
      <w:bookmarkEnd w:id="517"/>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2024年临江公司SICK</w:t>
      </w:r>
      <w:r>
        <w:rPr>
          <w:rFonts w:hint="eastAsia" w:cs="仿宋" w:asciiTheme="minorEastAsia" w:hAnsiTheme="minorEastAsia"/>
          <w:color w:val="auto"/>
          <w:sz w:val="24"/>
          <w:highlight w:val="none"/>
          <w:u w:val="single"/>
          <w:lang w:val="en-US" w:eastAsia="zh-CN"/>
        </w:rPr>
        <w:t>备件</w:t>
      </w:r>
      <w:r>
        <w:rPr>
          <w:rFonts w:hint="eastAsia" w:cs="仿宋" w:asciiTheme="minorEastAsia" w:hAnsiTheme="minorEastAsia"/>
          <w:color w:val="auto"/>
          <w:sz w:val="24"/>
          <w:highlight w:val="none"/>
          <w:u w:val="single"/>
          <w:lang w:eastAsia="zh-CN"/>
        </w:rPr>
        <w:t>采购</w:t>
      </w:r>
      <w:r>
        <w:rPr>
          <w:rFonts w:hint="eastAsia" w:cs="仿宋" w:asciiTheme="minorEastAsia" w:hAnsiTheme="minorEastAsia"/>
          <w:color w:val="auto"/>
          <w:sz w:val="24"/>
          <w:highlight w:val="none"/>
          <w:u w:val="single"/>
        </w:rPr>
        <w:t>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本项目相关公告在中国招标投标公共服务平台（http://www.cebpubservice.com/）、浙江政府采购网（http://zfcg.czt.zj.gov.cn/）、杭州市环境集团有限公司官网（https://www.cnlandfill.net/index.aspx）、杭州临江环境能源有限公司网站（https://www.ljhjny.com/）、杭州城投采购平台(https://jczx.hzcjtz.com/home/#/index)发布，如公告内容、时间不一致的以杭州城投采购平台发布的信息、时间为准。欢迎对本项目有兴趣且符合资质条件的潜在供应商参加本次采购项目。</w:t>
      </w:r>
    </w:p>
    <w:p>
      <w:pPr>
        <w:pStyle w:val="2"/>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NY-1HGX2405004</w:t>
      </w: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2024年临江公司SICK</w:t>
      </w:r>
      <w:r>
        <w:rPr>
          <w:rFonts w:hint="eastAsia" w:cs="仿宋" w:asciiTheme="minorEastAsia" w:hAnsiTheme="minorEastAsia"/>
          <w:color w:val="auto"/>
          <w:sz w:val="24"/>
          <w:highlight w:val="none"/>
          <w:u w:val="single"/>
          <w:lang w:val="en-US" w:eastAsia="zh-CN"/>
        </w:rPr>
        <w:t>备件</w:t>
      </w:r>
      <w:r>
        <w:rPr>
          <w:rFonts w:hint="eastAsia" w:cs="仿宋" w:asciiTheme="minorEastAsia" w:hAnsiTheme="minorEastAsia"/>
          <w:color w:val="auto"/>
          <w:sz w:val="24"/>
          <w:highlight w:val="none"/>
          <w:u w:val="single"/>
          <w:lang w:eastAsia="zh-CN"/>
        </w:rPr>
        <w:t>采购</w:t>
      </w:r>
      <w:r>
        <w:rPr>
          <w:rFonts w:cs="仿宋" w:asciiTheme="minorEastAsia" w:hAnsiTheme="minorEastAsia"/>
          <w:color w:val="auto"/>
          <w:sz w:val="24"/>
          <w:highlight w:val="none"/>
          <w:u w:val="single"/>
        </w:rPr>
        <w:t xml:space="preserve"> </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bCs/>
          <w:color w:val="auto"/>
          <w:sz w:val="24"/>
          <w:highlight w:val="none"/>
          <w:lang w:eastAsia="zh-CN"/>
        </w:rPr>
        <w:t>：</w:t>
      </w:r>
      <w:r>
        <w:rPr>
          <w:rFonts w:hint="eastAsia" w:hAnsi="宋体" w:cs="宋体"/>
          <w:bCs/>
          <w:color w:val="auto"/>
          <w:sz w:val="24"/>
          <w:highlight w:val="none"/>
          <w:u w:val="single"/>
          <w:lang w:val="en-US" w:eastAsia="zh-CN"/>
        </w:rPr>
        <w:t>129.21</w:t>
      </w:r>
      <w:r>
        <w:rPr>
          <w:rFonts w:hint="eastAsia" w:hAnsi="宋体" w:cs="宋体"/>
          <w:bCs/>
          <w:color w:val="auto"/>
          <w:sz w:val="24"/>
          <w:highlight w:val="none"/>
        </w:rPr>
        <w:t>万元</w:t>
      </w:r>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eastAsia="zh-CN"/>
        </w:rPr>
        <w:t>SICK</w:t>
      </w:r>
      <w:r>
        <w:rPr>
          <w:rFonts w:hint="eastAsia" w:hAnsi="宋体" w:cs="宋体"/>
          <w:bCs/>
          <w:color w:val="auto"/>
          <w:sz w:val="24"/>
          <w:highlight w:val="none"/>
          <w:lang w:val="en-US" w:eastAsia="zh-CN"/>
        </w:rPr>
        <w:t>备件一批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。在采购人发出送货通知后，</w:t>
      </w:r>
      <w:r>
        <w:rPr>
          <w:rFonts w:hint="eastAsia" w:cs="仿宋" w:asciiTheme="minorEastAsia" w:hAnsiTheme="minorEastAsia"/>
          <w:color w:val="auto"/>
          <w:sz w:val="24"/>
          <w:highlight w:val="none"/>
          <w:u w:val="single"/>
          <w:lang w:eastAsia="zh-CN"/>
        </w:rPr>
        <w:t>供应商按采购人订单</w:t>
      </w:r>
      <w:r>
        <w:rPr>
          <w:rFonts w:hint="eastAsia" w:cs="仿宋" w:asciiTheme="minorEastAsia" w:hAnsiTheme="minorEastAsia"/>
          <w:color w:val="auto"/>
          <w:sz w:val="24"/>
          <w:highlight w:val="none"/>
          <w:u w:val="single"/>
        </w:rPr>
        <w:t>将货物如数送至采购人指定地点。</w:t>
      </w:r>
    </w:p>
    <w:p>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64188643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ind w:firstLine="482" w:firstLineChars="200"/>
        <w:rPr>
          <w:rFonts w:cs="仿宋" w:asciiTheme="minorEastAsia" w:hAnsiTheme="minorEastAsia"/>
          <w:b/>
          <w:bCs/>
          <w:color w:val="auto"/>
          <w:sz w:val="24"/>
          <w:highlight w:val="none"/>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28359081"/>
      <w:bookmarkStart w:id="12" w:name="_Toc35393623"/>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highlight w:val="none"/>
          <w:lang w:val="en-US" w:eastAsia="zh-CN"/>
        </w:rPr>
        <w:t>记录</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color w:val="auto"/>
          <w:sz w:val="24"/>
          <w:highlight w:val="none"/>
          <w:u w:val="single"/>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pPr>
        <w:pStyle w:val="2"/>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bCs w:val="0"/>
          <w:color w:val="auto"/>
          <w:kern w:val="2"/>
          <w:sz w:val="24"/>
          <w:szCs w:val="24"/>
          <w:highlight w:val="none"/>
          <w:lang w:val="en-US" w:eastAsia="zh-CN" w:bidi="ar-SA"/>
        </w:rPr>
        <w:t xml:space="preserve">1.时间：报价截止时间前。   </w:t>
      </w:r>
    </w:p>
    <w:p>
      <w:pPr>
        <w:pStyle w:val="2"/>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2.地点（网址）：浙江政府采购网（http://zfcg.czt.zj.gov.cn/）、杭州市环境集团有限公司官网（https://www.cnlandfill.net/index.aspx）、杭州临江环境能源有限公司网站（https://www.ljhjny.com/）、城投招采平台（https://jczx.hzcjt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2024年6月21日12：00</w:t>
      </w:r>
      <w:r>
        <w:rPr>
          <w:rFonts w:hint="eastAsia" w:cs="仿宋" w:asciiTheme="minorEastAsia" w:hAnsiTheme="minorEastAsia" w:eastAsiaTheme="minorEastAsia"/>
          <w:b w:val="0"/>
          <w:bCs w:val="0"/>
          <w:color w:val="auto"/>
          <w:kern w:val="2"/>
          <w:sz w:val="24"/>
          <w:szCs w:val="24"/>
          <w:highlight w:val="none"/>
          <w:lang w:val="en-US" w:eastAsia="zh-CN" w:bidi="ar-SA"/>
        </w:rPr>
        <w:t>）。</w:t>
      </w:r>
    </w:p>
    <w:p>
      <w:pPr>
        <w:pStyle w:val="2"/>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五、本项目设置报名环节，具体要求如下:</w:t>
      </w:r>
    </w:p>
    <w:p>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1.报名期限:2024年6月12日至2024年7月1日上午9:00-12:00,下午14:00-17:00(北京时间);(2)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报名方式:报名截止日前完成登记认证后在杭州城投采购平台网站首页(https://jczx.hzcjtz.com/home/#/index)进行网上报名。如因供应商未按平台要求报名成功导致无法报价或响应文件开启异常的，供应商自行承担导致的后果。</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3.报名时须提交的资料:</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1.截止时间：202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w:t>
      </w:r>
      <w:r>
        <w:rPr>
          <w:rFonts w:hint="eastAsia" w:cs="仿宋" w:asciiTheme="minorEastAsia" w:hAnsiTheme="minorEastAsia"/>
          <w:color w:val="auto"/>
          <w:sz w:val="24"/>
          <w:highlight w:val="none"/>
        </w:rPr>
        <w:t xml:space="preserve"> 秒（北京时间）。</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杭州市上城区雷霆路90号新宸商务中心3楼开标室</w:t>
      </w:r>
      <w:r>
        <w:rPr>
          <w:rFonts w:hint="eastAsia" w:cs="仿宋" w:asciiTheme="minorEastAsia" w:hAnsiTheme="minorEastAsia"/>
          <w:color w:val="auto"/>
          <w:sz w:val="24"/>
          <w:highlight w:val="none"/>
        </w:rPr>
        <w:t>。</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递交方式：响应文件可采用现场递交。</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 xml:space="preserve"> 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 xml:space="preserve"> 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 秒</w:t>
      </w:r>
      <w:r>
        <w:rPr>
          <w:rFonts w:hint="eastAsia" w:cs="仿宋" w:asciiTheme="minorEastAsia" w:hAnsiTheme="minorEastAsia"/>
          <w:color w:val="auto"/>
          <w:sz w:val="24"/>
          <w:highlight w:val="none"/>
        </w:rPr>
        <w:t>（北京时间）。</w:t>
      </w:r>
    </w:p>
    <w:p>
      <w:pPr>
        <w:pStyle w:val="27"/>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316</w:t>
      </w:r>
      <w:r>
        <w:rPr>
          <w:rFonts w:hint="eastAsia" w:cs="仿宋" w:asciiTheme="minorEastAsia" w:hAnsiTheme="minorEastAsia" w:eastAsiaTheme="minorEastAsia"/>
          <w:color w:val="auto"/>
          <w:kern w:val="2"/>
          <w:sz w:val="24"/>
          <w:szCs w:val="24"/>
          <w:highlight w:val="none"/>
          <w:lang w:val="en-US" w:eastAsia="zh-CN" w:bidi="ar-SA"/>
        </w:rPr>
        <w:t>开标室</w:t>
      </w:r>
      <w:r>
        <w:rPr>
          <w:rFonts w:hint="eastAsia" w:cs="仿宋" w:asciiTheme="minorEastAsia" w:hAnsiTheme="minorEastAsia"/>
          <w:color w:val="auto"/>
          <w:kern w:val="2"/>
          <w:sz w:val="24"/>
          <w:szCs w:val="24"/>
          <w:highlight w:val="none"/>
          <w:lang w:val="en-US" w:eastAsia="zh-CN" w:bidi="ar-SA"/>
        </w:rPr>
        <w:t>（2）</w:t>
      </w:r>
      <w:r>
        <w:rPr>
          <w:rFonts w:hint="eastAsia" w:cs="仿宋" w:asciiTheme="minorEastAsia" w:hAnsiTheme="minorEastAsia" w:eastAsiaTheme="minorEastAsia"/>
          <w:color w:val="auto"/>
          <w:kern w:val="2"/>
          <w:sz w:val="24"/>
          <w:szCs w:val="24"/>
          <w:highlight w:val="none"/>
          <w:lang w:val="en-US" w:eastAsia="zh-CN" w:bidi="ar-SA"/>
        </w:rPr>
        <w:t>。</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叶工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4</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12</w:t>
      </w:r>
      <w:r>
        <w:rPr>
          <w:rFonts w:hint="eastAsia" w:cs="仿宋" w:asciiTheme="minorEastAsia" w:hAnsiTheme="minorEastAsia"/>
          <w:color w:val="auto"/>
          <w:sz w:val="24"/>
          <w:highlight w:val="none"/>
        </w:rPr>
        <w:t>日</w:t>
      </w:r>
    </w:p>
    <w:p>
      <w:pPr>
        <w:pStyle w:val="12"/>
        <w:rPr>
          <w:color w:val="auto"/>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7"/>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25800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2024年临江公司</w:t>
            </w:r>
            <w:r>
              <w:rPr>
                <w:rFonts w:hint="eastAsia" w:ascii="宋体" w:hAnsi="宋体" w:eastAsia="宋体" w:cs="宋体"/>
                <w:b/>
                <w:bCs/>
                <w:color w:val="auto"/>
                <w:szCs w:val="21"/>
                <w:highlight w:val="none"/>
                <w:u w:val="single"/>
                <w:lang w:eastAsia="zh-CN"/>
              </w:rPr>
              <w:t>SICK</w:t>
            </w:r>
            <w:r>
              <w:rPr>
                <w:rFonts w:hint="eastAsia" w:ascii="宋体" w:hAnsi="宋体" w:eastAsia="宋体" w:cs="宋体"/>
                <w:b/>
                <w:bCs/>
                <w:color w:val="auto"/>
                <w:szCs w:val="21"/>
                <w:highlight w:val="none"/>
                <w:u w:val="single"/>
              </w:rPr>
              <w:t>备件采购</w:t>
            </w:r>
            <w:r>
              <w:rPr>
                <w:rFonts w:hint="eastAsia" w:ascii="宋体" w:hAnsi="宋体" w:eastAsia="宋体" w:cs="宋体"/>
                <w:b/>
                <w:bCs/>
                <w:color w:val="auto"/>
                <w:szCs w:val="21"/>
                <w:highlight w:val="none"/>
                <w:u w:val="single"/>
                <w:lang w:val="en-US" w:eastAsia="zh-CN"/>
              </w:rPr>
              <w:t>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投标文件份数：1正4副 </w:t>
                </w:r>
              </w:p>
              <w:p>
                <w:pPr>
                  <w:spacing w:line="360" w:lineRule="auto"/>
                  <w:outlineLvl w:val="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color w:val="auto"/>
                <w:highlight w:val="none"/>
              </w:rPr>
              <w:t>综合评分法。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b/>
                <w:bCs/>
                <w:snapToGrid w:val="0"/>
                <w:color w:val="auto"/>
                <w:kern w:val="0"/>
                <w:sz w:val="24"/>
                <w:highlight w:val="none"/>
                <w:lang w:val="en-US" w:eastAsia="zh-CN"/>
              </w:rPr>
              <w:t>评审小组</w:t>
            </w:r>
            <w:r>
              <w:rPr>
                <w:rFonts w:hint="eastAsia" w:ascii="宋体" w:hAnsi="宋体" w:eastAsia="宋体" w:cs="宋体"/>
                <w:b/>
                <w:bCs/>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人依法组建，评标委员会由 5 人及以上单数组成，其中</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lang w:val="zh-CN"/>
              </w:rPr>
              <w:t>人代表不超过三分之一。</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组成方式：由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人代表和有关技术、经济方面的专家组成。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履约保证金金额：约合同价的</w:t>
            </w:r>
            <w:r>
              <w:rPr>
                <w:rFonts w:ascii="宋体" w:hAnsi="宋体" w:cs="宋体"/>
                <w:color w:val="auto"/>
                <w:highlight w:val="none"/>
              </w:rPr>
              <w:t>5</w:t>
            </w:r>
            <w:r>
              <w:rPr>
                <w:rFonts w:hint="eastAsia" w:ascii="宋体" w:hAnsi="宋体" w:cs="宋体"/>
                <w:color w:val="auto"/>
                <w:highlight w:val="none"/>
              </w:rPr>
              <w:t>%</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19"/>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7"/>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7"/>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7"/>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rPr>
          <w:color w:val="auto"/>
          <w:highlight w:val="none"/>
        </w:rPr>
      </w:pPr>
    </w:p>
    <w:p>
      <w:pPr>
        <w:rPr>
          <w:color w:val="auto"/>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5"/>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详见采购公告中获取询价采购文件的时间期限、地点、方式。</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6.响应截</w:t>
      </w:r>
      <w:r>
        <w:rPr>
          <w:rFonts w:hint="eastAsia" w:cs="仿宋" w:asciiTheme="minorEastAsia" w:hAnsiTheme="minorEastAsia"/>
          <w:b/>
          <w:color w:val="auto"/>
          <w:sz w:val="24"/>
          <w:szCs w:val="24"/>
          <w:highlight w:val="none"/>
          <w:lang w:val="en-US" w:eastAsia="zh-CN"/>
        </w:rPr>
        <w:t>止</w:t>
      </w:r>
      <w:r>
        <w:rPr>
          <w:rFonts w:hint="eastAsia" w:cs="仿宋" w:asciiTheme="minorEastAsia" w:hAnsiTheme="minorEastAsia"/>
          <w:b/>
          <w:color w:val="auto"/>
          <w:sz w:val="24"/>
          <w:szCs w:val="24"/>
          <w:highlight w:val="none"/>
        </w:rPr>
        <w:t>前答疑会或现场考察</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0"/>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0"/>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highlight w:val="none"/>
        </w:rPr>
      </w:pPr>
    </w:p>
    <w:p>
      <w:pPr>
        <w:pStyle w:val="20"/>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0"/>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pPr>
        <w:pStyle w:val="2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0"/>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0"/>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pPr>
        <w:pStyle w:val="20"/>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0"/>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内，与成交供应商按照询价采购文件确定的事项签订采购合同。</w:t>
      </w:r>
    </w:p>
    <w:p>
      <w:pPr>
        <w:pStyle w:val="20"/>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pStyle w:val="5"/>
        <w:ind w:firstLine="480" w:firstLineChars="200"/>
        <w:rPr>
          <w:color w:val="auto"/>
          <w:highlight w:val="none"/>
        </w:rPr>
      </w:pPr>
      <w:r>
        <w:rPr>
          <w:rFonts w:hint="eastAsia"/>
          <w:color w:val="auto"/>
          <w:highlight w:val="none"/>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供应商的询价保证金将在签订合同并按要求缴纳履约保证金后全额无息退还。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 </w:t>
      </w:r>
      <w:r>
        <w:rPr>
          <w:rFonts w:hint="eastAsia" w:cs="仿宋" w:asciiTheme="minorEastAsia" w:hAnsiTheme="minorEastAsia"/>
          <w:color w:val="auto"/>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5"/>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5"/>
        <w:ind w:firstLine="480" w:firstLineChars="200"/>
        <w:rPr>
          <w:rFonts w:hint="default" w:cs="仿宋" w:asciiTheme="minorEastAsia" w:hAnsiTheme="minorEastAsia" w:eastAsiaTheme="minorEastAsia"/>
          <w:b/>
          <w:bCs/>
          <w:color w:val="auto"/>
          <w:kern w:val="0"/>
          <w:highlight w:val="none"/>
          <w:vertAlign w:val="baseline"/>
          <w:lang w:val="en-US" w:eastAsia="zh-CN"/>
        </w:rPr>
      </w:pPr>
      <w:r>
        <w:rPr>
          <w:rFonts w:hint="eastAsia"/>
          <w:color w:val="auto"/>
          <w:highlight w:val="none"/>
          <w:lang w:val="en-US"/>
        </w:rPr>
        <w:t>杭州临江环境能源有限公司因日常生产需要，需采购</w:t>
      </w:r>
      <w:r>
        <w:rPr>
          <w:rFonts w:hint="eastAsia"/>
          <w:color w:val="auto"/>
          <w:highlight w:val="none"/>
          <w:lang w:val="en-US" w:eastAsia="zh-CN"/>
        </w:rPr>
        <w:t>SICK备件一批</w:t>
      </w:r>
      <w:r>
        <w:rPr>
          <w:rFonts w:hint="eastAsia"/>
          <w:b/>
          <w:bCs/>
          <w:color w:val="auto"/>
          <w:highlight w:val="none"/>
          <w:lang w:val="en-US" w:eastAsia="zh-CN"/>
        </w:rPr>
        <w:t>。</w:t>
      </w:r>
    </w:p>
    <w:tbl>
      <w:tblPr>
        <w:tblStyle w:val="14"/>
        <w:tblW w:w="92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209"/>
        <w:gridCol w:w="696"/>
        <w:gridCol w:w="3648"/>
        <w:gridCol w:w="684"/>
        <w:gridCol w:w="768"/>
        <w:gridCol w:w="780"/>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型号规格及要求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三固数量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能源数量</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氧化锆传感器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旧货号：2094457 ，新货号：8999809</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气室过滤器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货号：2045339</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货号：5310158</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干燥剂筒</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货号：5320799</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加热管线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旧货号：6062376； 新货号：6070867;整根不能截断，JH3F d6/8 200度，L=40m， CPT100/ELH/2ADW.NW6/8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伴热管线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新货号：6072681，型号：ELH/2adw-SP，230V50Hz，2*2025W，L=45m，耐热200℃，NW：1*6,1*4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伴热管线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新货号：6071655，型号：ELH/2adw-SP，230V50Hz，3150W，L=35m，耐热200℃，NW：1*6,1*4</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粉尘仪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型号：FWE200-230V 2AO，含控制箱（变频器、PLC等），测量元件（镜头组、加热室），仪表箱（反馈、控制单元），管线，风机，电机等，仅需要安排1名技术人员现场指导安装，无需安装和环保比对。</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MCS100FT "LPMS01 控制 "电气板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货号：2124095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处理器系统模块 LINUX</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货号：2130536</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SCU 面板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货号：2056275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pStyle w:val="5"/>
        <w:ind w:firstLine="480" w:firstLineChars="200"/>
        <w:rPr>
          <w:rFonts w:hint="eastAsia" w:cs="仿宋" w:asciiTheme="minorEastAsia" w:hAnsiTheme="minorEastAsia"/>
          <w:color w:val="auto"/>
          <w:kern w:val="0"/>
          <w:highlight w:val="none"/>
        </w:rPr>
      </w:pPr>
    </w:p>
    <w:p>
      <w:pPr>
        <w:pStyle w:val="5"/>
        <w:ind w:firstLine="480" w:firstLineChars="200"/>
        <w:rPr>
          <w:rFonts w:hint="eastAsia" w:eastAsiaTheme="minorEastAsia"/>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rPr>
        <w:t>二、合同期限</w:t>
      </w:r>
      <w:r>
        <w:rPr>
          <w:rFonts w:hint="eastAsia"/>
          <w:b/>
          <w:bCs/>
          <w:color w:val="auto"/>
          <w:highlight w:val="none"/>
          <w:lang w:val="en-US" w:eastAsia="zh-CN"/>
        </w:rPr>
        <w:t>：</w:t>
      </w:r>
      <w:r>
        <w:rPr>
          <w:rFonts w:hint="eastAsia"/>
          <w:color w:val="auto"/>
          <w:highlight w:val="none"/>
          <w:lang w:val="en-US" w:eastAsia="zh-CN"/>
        </w:rPr>
        <w:t>自合同签订后12个月。</w:t>
      </w:r>
    </w:p>
    <w:p>
      <w:pPr>
        <w:pStyle w:val="6"/>
        <w:rPr>
          <w:rFonts w:hint="default" w:eastAsiaTheme="minorEastAsia"/>
          <w:highlight w:val="none"/>
          <w:lang w:val="en-US" w:eastAsia="zh-CN"/>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三、履约方式：</w:t>
      </w:r>
      <w:r>
        <w:rPr>
          <w:rFonts w:hint="eastAsia"/>
          <w:color w:val="auto"/>
          <w:highlight w:val="none"/>
          <w:lang w:val="en-US" w:eastAsia="zh-CN"/>
        </w:rPr>
        <w:t>按需供货，按实结算，本次采购数量仅为采购人暂定数量，以实际订单采购数量为准。</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pPr>
        <w:pStyle w:val="5"/>
        <w:numPr>
          <w:ilvl w:val="0"/>
          <w:numId w:val="0"/>
        </w:numPr>
        <w:ind w:firstLine="480" w:firstLineChars="200"/>
        <w:rPr>
          <w:rFonts w:hint="eastAsia" w:ascii="宋体"/>
          <w:color w:val="auto"/>
          <w:highlight w:val="none"/>
        </w:rPr>
      </w:pPr>
      <w:r>
        <w:rPr>
          <w:rFonts w:hint="eastAsia" w:ascii="宋体"/>
          <w:color w:val="auto"/>
          <w:highlight w:val="none"/>
          <w:lang w:val="zh-CN" w:eastAsia="zh-CN"/>
        </w:rPr>
        <w:t>1.品牌和</w:t>
      </w:r>
      <w:r>
        <w:rPr>
          <w:rFonts w:hint="eastAsia" w:ascii="宋体"/>
          <w:color w:val="auto"/>
          <w:highlight w:val="none"/>
        </w:rPr>
        <w:t>型号等技术参数满足采购内容中的规格型号/技术要求</w:t>
      </w:r>
      <w:r>
        <w:rPr>
          <w:rFonts w:hint="eastAsia" w:ascii="宋体"/>
          <w:color w:val="auto"/>
          <w:highlight w:val="none"/>
          <w:lang w:eastAsia="zh-CN"/>
        </w:rPr>
        <w:t>，具</w:t>
      </w:r>
      <w:r>
        <w:rPr>
          <w:rFonts w:hint="eastAsia" w:ascii="宋体"/>
          <w:color w:val="auto"/>
          <w:highlight w:val="none"/>
        </w:rPr>
        <w:t xml:space="preserve">有国家、地方、行业标准、规范（含强制适用标准、规范和推荐适用标准、规范）的，按相应标准、规范执行（不同标准、规范之间要求不一的，按要求较高者执行）。 </w:t>
      </w:r>
    </w:p>
    <w:p>
      <w:pPr>
        <w:pStyle w:val="5"/>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，质保有效期必须不少于六个月</w:t>
      </w:r>
      <w:r>
        <w:rPr>
          <w:rFonts w:hint="eastAsia" w:ascii="宋体"/>
          <w:color w:val="auto"/>
          <w:highlight w:val="none"/>
          <w:lang w:val="en-US" w:eastAsia="zh-CN"/>
        </w:rPr>
        <w:t>。</w:t>
      </w:r>
    </w:p>
    <w:p>
      <w:pPr>
        <w:pStyle w:val="6"/>
        <w:rPr>
          <w:rFonts w:hint="default"/>
          <w:color w:val="auto"/>
          <w:highlight w:val="none"/>
          <w:lang w:val="en-US" w:eastAsia="zh-CN"/>
        </w:rPr>
      </w:pPr>
      <w:r>
        <w:rPr>
          <w:rFonts w:hint="eastAsia"/>
          <w:color w:val="auto"/>
          <w:highlight w:val="none"/>
          <w:lang w:val="en-US" w:eastAsia="zh-CN"/>
        </w:rPr>
        <w:t>3.3.供应商承担质保责任，设备及备件的质保条款按照西克麦哈克(北京)仪器有限公司标准执行，由供应商与厂家沟通处理，由此产生的费用由供应商承担。</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五</w:t>
      </w:r>
      <w:r>
        <w:rPr>
          <w:rFonts w:hint="eastAsia"/>
          <w:b/>
          <w:bCs/>
          <w:color w:val="auto"/>
          <w:highlight w:val="none"/>
          <w:lang w:val="en-US"/>
        </w:rPr>
        <w:t>、验收方式</w:t>
      </w:r>
    </w:p>
    <w:p>
      <w:pPr>
        <w:pStyle w:val="5"/>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供应商须提供该批次货物西克麦哈克(北京)仪器有限公司出厂检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5"/>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双方指定人员现场确认送货数量并由双方签字确认。</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六</w:t>
      </w:r>
      <w:r>
        <w:rPr>
          <w:rFonts w:hint="eastAsia"/>
          <w:b/>
          <w:bCs/>
          <w:color w:val="auto"/>
          <w:highlight w:val="none"/>
          <w:lang w:val="en-US"/>
        </w:rPr>
        <w:t>、服务要求</w:t>
      </w:r>
    </w:p>
    <w:p>
      <w:pPr>
        <w:pStyle w:val="5"/>
        <w:numPr>
          <w:ilvl w:val="0"/>
          <w:numId w:val="0"/>
        </w:numPr>
        <w:ind w:firstLine="480" w:firstLineChars="200"/>
        <w:rPr>
          <w:rFonts w:hint="eastAsia" w:ascii="宋体"/>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color w:val="auto"/>
          <w:highlight w:val="none"/>
          <w:lang w:val="en-US"/>
        </w:rPr>
        <w:t>根据采购人计划，确定送货数量要求，</w:t>
      </w:r>
      <w:r>
        <w:rPr>
          <w:rFonts w:hint="eastAsia"/>
          <w:color w:val="auto"/>
          <w:highlight w:val="none"/>
          <w:lang w:val="en-US" w:eastAsia="zh-CN"/>
        </w:rPr>
        <w:t>分批次</w:t>
      </w:r>
      <w:r>
        <w:rPr>
          <w:rFonts w:hint="eastAsia" w:ascii="宋体"/>
          <w:color w:val="auto"/>
          <w:highlight w:val="none"/>
          <w:lang w:val="en-US" w:eastAsia="zh-CN"/>
        </w:rPr>
        <w:t>供货</w:t>
      </w:r>
      <w:r>
        <w:rPr>
          <w:rFonts w:hint="eastAsia" w:ascii="宋体"/>
          <w:color w:val="auto"/>
          <w:highlight w:val="none"/>
          <w:lang w:val="en-US"/>
        </w:rPr>
        <w:t>，</w:t>
      </w:r>
      <w:r>
        <w:rPr>
          <w:rFonts w:hint="eastAsia"/>
          <w:color w:val="auto"/>
          <w:highlight w:val="none"/>
          <w:lang w:val="en-US" w:eastAsia="zh-CN"/>
        </w:rPr>
        <w:t>供应商</w:t>
      </w:r>
      <w:r>
        <w:rPr>
          <w:rFonts w:hint="eastAsia" w:ascii="宋体"/>
          <w:color w:val="auto"/>
          <w:highlight w:val="none"/>
          <w:lang w:val="en-US"/>
        </w:rPr>
        <w:t>在接到采购人电话或书面通知后在</w:t>
      </w:r>
      <w:r>
        <w:rPr>
          <w:rFonts w:hint="eastAsia" w:ascii="宋体"/>
          <w:color w:val="auto"/>
          <w:highlight w:val="none"/>
          <w:lang w:val="en-US" w:eastAsia="zh-CN"/>
        </w:rPr>
        <w:t>30日内</w:t>
      </w:r>
      <w:r>
        <w:rPr>
          <w:rFonts w:hint="eastAsia" w:ascii="宋体"/>
          <w:color w:val="auto"/>
          <w:highlight w:val="none"/>
          <w:lang w:val="en-US"/>
        </w:rPr>
        <w:t>完成供货</w:t>
      </w:r>
      <w:r>
        <w:rPr>
          <w:rFonts w:hint="eastAsia"/>
          <w:color w:val="auto"/>
          <w:highlight w:val="none"/>
          <w:lang w:val="en-US" w:eastAsia="zh-CN"/>
        </w:rPr>
        <w:t>，若因进口问题造成了货期延长，双方另行协商</w:t>
      </w:r>
      <w:r>
        <w:rPr>
          <w:rFonts w:hint="eastAsia" w:ascii="宋体"/>
          <w:color w:val="auto"/>
          <w:highlight w:val="none"/>
          <w:lang w:val="en-US"/>
        </w:rPr>
        <w:t>。</w:t>
      </w:r>
    </w:p>
    <w:p>
      <w:pPr>
        <w:pStyle w:val="5"/>
        <w:numPr>
          <w:ilvl w:val="0"/>
          <w:numId w:val="0"/>
        </w:numPr>
        <w:ind w:firstLine="480" w:firstLineChars="200"/>
        <w:rPr>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ascii="宋体"/>
          <w:color w:val="auto"/>
          <w:highlight w:val="none"/>
          <w:lang w:val="en-US"/>
        </w:rPr>
        <w:t>负责卸货，人工费由</w:t>
      </w:r>
      <w:r>
        <w:rPr>
          <w:rFonts w:hint="eastAsia"/>
          <w:color w:val="auto"/>
          <w:highlight w:val="none"/>
          <w:lang w:val="en-US" w:eastAsia="zh-CN"/>
        </w:rPr>
        <w:t>供应商</w:t>
      </w:r>
      <w:r>
        <w:rPr>
          <w:rFonts w:hint="eastAsia" w:ascii="宋体"/>
          <w:color w:val="auto"/>
          <w:highlight w:val="none"/>
          <w:lang w:val="en-US"/>
        </w:rPr>
        <w:t>承担，采购人可免费提供叉车服</w:t>
      </w:r>
      <w:r>
        <w:rPr>
          <w:rFonts w:hint="eastAsia"/>
          <w:color w:val="auto"/>
          <w:highlight w:val="none"/>
          <w:lang w:val="en-US"/>
        </w:rPr>
        <w:t>务。</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pPr>
        <w:pStyle w:val="6"/>
        <w:ind w:firstLine="480" w:firstLineChars="200"/>
        <w:rPr>
          <w:color w:val="auto"/>
          <w:highlight w:val="none"/>
          <w:lang w:val="en-US"/>
        </w:rPr>
      </w:pPr>
      <w:r>
        <w:rPr>
          <w:rFonts w:hint="eastAsia"/>
          <w:color w:val="auto"/>
          <w:highlight w:val="none"/>
          <w:lang w:val="en-US"/>
        </w:rPr>
        <w:t>以本询价采购文件中的合同条款为准。</w:t>
      </w:r>
    </w:p>
    <w:p>
      <w:pPr>
        <w:pStyle w:val="5"/>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、售后要求</w:t>
      </w:r>
    </w:p>
    <w:p>
      <w:pPr>
        <w:pStyle w:val="5"/>
        <w:ind w:firstLine="480" w:firstLineChars="200"/>
        <w:rPr>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必须满足采购人售后服务要求。如使用过程发生问题，</w:t>
      </w:r>
      <w:r>
        <w:rPr>
          <w:rFonts w:hint="eastAsia"/>
          <w:color w:val="auto"/>
          <w:highlight w:val="none"/>
          <w:lang w:val="en-US" w:eastAsia="zh-CN"/>
        </w:rPr>
        <w:t>供应商</w:t>
      </w:r>
      <w:r>
        <w:rPr>
          <w:rFonts w:hint="eastAsia"/>
          <w:color w:val="auto"/>
          <w:highlight w:val="none"/>
          <w:lang w:val="en-US"/>
        </w:rPr>
        <w:t>须在接到采购人通知后必须4小时内赶到现场进行处理，</w:t>
      </w:r>
      <w:r>
        <w:rPr>
          <w:rFonts w:hint="eastAsia"/>
          <w:color w:val="auto"/>
          <w:highlight w:val="none"/>
          <w:lang w:val="en-US" w:eastAsia="zh-CN"/>
        </w:rPr>
        <w:t>24</w:t>
      </w:r>
      <w:r>
        <w:rPr>
          <w:rFonts w:hint="eastAsia"/>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color w:val="auto"/>
          <w:highlight w:val="none"/>
          <w:lang w:val="en-US"/>
        </w:rPr>
        <w:t>小时内派人员到达现场进行免费指导解决问题。</w:t>
      </w:r>
    </w:p>
    <w:p>
      <w:pPr>
        <w:pStyle w:val="5"/>
        <w:ind w:firstLine="480" w:firstLineChars="200"/>
        <w:rPr>
          <w:color w:val="auto"/>
          <w:highlight w:val="none"/>
          <w:lang w:val="en-US"/>
        </w:rPr>
      </w:pPr>
      <w:r>
        <w:rPr>
          <w:rFonts w:hint="eastAsia"/>
          <w:color w:val="auto"/>
          <w:highlight w:val="none"/>
          <w:lang w:val="en-US"/>
        </w:rPr>
        <w:t>2.采购人不再对任何售后服务进行付费。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的派遣人员产生的一切费用由供应商承担。</w:t>
      </w:r>
    </w:p>
    <w:p>
      <w:pPr>
        <w:pStyle w:val="5"/>
        <w:ind w:firstLine="480" w:firstLineChars="200"/>
        <w:rPr>
          <w:color w:val="auto"/>
          <w:highlight w:val="none"/>
          <w:lang w:val="en-US"/>
        </w:rPr>
      </w:pPr>
      <w:r>
        <w:rPr>
          <w:rFonts w:hint="eastAsia"/>
          <w:color w:val="auto"/>
          <w:highlight w:val="none"/>
          <w:lang w:val="en-US"/>
        </w:rPr>
        <w:t>3.在</w:t>
      </w:r>
      <w:r>
        <w:rPr>
          <w:rFonts w:hint="eastAsia"/>
          <w:color w:val="auto"/>
          <w:highlight w:val="none"/>
          <w:lang w:val="en-US" w:eastAsia="zh-CN"/>
        </w:rPr>
        <w:t>设备</w:t>
      </w:r>
      <w:r>
        <w:rPr>
          <w:rFonts w:hint="eastAsia"/>
          <w:color w:val="auto"/>
          <w:highlight w:val="none"/>
          <w:lang w:val="en-US"/>
        </w:rPr>
        <w:t>使用过程中，</w:t>
      </w:r>
      <w:r>
        <w:rPr>
          <w:rFonts w:hint="eastAsia"/>
          <w:color w:val="auto"/>
          <w:highlight w:val="none"/>
          <w:lang w:val="en-US" w:eastAsia="zh-CN"/>
        </w:rPr>
        <w:t>因产品质量问题</w:t>
      </w:r>
      <w:r>
        <w:rPr>
          <w:rFonts w:hint="eastAsia"/>
          <w:color w:val="auto"/>
          <w:highlight w:val="none"/>
          <w:lang w:val="en-US"/>
        </w:rPr>
        <w:t>给他机械设备造成故障或货物损坏，由</w:t>
      </w:r>
      <w:r>
        <w:rPr>
          <w:rFonts w:hint="eastAsia"/>
          <w:color w:val="auto"/>
          <w:highlight w:val="none"/>
          <w:lang w:val="en-US" w:eastAsia="zh-CN"/>
        </w:rPr>
        <w:t>供应商</w:t>
      </w:r>
      <w:r>
        <w:rPr>
          <w:rFonts w:hint="eastAsia"/>
          <w:color w:val="auto"/>
          <w:highlight w:val="none"/>
          <w:lang w:val="en-US"/>
        </w:rPr>
        <w:t>承担采购人的一切损失，包括直接和间接损失。</w:t>
      </w:r>
    </w:p>
    <w:p>
      <w:pPr>
        <w:rPr>
          <w:color w:val="auto"/>
          <w:highlight w:val="none"/>
        </w:rPr>
      </w:pPr>
    </w:p>
    <w:p>
      <w:pPr>
        <w:pStyle w:val="12"/>
        <w:rPr>
          <w:color w:val="auto"/>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124"/>
      <w:bookmarkEnd w:id="19"/>
      <w:bookmarkStart w:id="20" w:name="_Toc184313256"/>
      <w:bookmarkEnd w:id="20"/>
      <w:bookmarkStart w:id="21" w:name="_Toc184314444"/>
      <w:bookmarkEnd w:id="21"/>
      <w:bookmarkStart w:id="22" w:name="_Toc184313303"/>
      <w:bookmarkEnd w:id="22"/>
      <w:bookmarkStart w:id="23" w:name="_Toc184313283"/>
      <w:bookmarkEnd w:id="23"/>
      <w:bookmarkStart w:id="24" w:name="_Toc184314441"/>
      <w:bookmarkEnd w:id="24"/>
      <w:bookmarkStart w:id="25" w:name="_Toc184310293"/>
      <w:bookmarkEnd w:id="25"/>
      <w:bookmarkStart w:id="26" w:name="_Toc184314465"/>
      <w:bookmarkEnd w:id="26"/>
      <w:bookmarkStart w:id="27" w:name="_Toc184310318"/>
      <w:bookmarkEnd w:id="27"/>
      <w:bookmarkStart w:id="28" w:name="_Toc184308046"/>
      <w:bookmarkEnd w:id="28"/>
      <w:bookmarkStart w:id="29" w:name="_Toc184313294"/>
      <w:bookmarkEnd w:id="29"/>
      <w:bookmarkStart w:id="30" w:name="_Toc184310282"/>
      <w:bookmarkEnd w:id="30"/>
      <w:bookmarkStart w:id="31" w:name="_Toc184310284"/>
      <w:bookmarkEnd w:id="31"/>
      <w:bookmarkStart w:id="32" w:name="_Toc184314456"/>
      <w:bookmarkEnd w:id="32"/>
      <w:bookmarkStart w:id="33" w:name="_Toc184310304"/>
      <w:bookmarkEnd w:id="33"/>
      <w:bookmarkStart w:id="34" w:name="_Toc184313306"/>
      <w:bookmarkEnd w:id="34"/>
      <w:bookmarkStart w:id="35" w:name="_Toc184312069"/>
      <w:bookmarkEnd w:id="35"/>
      <w:bookmarkStart w:id="36" w:name="_Toc184308075"/>
      <w:bookmarkEnd w:id="36"/>
      <w:bookmarkStart w:id="37" w:name="_Toc184308039"/>
      <w:bookmarkEnd w:id="37"/>
      <w:bookmarkStart w:id="38" w:name="_Toc184313292"/>
      <w:bookmarkEnd w:id="38"/>
      <w:bookmarkStart w:id="39" w:name="_Toc184312105"/>
      <w:bookmarkEnd w:id="39"/>
      <w:bookmarkStart w:id="40" w:name="_Toc184308049"/>
      <w:bookmarkEnd w:id="40"/>
      <w:bookmarkStart w:id="41" w:name="_Toc184314481"/>
      <w:bookmarkEnd w:id="41"/>
      <w:bookmarkStart w:id="42" w:name="_Toc184314417"/>
      <w:bookmarkEnd w:id="42"/>
      <w:bookmarkStart w:id="43" w:name="_Toc184310299"/>
      <w:bookmarkEnd w:id="43"/>
      <w:bookmarkStart w:id="44" w:name="_Toc184310330"/>
      <w:bookmarkEnd w:id="44"/>
      <w:bookmarkStart w:id="45" w:name="_Toc184314422"/>
      <w:bookmarkEnd w:id="45"/>
      <w:bookmarkStart w:id="46" w:name="_Toc184312094"/>
      <w:bookmarkEnd w:id="46"/>
      <w:bookmarkStart w:id="47" w:name="_Toc184308090"/>
      <w:bookmarkEnd w:id="47"/>
      <w:bookmarkStart w:id="48" w:name="_Toc184308044"/>
      <w:bookmarkEnd w:id="48"/>
      <w:bookmarkStart w:id="49" w:name="_Toc184308041"/>
      <w:bookmarkEnd w:id="49"/>
      <w:bookmarkStart w:id="50" w:name="_Toc184308095"/>
      <w:bookmarkEnd w:id="50"/>
      <w:bookmarkStart w:id="51" w:name="_Toc184314423"/>
      <w:bookmarkEnd w:id="51"/>
      <w:bookmarkStart w:id="52" w:name="_Toc184308059"/>
      <w:bookmarkEnd w:id="52"/>
      <w:bookmarkStart w:id="53" w:name="_Toc184308070"/>
      <w:bookmarkEnd w:id="53"/>
      <w:bookmarkStart w:id="54" w:name="_Toc184310276"/>
      <w:bookmarkEnd w:id="54"/>
      <w:bookmarkStart w:id="55" w:name="_Toc184312120"/>
      <w:bookmarkEnd w:id="55"/>
      <w:bookmarkStart w:id="56" w:name="_Toc184313265"/>
      <w:bookmarkEnd w:id="56"/>
      <w:bookmarkStart w:id="57" w:name="_Toc184310287"/>
      <w:bookmarkEnd w:id="57"/>
      <w:bookmarkStart w:id="58" w:name="_Toc184312089"/>
      <w:bookmarkEnd w:id="58"/>
      <w:bookmarkStart w:id="59" w:name="_Toc184310306"/>
      <w:bookmarkEnd w:id="59"/>
      <w:bookmarkStart w:id="60" w:name="_Toc184312081"/>
      <w:bookmarkEnd w:id="60"/>
      <w:bookmarkStart w:id="61" w:name="_Toc184313285"/>
      <w:bookmarkEnd w:id="61"/>
      <w:bookmarkStart w:id="62" w:name="_Toc184308072"/>
      <w:bookmarkEnd w:id="62"/>
      <w:bookmarkStart w:id="63" w:name="_Toc184310302"/>
      <w:bookmarkEnd w:id="63"/>
      <w:bookmarkStart w:id="64" w:name="_Toc184313307"/>
      <w:bookmarkEnd w:id="64"/>
      <w:bookmarkStart w:id="65" w:name="_Toc184308040"/>
      <w:bookmarkEnd w:id="65"/>
      <w:bookmarkStart w:id="66" w:name="_Toc184312104"/>
      <w:bookmarkEnd w:id="66"/>
      <w:bookmarkStart w:id="67" w:name="_Toc184313275"/>
      <w:bookmarkEnd w:id="67"/>
      <w:bookmarkStart w:id="68" w:name="_Toc184313290"/>
      <w:bookmarkEnd w:id="68"/>
      <w:bookmarkStart w:id="69" w:name="_Toc184312138"/>
      <w:bookmarkEnd w:id="69"/>
      <w:bookmarkStart w:id="70" w:name="_Toc184313268"/>
      <w:bookmarkEnd w:id="70"/>
      <w:bookmarkStart w:id="71" w:name="_Toc184310289"/>
      <w:bookmarkEnd w:id="71"/>
      <w:bookmarkStart w:id="72" w:name="_Toc184312136"/>
      <w:bookmarkEnd w:id="72"/>
      <w:bookmarkStart w:id="73" w:name="_Toc184308086"/>
      <w:bookmarkEnd w:id="73"/>
      <w:bookmarkStart w:id="74" w:name="_Toc184310283"/>
      <w:bookmarkEnd w:id="74"/>
      <w:bookmarkStart w:id="75" w:name="_Toc184312137"/>
      <w:bookmarkEnd w:id="75"/>
      <w:bookmarkStart w:id="76" w:name="_Toc184313298"/>
      <w:bookmarkEnd w:id="76"/>
      <w:bookmarkStart w:id="77" w:name="_Toc184313252"/>
      <w:bookmarkEnd w:id="77"/>
      <w:bookmarkStart w:id="78" w:name="_Toc184312107"/>
      <w:bookmarkEnd w:id="78"/>
      <w:bookmarkStart w:id="79" w:name="_Toc184313248"/>
      <w:bookmarkEnd w:id="79"/>
      <w:bookmarkStart w:id="80" w:name="_Toc184310335"/>
      <w:bookmarkEnd w:id="80"/>
      <w:bookmarkStart w:id="81" w:name="_Toc184313241"/>
      <w:bookmarkEnd w:id="81"/>
      <w:bookmarkStart w:id="82" w:name="_Toc184313270"/>
      <w:bookmarkEnd w:id="82"/>
      <w:bookmarkStart w:id="83" w:name="_Toc184313279"/>
      <w:bookmarkEnd w:id="83"/>
      <w:bookmarkStart w:id="84" w:name="_Toc184310321"/>
      <w:bookmarkEnd w:id="84"/>
      <w:bookmarkStart w:id="85" w:name="_Toc184312098"/>
      <w:bookmarkEnd w:id="85"/>
      <w:bookmarkStart w:id="86" w:name="_Toc184314479"/>
      <w:bookmarkEnd w:id="86"/>
      <w:bookmarkStart w:id="87" w:name="_Toc184314462"/>
      <w:bookmarkEnd w:id="87"/>
      <w:bookmarkStart w:id="88" w:name="_Toc184313296"/>
      <w:bookmarkEnd w:id="88"/>
      <w:bookmarkStart w:id="89" w:name="_Toc184310297"/>
      <w:bookmarkEnd w:id="89"/>
      <w:bookmarkStart w:id="90" w:name="_Toc184310310"/>
      <w:bookmarkEnd w:id="90"/>
      <w:bookmarkStart w:id="91" w:name="_Toc184313308"/>
      <w:bookmarkEnd w:id="91"/>
      <w:bookmarkStart w:id="92" w:name="_Toc184313276"/>
      <w:bookmarkEnd w:id="92"/>
      <w:bookmarkStart w:id="93" w:name="_Toc184308102"/>
      <w:bookmarkEnd w:id="93"/>
      <w:bookmarkStart w:id="94" w:name="_Toc184314473"/>
      <w:bookmarkEnd w:id="94"/>
      <w:bookmarkStart w:id="95" w:name="_Toc184312087"/>
      <w:bookmarkEnd w:id="95"/>
      <w:bookmarkStart w:id="96" w:name="_Toc184312126"/>
      <w:bookmarkEnd w:id="96"/>
      <w:bookmarkStart w:id="97" w:name="_Toc184308060"/>
      <w:bookmarkEnd w:id="97"/>
      <w:bookmarkStart w:id="98" w:name="_Toc184308053"/>
      <w:bookmarkEnd w:id="98"/>
      <w:bookmarkStart w:id="99" w:name="_Toc184310315"/>
      <w:bookmarkEnd w:id="99"/>
      <w:bookmarkStart w:id="100" w:name="_Toc184310279"/>
      <w:bookmarkEnd w:id="100"/>
      <w:bookmarkStart w:id="101" w:name="_Toc184312083"/>
      <w:bookmarkEnd w:id="101"/>
      <w:bookmarkStart w:id="102" w:name="_Toc184312110"/>
      <w:bookmarkEnd w:id="102"/>
      <w:bookmarkStart w:id="103" w:name="_Toc184312088"/>
      <w:bookmarkEnd w:id="103"/>
      <w:bookmarkStart w:id="104" w:name="_Toc184314411"/>
      <w:bookmarkEnd w:id="104"/>
      <w:bookmarkStart w:id="105" w:name="_Toc184313266"/>
      <w:bookmarkEnd w:id="105"/>
      <w:bookmarkStart w:id="106" w:name="_Toc184314434"/>
      <w:bookmarkEnd w:id="106"/>
      <w:bookmarkStart w:id="107" w:name="_Toc184314414"/>
      <w:bookmarkEnd w:id="107"/>
      <w:bookmarkStart w:id="108" w:name="_Toc184308100"/>
      <w:bookmarkEnd w:id="108"/>
      <w:bookmarkStart w:id="109" w:name="_Toc184313246"/>
      <w:bookmarkEnd w:id="109"/>
      <w:bookmarkStart w:id="110" w:name="_Toc184308092"/>
      <w:bookmarkEnd w:id="110"/>
      <w:bookmarkStart w:id="111" w:name="_Toc184314443"/>
      <w:bookmarkEnd w:id="111"/>
      <w:bookmarkStart w:id="112" w:name="_Toc184313261"/>
      <w:bookmarkEnd w:id="112"/>
      <w:bookmarkStart w:id="113" w:name="_Toc184313271"/>
      <w:bookmarkEnd w:id="113"/>
      <w:bookmarkStart w:id="114" w:name="_Toc184308065"/>
      <w:bookmarkEnd w:id="114"/>
      <w:bookmarkStart w:id="115" w:name="_Toc184308080"/>
      <w:bookmarkEnd w:id="115"/>
      <w:bookmarkStart w:id="116" w:name="_Toc184314474"/>
      <w:bookmarkEnd w:id="116"/>
      <w:bookmarkStart w:id="117" w:name="_Toc184308051"/>
      <w:bookmarkEnd w:id="117"/>
      <w:bookmarkStart w:id="118" w:name="_Toc184314457"/>
      <w:bookmarkEnd w:id="118"/>
      <w:bookmarkStart w:id="119" w:name="_Toc184314421"/>
      <w:bookmarkEnd w:id="119"/>
      <w:bookmarkStart w:id="120" w:name="_Toc184313244"/>
      <w:bookmarkEnd w:id="120"/>
      <w:bookmarkStart w:id="121" w:name="_Toc184314429"/>
      <w:bookmarkEnd w:id="121"/>
      <w:bookmarkStart w:id="122" w:name="_Toc184314437"/>
      <w:bookmarkEnd w:id="122"/>
      <w:bookmarkStart w:id="123" w:name="_Toc184314469"/>
      <w:bookmarkEnd w:id="123"/>
      <w:bookmarkStart w:id="124" w:name="_Toc184310325"/>
      <w:bookmarkEnd w:id="124"/>
      <w:bookmarkStart w:id="125" w:name="_Toc184313288"/>
      <w:bookmarkEnd w:id="125"/>
      <w:bookmarkStart w:id="126" w:name="_Toc184314480"/>
      <w:bookmarkEnd w:id="126"/>
      <w:bookmarkStart w:id="127" w:name="_Toc184312076"/>
      <w:bookmarkEnd w:id="127"/>
      <w:bookmarkStart w:id="128" w:name="_Toc184310278"/>
      <w:bookmarkEnd w:id="128"/>
      <w:bookmarkStart w:id="129" w:name="_Toc184314439"/>
      <w:bookmarkEnd w:id="129"/>
      <w:bookmarkStart w:id="130" w:name="_Toc184308084"/>
      <w:bookmarkEnd w:id="130"/>
      <w:bookmarkStart w:id="131" w:name="_Toc184310338"/>
      <w:bookmarkEnd w:id="131"/>
      <w:bookmarkStart w:id="132" w:name="_Toc184308037"/>
      <w:bookmarkEnd w:id="132"/>
      <w:bookmarkStart w:id="133" w:name="_Toc184312096"/>
      <w:bookmarkEnd w:id="133"/>
      <w:bookmarkStart w:id="134" w:name="_Toc184308054"/>
      <w:bookmarkEnd w:id="134"/>
      <w:bookmarkStart w:id="135" w:name="_Toc184308064"/>
      <w:bookmarkEnd w:id="135"/>
      <w:bookmarkStart w:id="136" w:name="_Toc184312135"/>
      <w:bookmarkEnd w:id="136"/>
      <w:bookmarkStart w:id="137" w:name="_Toc184314452"/>
      <w:bookmarkEnd w:id="137"/>
      <w:bookmarkStart w:id="138" w:name="_Toc184308038"/>
      <w:bookmarkEnd w:id="138"/>
      <w:bookmarkStart w:id="139" w:name="_Toc184308097"/>
      <w:bookmarkEnd w:id="139"/>
      <w:bookmarkStart w:id="140" w:name="_Toc184314455"/>
      <w:bookmarkEnd w:id="140"/>
      <w:bookmarkStart w:id="141" w:name="_Toc184313250"/>
      <w:bookmarkEnd w:id="141"/>
      <w:bookmarkStart w:id="142" w:name="_Toc184310311"/>
      <w:bookmarkEnd w:id="142"/>
      <w:bookmarkStart w:id="143" w:name="_Toc184310285"/>
      <w:bookmarkEnd w:id="143"/>
      <w:bookmarkStart w:id="144" w:name="_Toc184314470"/>
      <w:bookmarkEnd w:id="144"/>
      <w:bookmarkStart w:id="145" w:name="_Toc184310296"/>
      <w:bookmarkEnd w:id="145"/>
      <w:bookmarkStart w:id="146" w:name="_Toc184314471"/>
      <w:bookmarkEnd w:id="146"/>
      <w:bookmarkStart w:id="147" w:name="_Toc184314427"/>
      <w:bookmarkEnd w:id="147"/>
      <w:bookmarkStart w:id="148" w:name="_Toc184308048"/>
      <w:bookmarkEnd w:id="148"/>
      <w:bookmarkStart w:id="149" w:name="_Toc184310327"/>
      <w:bookmarkEnd w:id="149"/>
      <w:bookmarkStart w:id="150" w:name="_Toc184313284"/>
      <w:bookmarkEnd w:id="150"/>
      <w:bookmarkStart w:id="151" w:name="_Toc184312084"/>
      <w:bookmarkEnd w:id="151"/>
      <w:bookmarkStart w:id="152" w:name="_Toc184308068"/>
      <w:bookmarkEnd w:id="152"/>
      <w:bookmarkStart w:id="153" w:name="_Toc184313238"/>
      <w:bookmarkEnd w:id="153"/>
      <w:bookmarkStart w:id="154" w:name="_Toc184313295"/>
      <w:bookmarkEnd w:id="154"/>
      <w:bookmarkStart w:id="155" w:name="_Toc184314438"/>
      <w:bookmarkEnd w:id="155"/>
      <w:bookmarkStart w:id="156" w:name="_Toc184314431"/>
      <w:bookmarkEnd w:id="156"/>
      <w:bookmarkStart w:id="157" w:name="_Toc184313267"/>
      <w:bookmarkEnd w:id="157"/>
      <w:bookmarkStart w:id="158" w:name="_Toc184312075"/>
      <w:bookmarkEnd w:id="158"/>
      <w:bookmarkStart w:id="159" w:name="_Toc184310273"/>
      <w:bookmarkEnd w:id="159"/>
      <w:bookmarkStart w:id="160" w:name="_Toc184312112"/>
      <w:bookmarkEnd w:id="160"/>
      <w:bookmarkStart w:id="161" w:name="_Toc184312072"/>
      <w:bookmarkEnd w:id="161"/>
      <w:bookmarkStart w:id="162" w:name="_Toc184312077"/>
      <w:bookmarkEnd w:id="162"/>
      <w:bookmarkStart w:id="163" w:name="_Toc184313243"/>
      <w:bookmarkEnd w:id="163"/>
      <w:bookmarkStart w:id="164" w:name="_Toc184310305"/>
      <w:bookmarkEnd w:id="164"/>
      <w:bookmarkStart w:id="165" w:name="_Toc184312070"/>
      <w:bookmarkEnd w:id="165"/>
      <w:bookmarkStart w:id="166" w:name="_Toc184310274"/>
      <w:bookmarkEnd w:id="166"/>
      <w:bookmarkStart w:id="167" w:name="_Toc184314472"/>
      <w:bookmarkEnd w:id="167"/>
      <w:bookmarkStart w:id="168" w:name="_Toc184310339"/>
      <w:bookmarkEnd w:id="168"/>
      <w:bookmarkStart w:id="169" w:name="_Toc184313259"/>
      <w:bookmarkEnd w:id="169"/>
      <w:bookmarkStart w:id="170" w:name="_Toc184313269"/>
      <w:bookmarkEnd w:id="170"/>
      <w:bookmarkStart w:id="171" w:name="_Toc184308083"/>
      <w:bookmarkEnd w:id="171"/>
      <w:bookmarkStart w:id="172" w:name="_Toc184314453"/>
      <w:bookmarkEnd w:id="172"/>
      <w:bookmarkStart w:id="173" w:name="_Toc184308089"/>
      <w:bookmarkEnd w:id="173"/>
      <w:bookmarkStart w:id="174" w:name="_Toc184314460"/>
      <w:bookmarkEnd w:id="174"/>
      <w:bookmarkStart w:id="175" w:name="_Toc184313309"/>
      <w:bookmarkEnd w:id="175"/>
      <w:bookmarkStart w:id="176" w:name="_Toc184310295"/>
      <w:bookmarkEnd w:id="176"/>
      <w:bookmarkStart w:id="177" w:name="_Toc184312082"/>
      <w:bookmarkEnd w:id="177"/>
      <w:bookmarkStart w:id="178" w:name="_Toc184312095"/>
      <w:bookmarkEnd w:id="178"/>
      <w:bookmarkStart w:id="179" w:name="_Toc184314478"/>
      <w:bookmarkEnd w:id="179"/>
      <w:bookmarkStart w:id="180" w:name="_Toc184308058"/>
      <w:bookmarkEnd w:id="180"/>
      <w:bookmarkStart w:id="181" w:name="_Toc184314420"/>
      <w:bookmarkEnd w:id="181"/>
      <w:bookmarkStart w:id="182" w:name="_Toc184312099"/>
      <w:bookmarkEnd w:id="182"/>
      <w:bookmarkStart w:id="183" w:name="_Toc184308096"/>
      <w:bookmarkEnd w:id="183"/>
      <w:bookmarkStart w:id="184" w:name="_Toc184313258"/>
      <w:bookmarkEnd w:id="184"/>
      <w:bookmarkStart w:id="185" w:name="_Toc184314418"/>
      <w:bookmarkEnd w:id="185"/>
      <w:bookmarkStart w:id="186" w:name="_Toc184312092"/>
      <w:bookmarkEnd w:id="186"/>
      <w:bookmarkStart w:id="187" w:name="_Toc184313289"/>
      <w:bookmarkEnd w:id="187"/>
      <w:bookmarkStart w:id="188" w:name="_Toc184312128"/>
      <w:bookmarkEnd w:id="188"/>
      <w:bookmarkStart w:id="189" w:name="_Toc184308106"/>
      <w:bookmarkEnd w:id="189"/>
      <w:bookmarkStart w:id="190" w:name="_Toc184312102"/>
      <w:bookmarkEnd w:id="190"/>
      <w:bookmarkStart w:id="191" w:name="_Toc184313254"/>
      <w:bookmarkEnd w:id="191"/>
      <w:bookmarkStart w:id="192" w:name="_Toc184313240"/>
      <w:bookmarkEnd w:id="192"/>
      <w:bookmarkStart w:id="193" w:name="_Toc184314454"/>
      <w:bookmarkEnd w:id="193"/>
      <w:bookmarkStart w:id="194" w:name="_Toc184313245"/>
      <w:bookmarkEnd w:id="194"/>
      <w:bookmarkStart w:id="195" w:name="_Toc184314447"/>
      <w:bookmarkEnd w:id="195"/>
      <w:bookmarkStart w:id="196" w:name="_Toc184310286"/>
      <w:bookmarkEnd w:id="196"/>
      <w:bookmarkStart w:id="197" w:name="_Toc184313305"/>
      <w:bookmarkEnd w:id="197"/>
      <w:bookmarkStart w:id="198" w:name="_Toc184312129"/>
      <w:bookmarkEnd w:id="198"/>
      <w:bookmarkStart w:id="199" w:name="_Toc184308074"/>
      <w:bookmarkEnd w:id="199"/>
      <w:bookmarkStart w:id="200" w:name="_Toc184314415"/>
      <w:bookmarkEnd w:id="200"/>
      <w:bookmarkStart w:id="201" w:name="_Toc184313274"/>
      <w:bookmarkEnd w:id="201"/>
      <w:bookmarkStart w:id="202" w:name="_Toc184312101"/>
      <w:bookmarkEnd w:id="202"/>
      <w:bookmarkStart w:id="203" w:name="_Toc184310316"/>
      <w:bookmarkEnd w:id="203"/>
      <w:bookmarkStart w:id="204" w:name="_Toc184312130"/>
      <w:bookmarkEnd w:id="204"/>
      <w:bookmarkStart w:id="205" w:name="_Toc184310298"/>
      <w:bookmarkEnd w:id="205"/>
      <w:bookmarkStart w:id="206" w:name="_Toc184314428"/>
      <w:bookmarkEnd w:id="206"/>
      <w:bookmarkStart w:id="207" w:name="_Toc184313281"/>
      <w:bookmarkEnd w:id="207"/>
      <w:bookmarkStart w:id="208" w:name="_Toc184312097"/>
      <w:bookmarkEnd w:id="208"/>
      <w:bookmarkStart w:id="209" w:name="_Toc184308088"/>
      <w:bookmarkEnd w:id="209"/>
      <w:bookmarkStart w:id="210" w:name="_Toc184310277"/>
      <w:bookmarkEnd w:id="210"/>
      <w:bookmarkStart w:id="211" w:name="_Toc184308104"/>
      <w:bookmarkEnd w:id="211"/>
      <w:bookmarkStart w:id="212" w:name="_Toc184314413"/>
      <w:bookmarkEnd w:id="212"/>
      <w:bookmarkStart w:id="213" w:name="_Toc184310314"/>
      <w:bookmarkEnd w:id="213"/>
      <w:bookmarkStart w:id="214" w:name="_Toc184310313"/>
      <w:bookmarkEnd w:id="214"/>
      <w:bookmarkStart w:id="215" w:name="_Toc184308069"/>
      <w:bookmarkEnd w:id="215"/>
      <w:bookmarkStart w:id="216" w:name="_Toc184314482"/>
      <w:bookmarkEnd w:id="216"/>
      <w:bookmarkStart w:id="217" w:name="_Toc184308045"/>
      <w:bookmarkEnd w:id="217"/>
      <w:bookmarkStart w:id="218" w:name="_Toc184314458"/>
      <w:bookmarkEnd w:id="218"/>
      <w:bookmarkStart w:id="219" w:name="_Toc184314467"/>
      <w:bookmarkEnd w:id="219"/>
      <w:bookmarkStart w:id="220" w:name="_Toc184314466"/>
      <w:bookmarkEnd w:id="220"/>
      <w:bookmarkStart w:id="221" w:name="_Toc184314461"/>
      <w:bookmarkEnd w:id="221"/>
      <w:bookmarkStart w:id="222" w:name="_Toc184312093"/>
      <w:bookmarkEnd w:id="222"/>
      <w:bookmarkStart w:id="223" w:name="_Toc184310307"/>
      <w:bookmarkEnd w:id="223"/>
      <w:bookmarkStart w:id="224" w:name="_Toc184310322"/>
      <w:bookmarkEnd w:id="224"/>
      <w:bookmarkStart w:id="225" w:name="_Toc184314426"/>
      <w:bookmarkEnd w:id="225"/>
      <w:bookmarkStart w:id="226" w:name="_Toc184312132"/>
      <w:bookmarkEnd w:id="226"/>
      <w:bookmarkStart w:id="227" w:name="_Toc184310303"/>
      <w:bookmarkEnd w:id="227"/>
      <w:bookmarkStart w:id="228" w:name="_Toc184312122"/>
      <w:bookmarkEnd w:id="228"/>
      <w:bookmarkStart w:id="229" w:name="_Toc184313286"/>
      <w:bookmarkEnd w:id="229"/>
      <w:bookmarkStart w:id="230" w:name="_Toc184310334"/>
      <w:bookmarkEnd w:id="230"/>
      <w:bookmarkStart w:id="231" w:name="_Toc184310332"/>
      <w:bookmarkEnd w:id="231"/>
      <w:bookmarkStart w:id="232" w:name="_Toc184310320"/>
      <w:bookmarkEnd w:id="232"/>
      <w:bookmarkStart w:id="233" w:name="_Toc184308062"/>
      <w:bookmarkEnd w:id="233"/>
      <w:bookmarkStart w:id="234" w:name="_Toc184310329"/>
      <w:bookmarkEnd w:id="234"/>
      <w:bookmarkStart w:id="235" w:name="_Toc184313310"/>
      <w:bookmarkEnd w:id="235"/>
      <w:bookmarkStart w:id="236" w:name="_Toc184313297"/>
      <w:bookmarkEnd w:id="236"/>
      <w:bookmarkStart w:id="237" w:name="_Toc184310291"/>
      <w:bookmarkEnd w:id="237"/>
      <w:bookmarkStart w:id="238" w:name="_Toc184314449"/>
      <w:bookmarkEnd w:id="238"/>
      <w:bookmarkStart w:id="239" w:name="_Toc184313280"/>
      <w:bookmarkEnd w:id="239"/>
      <w:bookmarkStart w:id="240" w:name="_Toc184308093"/>
      <w:bookmarkEnd w:id="240"/>
      <w:bookmarkStart w:id="241" w:name="_Toc184314451"/>
      <w:bookmarkEnd w:id="241"/>
      <w:bookmarkStart w:id="242" w:name="_Toc184314416"/>
      <w:bookmarkEnd w:id="242"/>
      <w:bookmarkStart w:id="243" w:name="_Toc184314425"/>
      <w:bookmarkEnd w:id="243"/>
      <w:bookmarkStart w:id="244" w:name="_Toc184308078"/>
      <w:bookmarkEnd w:id="244"/>
      <w:bookmarkStart w:id="245" w:name="_Toc184312119"/>
      <w:bookmarkEnd w:id="245"/>
      <w:bookmarkStart w:id="246" w:name="_Toc184312114"/>
      <w:bookmarkEnd w:id="246"/>
      <w:bookmarkStart w:id="247" w:name="_Toc184314442"/>
      <w:bookmarkEnd w:id="247"/>
      <w:bookmarkStart w:id="248" w:name="_Toc184313299"/>
      <w:bookmarkEnd w:id="248"/>
      <w:bookmarkStart w:id="249" w:name="_Toc184308066"/>
      <w:bookmarkEnd w:id="249"/>
      <w:bookmarkStart w:id="250" w:name="_Toc184313239"/>
      <w:bookmarkEnd w:id="250"/>
      <w:bookmarkStart w:id="251" w:name="_Toc184310294"/>
      <w:bookmarkEnd w:id="251"/>
      <w:bookmarkStart w:id="252" w:name="_Toc184310324"/>
      <w:bookmarkEnd w:id="252"/>
      <w:bookmarkStart w:id="253" w:name="_Toc184312133"/>
      <w:bookmarkEnd w:id="253"/>
      <w:bookmarkStart w:id="254" w:name="_Toc184313293"/>
      <w:bookmarkEnd w:id="254"/>
      <w:bookmarkStart w:id="255" w:name="_Toc184308063"/>
      <w:bookmarkEnd w:id="255"/>
      <w:bookmarkStart w:id="256" w:name="_Toc184313272"/>
      <w:bookmarkEnd w:id="256"/>
      <w:bookmarkStart w:id="257" w:name="_Toc184310280"/>
      <w:bookmarkEnd w:id="257"/>
      <w:bookmarkStart w:id="258" w:name="_Toc184314475"/>
      <w:bookmarkEnd w:id="258"/>
      <w:bookmarkStart w:id="259" w:name="_Toc184312116"/>
      <w:bookmarkEnd w:id="259"/>
      <w:bookmarkStart w:id="260" w:name="_Toc184310336"/>
      <w:bookmarkEnd w:id="260"/>
      <w:bookmarkStart w:id="261" w:name="_Toc184312127"/>
      <w:bookmarkEnd w:id="261"/>
      <w:bookmarkStart w:id="262" w:name="_Toc184312086"/>
      <w:bookmarkEnd w:id="262"/>
      <w:bookmarkStart w:id="263" w:name="_Toc184308107"/>
      <w:bookmarkEnd w:id="263"/>
      <w:bookmarkStart w:id="264" w:name="_Toc184313257"/>
      <w:bookmarkEnd w:id="264"/>
      <w:bookmarkStart w:id="265" w:name="_Toc184312118"/>
      <w:bookmarkEnd w:id="265"/>
      <w:bookmarkStart w:id="266" w:name="_Toc184312071"/>
      <w:bookmarkEnd w:id="266"/>
      <w:bookmarkStart w:id="267" w:name="_Toc184310342"/>
      <w:bookmarkEnd w:id="267"/>
      <w:bookmarkStart w:id="268" w:name="_Toc184313304"/>
      <w:bookmarkEnd w:id="268"/>
      <w:bookmarkStart w:id="269" w:name="_Toc184308061"/>
      <w:bookmarkEnd w:id="269"/>
      <w:bookmarkStart w:id="270" w:name="_Toc184312067"/>
      <w:bookmarkEnd w:id="270"/>
      <w:bookmarkStart w:id="271" w:name="_Toc184310337"/>
      <w:bookmarkEnd w:id="271"/>
      <w:bookmarkStart w:id="272" w:name="_Toc184313253"/>
      <w:bookmarkEnd w:id="272"/>
      <w:bookmarkStart w:id="273" w:name="_Toc184314435"/>
      <w:bookmarkEnd w:id="273"/>
      <w:bookmarkStart w:id="274" w:name="_Toc184312113"/>
      <w:bookmarkEnd w:id="274"/>
      <w:bookmarkStart w:id="275" w:name="_Toc184312073"/>
      <w:bookmarkEnd w:id="275"/>
      <w:bookmarkStart w:id="276" w:name="_Toc184308099"/>
      <w:bookmarkEnd w:id="276"/>
      <w:bookmarkStart w:id="277" w:name="_Toc184310281"/>
      <w:bookmarkEnd w:id="277"/>
      <w:bookmarkStart w:id="278" w:name="_Toc184312068"/>
      <w:bookmarkEnd w:id="278"/>
      <w:bookmarkStart w:id="279" w:name="_Toc184308052"/>
      <w:bookmarkEnd w:id="279"/>
      <w:bookmarkStart w:id="280" w:name="_Toc184312123"/>
      <w:bookmarkEnd w:id="280"/>
      <w:bookmarkStart w:id="281" w:name="_Toc184313249"/>
      <w:bookmarkEnd w:id="281"/>
      <w:bookmarkStart w:id="282" w:name="_Toc184308103"/>
      <w:bookmarkEnd w:id="282"/>
      <w:bookmarkStart w:id="283" w:name="_Toc184314448"/>
      <w:bookmarkEnd w:id="283"/>
      <w:bookmarkStart w:id="284" w:name="_Toc184313277"/>
      <w:bookmarkEnd w:id="284"/>
      <w:bookmarkStart w:id="285" w:name="_Toc184308067"/>
      <w:bookmarkEnd w:id="285"/>
      <w:bookmarkStart w:id="286" w:name="_Toc184308043"/>
      <w:bookmarkEnd w:id="286"/>
      <w:bookmarkStart w:id="287" w:name="_Toc184314468"/>
      <w:bookmarkEnd w:id="287"/>
      <w:bookmarkStart w:id="288" w:name="_Toc184312139"/>
      <w:bookmarkEnd w:id="288"/>
      <w:bookmarkStart w:id="289" w:name="_Toc184314445"/>
      <w:bookmarkEnd w:id="289"/>
      <w:bookmarkStart w:id="290" w:name="_Toc184312111"/>
      <w:bookmarkEnd w:id="290"/>
      <w:bookmarkStart w:id="291" w:name="_Toc184312100"/>
      <w:bookmarkEnd w:id="291"/>
      <w:bookmarkStart w:id="292" w:name="_Toc184310323"/>
      <w:bookmarkEnd w:id="292"/>
      <w:bookmarkStart w:id="293" w:name="_Toc184312091"/>
      <w:bookmarkEnd w:id="293"/>
      <w:bookmarkStart w:id="294" w:name="_Toc184310317"/>
      <w:bookmarkEnd w:id="294"/>
      <w:bookmarkStart w:id="295" w:name="_Toc184314463"/>
      <w:bookmarkEnd w:id="295"/>
      <w:bookmarkStart w:id="296" w:name="_Toc184313300"/>
      <w:bookmarkEnd w:id="296"/>
      <w:bookmarkStart w:id="297" w:name="_Toc184310300"/>
      <w:bookmarkEnd w:id="297"/>
      <w:bookmarkStart w:id="298" w:name="_Toc184310301"/>
      <w:bookmarkEnd w:id="298"/>
      <w:bookmarkStart w:id="299" w:name="_Toc184312106"/>
      <w:bookmarkEnd w:id="299"/>
      <w:bookmarkStart w:id="300" w:name="_Toc184313242"/>
      <w:bookmarkEnd w:id="300"/>
      <w:bookmarkStart w:id="301" w:name="_Toc184314424"/>
      <w:bookmarkEnd w:id="301"/>
      <w:bookmarkStart w:id="302" w:name="_Toc184308047"/>
      <w:bookmarkEnd w:id="302"/>
      <w:bookmarkStart w:id="303" w:name="_Toc184310272"/>
      <w:bookmarkEnd w:id="303"/>
      <w:bookmarkStart w:id="304" w:name="_Toc184308085"/>
      <w:bookmarkEnd w:id="304"/>
      <w:bookmarkStart w:id="305" w:name="_Toc184310309"/>
      <w:bookmarkEnd w:id="305"/>
      <w:bookmarkStart w:id="306" w:name="_Toc184308073"/>
      <w:bookmarkEnd w:id="306"/>
      <w:bookmarkStart w:id="307" w:name="_Toc184313282"/>
      <w:bookmarkEnd w:id="307"/>
      <w:bookmarkStart w:id="308" w:name="_Toc184310328"/>
      <w:bookmarkEnd w:id="308"/>
      <w:bookmarkStart w:id="309" w:name="_Toc184310331"/>
      <w:bookmarkEnd w:id="309"/>
      <w:bookmarkStart w:id="310" w:name="_Toc184308087"/>
      <w:bookmarkEnd w:id="310"/>
      <w:bookmarkStart w:id="311" w:name="_Toc184314436"/>
      <w:bookmarkEnd w:id="311"/>
      <w:bookmarkStart w:id="312" w:name="_Toc184313262"/>
      <w:bookmarkEnd w:id="312"/>
      <w:bookmarkStart w:id="313" w:name="_Toc184313291"/>
      <w:bookmarkEnd w:id="313"/>
      <w:bookmarkStart w:id="314" w:name="_Toc184314432"/>
      <w:bookmarkEnd w:id="314"/>
      <w:bookmarkStart w:id="315" w:name="_Toc184308036"/>
      <w:bookmarkEnd w:id="315"/>
      <w:bookmarkStart w:id="316" w:name="_Toc184312074"/>
      <w:bookmarkEnd w:id="316"/>
      <w:bookmarkStart w:id="317" w:name="_Toc184313264"/>
      <w:bookmarkEnd w:id="317"/>
      <w:bookmarkStart w:id="318" w:name="_Toc184308076"/>
      <w:bookmarkEnd w:id="318"/>
      <w:bookmarkStart w:id="319" w:name="_Toc184314450"/>
      <w:bookmarkEnd w:id="319"/>
      <w:bookmarkStart w:id="320" w:name="_Toc184308077"/>
      <w:bookmarkEnd w:id="320"/>
      <w:bookmarkStart w:id="321" w:name="_Toc184310292"/>
      <w:bookmarkEnd w:id="321"/>
      <w:bookmarkStart w:id="322" w:name="_Toc184313263"/>
      <w:bookmarkEnd w:id="322"/>
      <w:bookmarkStart w:id="323" w:name="_Toc184314430"/>
      <w:bookmarkEnd w:id="323"/>
      <w:bookmarkStart w:id="324" w:name="_Toc184313260"/>
      <w:bookmarkEnd w:id="324"/>
      <w:bookmarkStart w:id="325" w:name="_Toc184313273"/>
      <w:bookmarkEnd w:id="325"/>
      <w:bookmarkStart w:id="326" w:name="_Toc184312121"/>
      <w:bookmarkEnd w:id="326"/>
      <w:bookmarkStart w:id="327" w:name="_Toc184308081"/>
      <w:bookmarkEnd w:id="327"/>
      <w:bookmarkStart w:id="328" w:name="_Toc184312109"/>
      <w:bookmarkEnd w:id="328"/>
      <w:bookmarkStart w:id="329" w:name="_Toc184310290"/>
      <w:bookmarkEnd w:id="329"/>
      <w:bookmarkStart w:id="330" w:name="_Toc184313287"/>
      <w:bookmarkEnd w:id="330"/>
      <w:bookmarkStart w:id="331" w:name="_Toc184313255"/>
      <w:bookmarkEnd w:id="331"/>
      <w:bookmarkStart w:id="332" w:name="_Toc184313278"/>
      <w:bookmarkEnd w:id="332"/>
      <w:bookmarkStart w:id="333" w:name="_Toc184308071"/>
      <w:bookmarkEnd w:id="333"/>
      <w:bookmarkStart w:id="334" w:name="_Toc184312117"/>
      <w:bookmarkEnd w:id="334"/>
      <w:bookmarkStart w:id="335" w:name="_Toc184313302"/>
      <w:bookmarkEnd w:id="335"/>
      <w:bookmarkStart w:id="336" w:name="_Toc184308079"/>
      <w:bookmarkEnd w:id="336"/>
      <w:bookmarkStart w:id="337" w:name="_Toc184314419"/>
      <w:bookmarkEnd w:id="337"/>
      <w:bookmarkStart w:id="338" w:name="_Toc184310308"/>
      <w:bookmarkEnd w:id="338"/>
      <w:bookmarkStart w:id="339" w:name="_Toc184310326"/>
      <w:bookmarkEnd w:id="339"/>
      <w:bookmarkStart w:id="340" w:name="_Toc184308105"/>
      <w:bookmarkEnd w:id="340"/>
      <w:bookmarkStart w:id="341" w:name="_Toc184312108"/>
      <w:bookmarkEnd w:id="341"/>
      <w:bookmarkStart w:id="342" w:name="_Toc184312078"/>
      <w:bookmarkEnd w:id="342"/>
      <w:bookmarkStart w:id="343" w:name="_Toc184312115"/>
      <w:bookmarkEnd w:id="343"/>
      <w:bookmarkStart w:id="344" w:name="_Toc184313301"/>
      <w:bookmarkEnd w:id="344"/>
      <w:bookmarkStart w:id="345" w:name="_Toc184308082"/>
      <w:bookmarkEnd w:id="345"/>
      <w:bookmarkStart w:id="346" w:name="_Toc184310275"/>
      <w:bookmarkEnd w:id="346"/>
      <w:bookmarkStart w:id="347" w:name="_Toc184310343"/>
      <w:bookmarkEnd w:id="347"/>
      <w:bookmarkStart w:id="348" w:name="_Toc184310319"/>
      <w:bookmarkEnd w:id="348"/>
      <w:bookmarkStart w:id="349" w:name="_Toc184312079"/>
      <w:bookmarkEnd w:id="349"/>
      <w:bookmarkStart w:id="350" w:name="_Toc184313247"/>
      <w:bookmarkEnd w:id="350"/>
      <w:bookmarkStart w:id="351" w:name="_Toc184314477"/>
      <w:bookmarkEnd w:id="351"/>
      <w:bookmarkStart w:id="352" w:name="_Toc184312125"/>
      <w:bookmarkEnd w:id="352"/>
      <w:bookmarkStart w:id="353" w:name="_Toc184308101"/>
      <w:bookmarkEnd w:id="353"/>
      <w:bookmarkStart w:id="354" w:name="_Toc184312080"/>
      <w:bookmarkEnd w:id="354"/>
      <w:bookmarkStart w:id="355" w:name="_Toc184312085"/>
      <w:bookmarkEnd w:id="355"/>
      <w:bookmarkStart w:id="356" w:name="_Toc184312131"/>
      <w:bookmarkEnd w:id="356"/>
      <w:bookmarkStart w:id="357" w:name="_Toc184310312"/>
      <w:bookmarkEnd w:id="357"/>
      <w:bookmarkStart w:id="358" w:name="_Toc184314440"/>
      <w:bookmarkEnd w:id="358"/>
      <w:bookmarkStart w:id="359" w:name="_Toc184308091"/>
      <w:bookmarkEnd w:id="359"/>
      <w:bookmarkStart w:id="360" w:name="_Toc184308056"/>
      <w:bookmarkEnd w:id="360"/>
      <w:bookmarkStart w:id="361" w:name="_Toc184310333"/>
      <w:bookmarkEnd w:id="361"/>
      <w:bookmarkStart w:id="362" w:name="_Toc184308055"/>
      <w:bookmarkEnd w:id="362"/>
      <w:bookmarkStart w:id="363" w:name="_Toc184310288"/>
      <w:bookmarkEnd w:id="363"/>
      <w:bookmarkStart w:id="364" w:name="_Toc184314459"/>
      <w:bookmarkEnd w:id="364"/>
      <w:bookmarkStart w:id="365" w:name="_Toc184314412"/>
      <w:bookmarkEnd w:id="365"/>
      <w:bookmarkStart w:id="366" w:name="_Toc184308050"/>
      <w:bookmarkEnd w:id="366"/>
      <w:bookmarkStart w:id="367" w:name="_Toc184312090"/>
      <w:bookmarkEnd w:id="367"/>
      <w:bookmarkStart w:id="368" w:name="_Toc184308057"/>
      <w:bookmarkEnd w:id="368"/>
      <w:bookmarkStart w:id="369" w:name="_Toc184308098"/>
      <w:bookmarkEnd w:id="369"/>
      <w:bookmarkStart w:id="370" w:name="_Toc184310340"/>
      <w:bookmarkEnd w:id="370"/>
      <w:bookmarkStart w:id="371" w:name="_Toc184308108"/>
      <w:bookmarkEnd w:id="371"/>
      <w:bookmarkStart w:id="372" w:name="_Toc184310344"/>
      <w:bookmarkEnd w:id="372"/>
      <w:bookmarkStart w:id="373" w:name="_Toc184314476"/>
      <w:bookmarkEnd w:id="373"/>
      <w:bookmarkStart w:id="374" w:name="_Toc184312134"/>
      <w:bookmarkEnd w:id="374"/>
      <w:bookmarkStart w:id="375" w:name="_Toc184312103"/>
      <w:bookmarkEnd w:id="375"/>
      <w:bookmarkStart w:id="376" w:name="_Toc184310341"/>
      <w:bookmarkEnd w:id="376"/>
      <w:bookmarkStart w:id="377" w:name="_Toc184314410"/>
      <w:bookmarkEnd w:id="377"/>
      <w:bookmarkStart w:id="378" w:name="_Toc184314446"/>
      <w:bookmarkEnd w:id="378"/>
      <w:bookmarkStart w:id="379" w:name="_Toc184308042"/>
      <w:bookmarkEnd w:id="379"/>
      <w:bookmarkStart w:id="380" w:name="_Toc184308094"/>
      <w:bookmarkEnd w:id="380"/>
      <w:bookmarkStart w:id="381" w:name="_Toc184313251"/>
      <w:bookmarkEnd w:id="381"/>
      <w:bookmarkStart w:id="382" w:name="_Toc184314464"/>
      <w:bookmarkEnd w:id="382"/>
      <w:bookmarkStart w:id="383" w:name="_Toc184314433"/>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p>
    <w:p>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r>
        <w:rPr>
          <w:rFonts w:hint="eastAsia" w:ascii="宋体" w:hAnsi="宋体" w:cs="宋体"/>
          <w:color w:val="auto"/>
          <w:kern w:val="0"/>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rPr>
        <w:t>L在采购人规定的截止时间以后送达的响应文件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rPr>
        <w:t>M未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要求缴纳询价保证金的（若有）</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的（若有）</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1.评审办法：询价评审小组应当从质量和服务均能满足询价采购文件实质性响应要求的供应商中，按照报价由低到高的顺序提出成交候选人。</w:t>
      </w:r>
    </w:p>
    <w:p>
      <w:pPr>
        <w:pStyle w:val="5"/>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pPr>
        <w:pStyle w:val="5"/>
        <w:ind w:firstLine="480" w:firstLineChars="200"/>
        <w:rPr>
          <w:rFonts w:hint="eastAsia" w:eastAsiaTheme="minorEastAsia"/>
          <w:color w:val="auto"/>
          <w:highlight w:val="none"/>
          <w:lang w:eastAsia="zh-CN"/>
        </w:rPr>
      </w:pPr>
      <w:r>
        <w:rPr>
          <w:color w:val="auto"/>
          <w:highlight w:val="none"/>
          <w:lang w:val="en-US"/>
        </w:rPr>
        <w:t>1.2</w:t>
      </w:r>
      <w:r>
        <w:rPr>
          <w:rFonts w:hint="eastAsia"/>
          <w:color w:val="auto"/>
          <w:highlight w:val="none"/>
          <w:lang w:val="en-US"/>
        </w:rPr>
        <w:t>若</w:t>
      </w:r>
      <w:r>
        <w:rPr>
          <w:rFonts w:hint="eastAsia"/>
          <w:color w:val="auto"/>
          <w:highlight w:val="none"/>
        </w:rPr>
        <w:t>出现相同总金额最低报价情况时</w:t>
      </w:r>
      <w:r>
        <w:rPr>
          <w:rFonts w:hint="eastAsia"/>
          <w:b/>
          <w:bCs/>
          <w:color w:val="auto"/>
          <w:highlight w:val="none"/>
        </w:rPr>
        <w:t>，则由</w:t>
      </w:r>
      <w:r>
        <w:rPr>
          <w:rFonts w:hint="eastAsia"/>
          <w:b/>
          <w:bCs/>
          <w:color w:val="auto"/>
          <w:highlight w:val="none"/>
          <w:lang w:val="en-US" w:eastAsia="zh-CN"/>
        </w:rPr>
        <w:t>评审小组</w:t>
      </w:r>
      <w:r>
        <w:rPr>
          <w:rFonts w:hint="eastAsia"/>
          <w:b/>
          <w:bCs/>
          <w:color w:val="auto"/>
          <w:highlight w:val="none"/>
        </w:rPr>
        <w:t>按少数服从多数的原则通过投票表决决定</w:t>
      </w:r>
      <w:r>
        <w:rPr>
          <w:rFonts w:hint="eastAsia"/>
          <w:b/>
          <w:bCs/>
          <w:color w:val="auto"/>
          <w:highlight w:val="none"/>
          <w:lang w:eastAsia="zh-CN"/>
        </w:rPr>
        <w:t>。</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第二次询价后，报价未超过采购限价的供应商或者经评审有效的供应商仍少于3个，</w:t>
      </w:r>
      <w:r>
        <w:rPr>
          <w:rFonts w:hint="eastAsia" w:cs="仿宋" w:asciiTheme="minorEastAsia" w:hAnsiTheme="minorEastAsia"/>
          <w:color w:val="auto"/>
          <w:sz w:val="24"/>
          <w:highlight w:val="none"/>
          <w:lang w:val="en-US" w:eastAsia="zh-CN"/>
        </w:rPr>
        <w:t>采购项目终止</w:t>
      </w:r>
      <w:r>
        <w:rPr>
          <w:rFonts w:hint="eastAsia" w:cs="仿宋" w:asciiTheme="minorEastAsia" w:hAnsiTheme="minorEastAsia"/>
          <w:color w:val="auto"/>
          <w:sz w:val="24"/>
          <w:highlight w:val="none"/>
        </w:rPr>
        <w:t>。</w:t>
      </w:r>
    </w:p>
    <w:p>
      <w:pPr>
        <w:pStyle w:val="5"/>
        <w:rPr>
          <w:color w:val="auto"/>
          <w:highlight w:val="none"/>
          <w:lang w:val="en-US"/>
        </w:rPr>
      </w:pP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pPr>
        <w:rPr>
          <w:rFonts w:ascii="宋体" w:hAnsi="宋体" w:cs="宋体"/>
          <w:color w:val="auto"/>
          <w:sz w:val="24"/>
          <w:highlight w:val="none"/>
        </w:rPr>
      </w:pP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pPr>
        <w:spacing w:line="480" w:lineRule="auto"/>
        <w:rPr>
          <w:rFonts w:ascii="宋体" w:hAnsi="宋体" w:cs="宋体"/>
          <w:b/>
          <w:color w:val="auto"/>
          <w:sz w:val="24"/>
          <w:highlight w:val="none"/>
        </w:rPr>
      </w:pPr>
    </w:p>
    <w:p>
      <w:pPr>
        <w:pStyle w:val="2"/>
        <w:rPr>
          <w:rFonts w:ascii="宋体" w:hAnsi="宋体" w:cs="宋体"/>
          <w:color w:val="auto"/>
          <w:sz w:val="24"/>
          <w:highlight w:val="none"/>
        </w:rPr>
      </w:pPr>
    </w:p>
    <w:p>
      <w:pPr>
        <w:rPr>
          <w:color w:val="auto"/>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pPr>
        <w:pStyle w:val="22"/>
        <w:rPr>
          <w:rFonts w:ascii="宋体" w:hAnsi="宋体" w:cs="宋体"/>
          <w:color w:val="auto"/>
          <w:szCs w:val="24"/>
          <w:highlight w:val="none"/>
        </w:rPr>
      </w:pPr>
    </w:p>
    <w:p>
      <w:pPr>
        <w:spacing w:before="120" w:line="22" w:lineRule="atLeast"/>
        <w:ind w:left="960"/>
        <w:rPr>
          <w:rFonts w:hint="default" w:ascii="宋体" w:hAnsi="宋体" w:eastAsia="宋体" w:cs="宋体"/>
          <w:color w:val="auto"/>
          <w:highlight w:val="none"/>
          <w:lang w:val="en-US"/>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2024年临江公司SICK</w:t>
      </w:r>
      <w:r>
        <w:rPr>
          <w:rFonts w:hint="eastAsia" w:ascii="宋体" w:hAnsi="宋体" w:cs="宋体"/>
          <w:color w:val="auto"/>
          <w:sz w:val="24"/>
          <w:highlight w:val="none"/>
          <w:u w:val="single"/>
          <w:lang w:val="en-US" w:eastAsia="zh-CN"/>
        </w:rPr>
        <w:t>备件</w:t>
      </w:r>
      <w:r>
        <w:rPr>
          <w:rFonts w:hint="eastAsia" w:ascii="宋体" w:hAnsi="宋体" w:cs="宋体"/>
          <w:color w:val="auto"/>
          <w:sz w:val="24"/>
          <w:highlight w:val="none"/>
          <w:u w:val="single"/>
          <w:lang w:eastAsia="zh-CN"/>
        </w:rPr>
        <w:t>采购</w:t>
      </w:r>
      <w:r>
        <w:rPr>
          <w:rFonts w:hint="eastAsia" w:ascii="宋体" w:hAnsi="宋体" w:cs="宋体"/>
          <w:color w:val="auto"/>
          <w:sz w:val="24"/>
          <w:highlight w:val="none"/>
          <w:u w:val="single"/>
          <w:lang w:val="en-US" w:eastAsia="zh-CN"/>
        </w:rPr>
        <w:t xml:space="preserve">         </w:t>
      </w: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22"/>
        <w:ind w:left="0" w:leftChars="0" w:firstLine="0" w:firstLineChars="0"/>
        <w:rPr>
          <w:rFonts w:ascii="宋体" w:hAnsi="宋体" w:cs="宋体"/>
          <w:b/>
          <w:color w:val="auto"/>
          <w:szCs w:val="24"/>
          <w:highlight w:val="none"/>
        </w:rPr>
      </w:pPr>
    </w:p>
    <w:p>
      <w:pPr>
        <w:pStyle w:val="6"/>
        <w:jc w:val="center"/>
        <w:rPr>
          <w:rFonts w:eastAsia="宋体"/>
          <w:b/>
          <w:bCs/>
          <w:color w:val="auto"/>
          <w:highlight w:val="none"/>
        </w:rPr>
      </w:pPr>
      <w:r>
        <w:rPr>
          <w:rFonts w:hint="eastAsia"/>
          <w:b/>
          <w:bCs/>
          <w:color w:val="auto"/>
          <w:highlight w:val="none"/>
        </w:rPr>
        <w:t>目录</w:t>
      </w:r>
    </w:p>
    <w:p>
      <w:pPr>
        <w:pStyle w:val="8"/>
        <w:spacing w:line="360" w:lineRule="auto"/>
        <w:ind w:firstLine="240" w:firstLineChars="100"/>
        <w:rPr>
          <w:color w:val="auto"/>
          <w:highlight w:val="none"/>
        </w:rPr>
      </w:pPr>
      <w:r>
        <w:rPr>
          <w:rFonts w:hint="eastAsia"/>
          <w:color w:val="auto"/>
          <w:highlight w:val="none"/>
        </w:rPr>
        <w:t>第一章 合同书  ……………………………………………………………（页码）</w:t>
      </w:r>
    </w:p>
    <w:p>
      <w:pPr>
        <w:pStyle w:val="8"/>
        <w:spacing w:line="360" w:lineRule="auto"/>
        <w:ind w:firstLine="240" w:firstLineChars="100"/>
        <w:rPr>
          <w:color w:val="auto"/>
          <w:highlight w:val="none"/>
        </w:rPr>
      </w:pPr>
      <w:r>
        <w:rPr>
          <w:rFonts w:hint="eastAsia"/>
          <w:color w:val="auto"/>
          <w:highlight w:val="none"/>
        </w:rPr>
        <w:t>第二章 合同一般条款………………………………………………………（页码）</w:t>
      </w:r>
    </w:p>
    <w:p>
      <w:pPr>
        <w:pStyle w:val="8"/>
        <w:spacing w:line="360" w:lineRule="auto"/>
        <w:ind w:firstLine="240" w:firstLineChars="100"/>
        <w:rPr>
          <w:color w:val="auto"/>
          <w:highlight w:val="none"/>
        </w:rPr>
      </w:pPr>
      <w:r>
        <w:rPr>
          <w:rFonts w:hint="eastAsia"/>
          <w:color w:val="auto"/>
          <w:highlight w:val="none"/>
        </w:rPr>
        <w:t>第三章 廉洁协议……………………………………………………………（页码）</w:t>
      </w:r>
    </w:p>
    <w:p>
      <w:pPr>
        <w:pStyle w:val="22"/>
        <w:rPr>
          <w:rFonts w:ascii="宋体" w:hAnsi="宋体" w:cs="宋体"/>
          <w:color w:val="auto"/>
          <w:szCs w:val="24"/>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8"/>
        <w:rPr>
          <w:rFonts w:cs="宋体"/>
          <w:color w:val="auto"/>
          <w:highlight w:val="none"/>
        </w:rPr>
      </w:pPr>
    </w:p>
    <w:p>
      <w:pPr>
        <w:pStyle w:val="22"/>
        <w:ind w:left="0" w:leftChars="0" w:firstLine="0" w:firstLineChars="0"/>
        <w:rPr>
          <w:rFonts w:ascii="宋体" w:hAnsi="宋体" w:cs="宋体"/>
          <w:color w:val="auto"/>
          <w:szCs w:val="24"/>
          <w:highlight w:val="none"/>
        </w:rPr>
      </w:pPr>
    </w:p>
    <w:p>
      <w:pPr>
        <w:pStyle w:val="22"/>
        <w:ind w:left="0" w:leftChars="0" w:firstLine="0" w:firstLineChars="0"/>
        <w:jc w:val="center"/>
        <w:rPr>
          <w:rFonts w:ascii="宋体" w:hAnsi="宋体" w:cs="宋体"/>
          <w:b/>
          <w:color w:val="auto"/>
          <w:szCs w:val="24"/>
          <w:highlight w:val="none"/>
        </w:rPr>
      </w:pPr>
    </w:p>
    <w:p>
      <w:pPr>
        <w:pStyle w:val="22"/>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2024年临江公司SICK</w:t>
      </w:r>
      <w:r>
        <w:rPr>
          <w:rFonts w:hint="eastAsia" w:ascii="宋体" w:hAnsi="宋体" w:cs="宋体"/>
          <w:color w:val="auto"/>
          <w:sz w:val="24"/>
          <w:highlight w:val="none"/>
          <w:u w:val="single"/>
          <w:lang w:val="en-US" w:eastAsia="zh-CN"/>
        </w:rPr>
        <w:t>备件</w:t>
      </w:r>
      <w:r>
        <w:rPr>
          <w:rFonts w:hint="eastAsia" w:ascii="宋体" w:hAnsi="宋体" w:cs="宋体"/>
          <w:color w:val="auto"/>
          <w:sz w:val="24"/>
          <w:highlight w:val="none"/>
          <w:u w:val="single"/>
          <w:lang w:eastAsia="zh-CN"/>
        </w:rPr>
        <w:t>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（成交供应商名称）</w:t>
      </w:r>
      <w:r>
        <w:rPr>
          <w:rFonts w:hint="eastAsia" w:ascii="宋体" w:hAnsi="宋体" w:cs="宋体"/>
          <w:color w:val="auto"/>
          <w:sz w:val="24"/>
          <w:highlight w:val="none"/>
        </w:rPr>
        <w:t>为该项目中标或者成交供应商。现于中标或者成交通知书发出之日起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pP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sz w:val="24"/>
          <w:highlight w:val="none"/>
          <w:lang w:eastAsia="zh-CN"/>
        </w:rPr>
        <w:t>，</w:t>
      </w:r>
      <w:r>
        <w:rPr>
          <w:rFonts w:hint="eastAsia" w:ascii="宋体" w:hAnsi="宋体" w:cs="宋体"/>
          <w:sz w:val="24"/>
          <w:highlight w:val="none"/>
          <w:lang w:val="en-US" w:eastAsia="zh-CN"/>
        </w:rPr>
        <w:t>在合同履行有效期内，合同价格不作调整</w:t>
      </w:r>
      <w:r>
        <w:rPr>
          <w:rFonts w:hint="eastAsia" w:ascii="宋体" w:hAnsi="宋体" w:cs="宋体"/>
          <w:sz w:val="24"/>
          <w:highlight w:val="none"/>
        </w:rPr>
        <w:t>。</w:t>
      </w:r>
    </w:p>
    <w:p>
      <w:pPr>
        <w:pStyle w:val="23"/>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w:t>
      </w:r>
      <w:r>
        <w:rPr>
          <w:rFonts w:hint="eastAsia"/>
          <w:bCs/>
          <w:color w:val="auto"/>
          <w:highlight w:val="none"/>
          <w:lang w:val="en-US" w:eastAsia="zh-CN"/>
        </w:rPr>
        <w:t>安装</w:t>
      </w:r>
      <w:r>
        <w:rPr>
          <w:rFonts w:hint="eastAsia"/>
          <w:bCs/>
          <w:color w:val="auto"/>
          <w:highlight w:val="none"/>
        </w:rPr>
        <w:t>。若需要乙方提供</w:t>
      </w:r>
      <w:r>
        <w:rPr>
          <w:rFonts w:hint="eastAsia"/>
          <w:bCs/>
          <w:color w:val="auto"/>
          <w:highlight w:val="none"/>
          <w:lang w:val="en-US" w:eastAsia="zh-CN"/>
        </w:rPr>
        <w:t>安装</w:t>
      </w:r>
      <w:r>
        <w:rPr>
          <w:rFonts w:hint="eastAsia"/>
          <w:bCs/>
          <w:color w:val="auto"/>
          <w:highlight w:val="none"/>
        </w:rPr>
        <w:t>的，则涉及</w:t>
      </w:r>
      <w:r>
        <w:rPr>
          <w:rFonts w:hint="eastAsia"/>
          <w:bCs/>
          <w:color w:val="auto"/>
          <w:highlight w:val="none"/>
          <w:lang w:val="en-US" w:eastAsia="zh-CN"/>
        </w:rPr>
        <w:t>拆旧</w:t>
      </w:r>
      <w:r>
        <w:rPr>
          <w:rFonts w:hint="eastAsia"/>
          <w:bCs/>
          <w:color w:val="auto"/>
          <w:highlight w:val="none"/>
        </w:rPr>
        <w:t>的</w:t>
      </w:r>
      <w:r>
        <w:rPr>
          <w:rFonts w:hint="eastAsia"/>
          <w:bCs/>
          <w:color w:val="auto"/>
          <w:highlight w:val="none"/>
          <w:u w:val="single"/>
        </w:rPr>
        <w:t xml:space="preserve">  所有  </w:t>
      </w:r>
      <w:r>
        <w:rPr>
          <w:rFonts w:hint="eastAsia"/>
          <w:bCs/>
          <w:color w:val="auto"/>
          <w:highlight w:val="none"/>
        </w:rPr>
        <w:t>费用</w:t>
      </w:r>
      <w:r>
        <w:rPr>
          <w:rFonts w:hint="eastAsia"/>
          <w:bCs/>
          <w:color w:val="auto"/>
          <w:highlight w:val="none"/>
          <w:u w:val="single"/>
        </w:rPr>
        <w:t>已包含在货物单价中，甲方不再另外支付费用。</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4"/>
        <w:tblW w:w="96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1346"/>
        <w:gridCol w:w="576"/>
        <w:gridCol w:w="3248"/>
        <w:gridCol w:w="575"/>
        <w:gridCol w:w="632"/>
        <w:gridCol w:w="670"/>
        <w:gridCol w:w="637"/>
        <w:gridCol w:w="696"/>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型号规格及要求</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三固数量</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能源数量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数量合计</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氧化锆传感器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旧货号：2094457 ，新货号：8999809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气室过滤器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货号：2045339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货号：5310158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干燥剂筒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货号：5320799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加热管线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旧货号：6062376； 新货号：6070867;整根不能截断，JH3F d6/8 200度，L=40m， CPT100/ELH/2ADW.NW6/8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1"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伴热管线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新货号：6072681，型号：ELH/2adw-SP，230V50Hz，2*2025W，L=45m，耐热200℃，NW：1*6,1*4</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伴热管线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新货号：6071655，型号：ELH/2adw-SP，230V50Hz，3150W，L=35m，耐热200℃，NW：1*6,1*4</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粉尘仪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型号：FWE200-230V 2AO，含控制箱（变频器、PLC等），测量元件（镜头组、加热室），仪表箱（反馈、控制单元），管线，风机，电机等，仅需要安排1名技术人员现场指导安装，无需安装和环保比对。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MCS100FT "LPMS01 控制 "电气板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货号：2124095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处理器系统模块 LINUX</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货号：2130536</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SCU 面板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货号：2056275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bl>
    <w:p>
      <w:pPr>
        <w:pStyle w:val="13"/>
        <w:jc w:val="both"/>
        <w:rPr>
          <w:rFonts w:hint="eastAsia"/>
          <w:color w:val="auto"/>
          <w:highlight w:val="none"/>
          <w:lang w:eastAsia="zh-CN"/>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p>
    <w:p>
      <w:pPr>
        <w:pStyle w:val="23"/>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eastAsia="zh-CN"/>
        </w:rPr>
        <w:t>期限</w:t>
      </w:r>
      <w:r>
        <w:rPr>
          <w:rFonts w:hint="eastAsia"/>
          <w:b/>
          <w:color w:val="auto"/>
          <w:highlight w:val="none"/>
        </w:rPr>
        <w:t>、货物交付期限、地点和联系方式、交付方式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lang w:val="en-US" w:eastAsia="zh-CN"/>
        </w:rPr>
        <w:t>.交付期限：采购订单下达后30日内到货，若因进口问题造成了货期延长，双方另行协商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single"/>
        </w:rPr>
        <w:t>按采购订单要求执行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single"/>
        </w:rPr>
        <w:t xml:space="preserve"> 按采购订单要求执行 ，基本要求如下：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pPr>
        <w:pStyle w:val="23"/>
        <w:spacing w:before="0" w:beforeAutospacing="0" w:after="0" w:afterAutospacing="0" w:line="360" w:lineRule="auto"/>
        <w:ind w:firstLine="480"/>
        <w:rPr>
          <w:b/>
          <w:color w:val="auto"/>
          <w:highlight w:val="none"/>
        </w:rPr>
      </w:pPr>
      <w:r>
        <w:rPr>
          <w:rFonts w:hint="eastAsia"/>
          <w:b/>
          <w:color w:val="auto"/>
          <w:highlight w:val="none"/>
        </w:rPr>
        <w:t>四、技术和质量要求</w:t>
      </w:r>
    </w:p>
    <w:p>
      <w:pPr>
        <w:pStyle w:val="5"/>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5"/>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，质保有效期必须不少于六个月</w:t>
      </w:r>
      <w:r>
        <w:rPr>
          <w:rFonts w:hint="eastAsia" w:ascii="宋体"/>
          <w:color w:val="auto"/>
          <w:highlight w:val="none"/>
          <w:lang w:val="en-US" w:eastAsia="zh-CN"/>
        </w:rPr>
        <w:t>。</w:t>
      </w:r>
    </w:p>
    <w:p>
      <w:pPr>
        <w:pStyle w:val="6"/>
        <w:rPr>
          <w:rFonts w:hint="default"/>
          <w:color w:val="auto"/>
          <w:highlight w:val="none"/>
          <w:lang w:val="en-US" w:eastAsia="zh-CN"/>
        </w:rPr>
      </w:pPr>
      <w:r>
        <w:rPr>
          <w:rFonts w:hint="eastAsia"/>
          <w:color w:val="auto"/>
          <w:highlight w:val="none"/>
          <w:lang w:val="en-US" w:eastAsia="zh-CN"/>
        </w:rPr>
        <w:t>3.乙方承担质保责任，设备及备件的质保条款按照西克麦哈克(北京)仪器有限公司标准执行，由乙方与厂家沟通处理，由此产生的费用由乙方承担。</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pPr>
        <w:pStyle w:val="5"/>
        <w:ind w:firstLine="480" w:firstLineChars="200"/>
        <w:rPr>
          <w:rFonts w:hint="eastAsia"/>
          <w:color w:val="auto"/>
          <w:highlight w:val="none"/>
          <w:lang w:val="en-US"/>
        </w:rPr>
      </w:pPr>
      <w:r>
        <w:rPr>
          <w:rFonts w:hint="eastAsia"/>
          <w:color w:val="auto"/>
          <w:highlight w:val="none"/>
          <w:lang w:val="en-US"/>
        </w:rPr>
        <w:t>1.根据</w:t>
      </w:r>
      <w:r>
        <w:rPr>
          <w:rFonts w:hint="eastAsia"/>
          <w:color w:val="auto"/>
          <w:highlight w:val="none"/>
          <w:lang w:val="en-US" w:eastAsia="zh-CN"/>
        </w:rPr>
        <w:t>甲方</w:t>
      </w:r>
      <w:r>
        <w:rPr>
          <w:rFonts w:hint="eastAsia"/>
          <w:color w:val="auto"/>
          <w:highlight w:val="none"/>
          <w:lang w:val="en-US"/>
        </w:rPr>
        <w:t>计划，</w:t>
      </w:r>
      <w:r>
        <w:rPr>
          <w:rFonts w:hint="eastAsia"/>
          <w:color w:val="auto"/>
          <w:highlight w:val="none"/>
          <w:lang w:val="en-US" w:eastAsia="zh-CN"/>
        </w:rPr>
        <w:t>分批次</w:t>
      </w:r>
      <w:r>
        <w:rPr>
          <w:rFonts w:hint="eastAsia"/>
          <w:color w:val="auto"/>
          <w:highlight w:val="none"/>
          <w:lang w:val="en-US"/>
        </w:rPr>
        <w:t>供货，</w:t>
      </w:r>
      <w:r>
        <w:rPr>
          <w:rFonts w:hint="eastAsia"/>
          <w:color w:val="auto"/>
          <w:highlight w:val="none"/>
          <w:lang w:val="en-US" w:eastAsia="zh-CN"/>
        </w:rPr>
        <w:t>乙方</w:t>
      </w:r>
      <w:r>
        <w:rPr>
          <w:rFonts w:hint="eastAsia"/>
          <w:color w:val="auto"/>
          <w:highlight w:val="none"/>
          <w:lang w:val="en-US"/>
        </w:rPr>
        <w:t>负责在接到</w:t>
      </w:r>
      <w:r>
        <w:rPr>
          <w:rFonts w:hint="eastAsia"/>
          <w:color w:val="auto"/>
          <w:highlight w:val="none"/>
          <w:lang w:val="en-US" w:eastAsia="zh-CN"/>
        </w:rPr>
        <w:t>甲方</w:t>
      </w:r>
      <w:r>
        <w:rPr>
          <w:rFonts w:hint="eastAsia"/>
          <w:color w:val="auto"/>
          <w:highlight w:val="none"/>
          <w:lang w:val="en-US"/>
        </w:rPr>
        <w:t>电话或书面通知后在30日内完成供货。</w:t>
      </w:r>
      <w:r>
        <w:rPr>
          <w:rFonts w:hint="eastAsia"/>
          <w:color w:val="auto"/>
          <w:highlight w:val="none"/>
          <w:lang w:val="en-US" w:eastAsia="zh-CN"/>
        </w:rPr>
        <w:t>乙方</w:t>
      </w:r>
      <w:r>
        <w:rPr>
          <w:rFonts w:hint="eastAsia"/>
          <w:color w:val="auto"/>
          <w:highlight w:val="none"/>
          <w:lang w:val="en-US"/>
        </w:rPr>
        <w:t>负责卸货，人工费由</w:t>
      </w:r>
      <w:r>
        <w:rPr>
          <w:rFonts w:hint="eastAsia"/>
          <w:color w:val="auto"/>
          <w:highlight w:val="none"/>
          <w:lang w:val="en-US" w:eastAsia="zh-CN"/>
        </w:rPr>
        <w:t>乙方</w:t>
      </w:r>
      <w:r>
        <w:rPr>
          <w:rFonts w:hint="eastAsia"/>
          <w:color w:val="auto"/>
          <w:highlight w:val="none"/>
          <w:lang w:val="en-US"/>
        </w:rPr>
        <w:t>承担，</w:t>
      </w:r>
      <w:r>
        <w:rPr>
          <w:rFonts w:hint="eastAsia"/>
          <w:color w:val="auto"/>
          <w:highlight w:val="none"/>
          <w:lang w:val="en-US" w:eastAsia="zh-CN"/>
        </w:rPr>
        <w:t>甲方</w:t>
      </w:r>
      <w:r>
        <w:rPr>
          <w:rFonts w:hint="eastAsia"/>
          <w:color w:val="auto"/>
          <w:highlight w:val="none"/>
          <w:lang w:val="en-US"/>
        </w:rPr>
        <w:t>可免费提供叉车服务。</w:t>
      </w:r>
    </w:p>
    <w:p>
      <w:pPr>
        <w:pStyle w:val="5"/>
        <w:ind w:firstLine="480" w:firstLineChars="200"/>
        <w:rPr>
          <w:color w:val="auto"/>
          <w:highlight w:val="none"/>
          <w:lang w:val="en-US"/>
        </w:rPr>
      </w:pPr>
      <w:r>
        <w:rPr>
          <w:rFonts w:hint="eastAsia"/>
          <w:color w:val="auto"/>
          <w:highlight w:val="none"/>
          <w:lang w:val="en-US" w:eastAsia="zh-CN"/>
        </w:rPr>
        <w:t>2</w:t>
      </w:r>
      <w:r>
        <w:rPr>
          <w:rFonts w:hint="eastAsia"/>
          <w:color w:val="auto"/>
          <w:highlight w:val="none"/>
          <w:lang w:val="en-US"/>
        </w:rPr>
        <w:t>.乙方必须满足甲方售后服务要求。如使用过程发生问题，乙方须在接到甲方通知后必须4小时内赶到现场进行处理，</w:t>
      </w:r>
      <w:r>
        <w:rPr>
          <w:rFonts w:hint="eastAsia"/>
          <w:color w:val="auto"/>
          <w:highlight w:val="none"/>
          <w:lang w:val="en-US" w:eastAsia="zh-CN"/>
        </w:rPr>
        <w:t>24</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48</w:t>
      </w:r>
      <w:r>
        <w:rPr>
          <w:rFonts w:hint="eastAsia"/>
          <w:color w:val="auto"/>
          <w:highlight w:val="none"/>
          <w:lang w:val="en-US"/>
        </w:rPr>
        <w:t>小时内派人员到达现场进行免费指导解决问题。</w:t>
      </w:r>
    </w:p>
    <w:p>
      <w:pPr>
        <w:pStyle w:val="5"/>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.甲方不再对任何售后服务进行付费。乙方的派遣人员产生的一切费用由供应商承担。</w:t>
      </w:r>
    </w:p>
    <w:p>
      <w:pPr>
        <w:pStyle w:val="5"/>
        <w:ind w:firstLine="480" w:firstLineChars="200"/>
        <w:rPr>
          <w:color w:val="auto"/>
          <w:highlight w:val="none"/>
        </w:rPr>
      </w:pPr>
      <w:r>
        <w:rPr>
          <w:rFonts w:hint="eastAsia"/>
          <w:color w:val="auto"/>
          <w:highlight w:val="none"/>
          <w:u w:val="single"/>
          <w:lang w:val="en-US" w:eastAsia="zh-CN"/>
        </w:rPr>
        <w:t>4</w:t>
      </w:r>
      <w:r>
        <w:rPr>
          <w:rFonts w:hint="eastAsia"/>
          <w:color w:val="auto"/>
          <w:highlight w:val="none"/>
          <w:u w:val="single"/>
          <w:lang w:val="en-US"/>
        </w:rPr>
        <w:t>.在</w:t>
      </w:r>
      <w:r>
        <w:rPr>
          <w:rFonts w:hint="eastAsia"/>
          <w:color w:val="auto"/>
          <w:highlight w:val="none"/>
          <w:u w:val="single"/>
          <w:lang w:val="en-US" w:eastAsia="zh-CN"/>
        </w:rPr>
        <w:t>设备</w:t>
      </w:r>
      <w:r>
        <w:rPr>
          <w:rFonts w:hint="eastAsia"/>
          <w:color w:val="auto"/>
          <w:highlight w:val="none"/>
          <w:u w:val="single"/>
          <w:lang w:val="en-US"/>
        </w:rPr>
        <w:t>使用过程中，造成甲方机械设备故障或货物损坏，由乙方承担</w:t>
      </w:r>
      <w:r>
        <w:rPr>
          <w:rFonts w:hint="eastAsia"/>
          <w:color w:val="auto"/>
          <w:highlight w:val="none"/>
          <w:u w:val="single"/>
          <w:lang w:val="en-US" w:eastAsia="zh-CN"/>
        </w:rPr>
        <w:t>甲方</w:t>
      </w:r>
      <w:r>
        <w:rPr>
          <w:rFonts w:hint="eastAsia"/>
          <w:color w:val="auto"/>
          <w:highlight w:val="none"/>
          <w:u w:val="single"/>
          <w:lang w:val="en-US"/>
        </w:rPr>
        <w:t>的一切损失，包括直接和间接损失。</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rPr>
        <w:t>1.货物交付前，乙方应对货物的质量、数量等方面进行详细、全面的检验，并向甲方</w:t>
      </w:r>
      <w:r>
        <w:rPr>
          <w:rFonts w:hint="eastAsia" w:ascii="宋体" w:hAnsi="宋体" w:cs="宋体"/>
          <w:b/>
          <w:bCs/>
          <w:color w:val="auto"/>
          <w:sz w:val="24"/>
          <w:highlight w:val="none"/>
          <w:u w:val="single"/>
        </w:rPr>
        <w:t>出具证明货物符合合同约定的文件</w:t>
      </w:r>
      <w:r>
        <w:rPr>
          <w:rFonts w:hint="eastAsia" w:ascii="宋体" w:hAnsi="宋体" w:cs="宋体"/>
          <w:color w:val="auto"/>
          <w:sz w:val="24"/>
          <w:highlight w:val="none"/>
        </w:rPr>
        <w:t>；货物交付时，甲方在</w:t>
      </w:r>
      <w:r>
        <w:rPr>
          <w:rFonts w:hint="eastAsia" w:ascii="宋体" w:hAnsi="宋体" w:cs="宋体"/>
          <w:b/>
          <w:color w:val="auto"/>
          <w:sz w:val="24"/>
          <w:highlight w:val="none"/>
          <w:u w:val="single"/>
        </w:rPr>
        <w:t>5个工作日</w:t>
      </w:r>
      <w:r>
        <w:rPr>
          <w:rFonts w:hint="eastAsia" w:ascii="宋体" w:hAnsi="宋体" w:cs="宋体"/>
          <w:color w:val="auto"/>
          <w:sz w:val="24"/>
          <w:highlight w:val="none"/>
        </w:rPr>
        <w:t>内组织验收，验收应出具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如因货物检测需要更长时间的，组织验收时间为自货物交付之日起至甲方收到检测报告后5个工作日内）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若甲方认为有必要可邀请相关方参加。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证明货物符合合同约定的文件是指包括但不限于合格证、检测报告（制造厂家或者第三方机构）、质量承诺</w:t>
      </w:r>
      <w:r>
        <w:rPr>
          <w:rFonts w:hint="eastAsia" w:ascii="宋体" w:hAnsi="宋体" w:cs="宋体"/>
          <w:color w:val="auto"/>
          <w:sz w:val="24"/>
          <w:highlight w:val="none"/>
        </w:rPr>
        <w:t>（格式自拟）</w:t>
      </w:r>
      <w:r>
        <w:rPr>
          <w:rFonts w:hint="eastAsia" w:ascii="宋体" w:hAnsi="宋体" w:eastAsia="宋体" w:cs="宋体"/>
          <w:color w:val="auto"/>
          <w:sz w:val="24"/>
          <w:highlight w:val="none"/>
        </w:rPr>
        <w:t>等证明材料。以下情况</w:t>
      </w:r>
      <w:r>
        <w:rPr>
          <w:rFonts w:hint="eastAsia" w:ascii="宋体" w:hAnsi="宋体" w:cs="宋体"/>
          <w:color w:val="auto"/>
          <w:sz w:val="24"/>
          <w:highlight w:val="none"/>
        </w:rPr>
        <w:t>在甲方同意的前提下，</w:t>
      </w:r>
      <w:r>
        <w:rPr>
          <w:rFonts w:hint="eastAsia" w:ascii="宋体" w:hAnsi="宋体" w:eastAsia="宋体" w:cs="宋体"/>
          <w:color w:val="auto"/>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highlight w:val="none"/>
        </w:rPr>
      </w:pPr>
      <w:r>
        <w:rPr>
          <w:rFonts w:hint="eastAsia" w:ascii="宋体" w:hAnsi="宋体" w:cs="宋体"/>
          <w:color w:val="auto"/>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5"/>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pPr>
        <w:pStyle w:val="6"/>
        <w:rPr>
          <w:color w:val="auto"/>
          <w:highlight w:val="none"/>
          <w:u w:val="single"/>
          <w:lang w:val="en-US"/>
        </w:rPr>
      </w:pPr>
      <w:r>
        <w:rPr>
          <w:rFonts w:ascii="宋体" w:hAnsi="宋体" w:eastAsia="宋体" w:cs="宋体"/>
          <w:color w:val="auto"/>
          <w:sz w:val="24"/>
          <w:highlight w:val="none"/>
          <w:u w:val="single"/>
        </w:rPr>
        <w:t>1.</w:t>
      </w:r>
      <w:r>
        <w:rPr>
          <w:rFonts w:hint="eastAsia" w:hAnsi="宋体" w:eastAsia="宋体" w:cs="宋体"/>
          <w:color w:val="auto"/>
          <w:sz w:val="24"/>
          <w:highlight w:val="none"/>
          <w:u w:val="single"/>
          <w:lang w:val="en-US" w:eastAsia="zh-CN"/>
        </w:rPr>
        <w:t>乙方</w:t>
      </w:r>
      <w:r>
        <w:rPr>
          <w:rFonts w:hint="eastAsia"/>
          <w:color w:val="auto"/>
          <w:highlight w:val="none"/>
          <w:u w:val="single"/>
          <w:lang w:val="en-US" w:eastAsia="zh-CN"/>
        </w:rPr>
        <w:t>须提供该批次货物西克麦哈克(北京)仪器有限公司出厂检验合格报告或质量证明材料（进口货物提供质量证明材料，如报关单、原产地证明、质量证明等一种或者多种纸质材料，国产货物提供合格证等纸质材料）和送货单。</w:t>
      </w:r>
    </w:p>
    <w:p>
      <w:pPr>
        <w:pStyle w:val="5"/>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pPr>
        <w:pStyle w:val="23"/>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single"/>
        </w:rPr>
        <w:t xml:space="preserve"> 电汇/转账 ；</w:t>
      </w:r>
      <w:r>
        <w:rPr>
          <w:rFonts w:hint="eastAsia" w:ascii="宋体" w:hAnsi="宋体" w:cs="宋体"/>
          <w:color w:val="auto"/>
          <w:kern w:val="0"/>
          <w:sz w:val="24"/>
          <w:highlight w:val="none"/>
        </w:rPr>
        <w:t>账户信息如下：</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税号：91330100MA2B02NX2L</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开户行及账号：杭州银行大江东支行 3301040160008775754</w:t>
      </w:r>
    </w:p>
    <w:p>
      <w:pPr>
        <w:spacing w:line="360" w:lineRule="auto"/>
        <w:ind w:firstLine="480" w:firstLineChars="200"/>
        <w:outlineLvl w:val="0"/>
        <w:rPr>
          <w:color w:val="auto"/>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 xml:space="preserve">.甲方在项目验收结束后及时退还履约保证金。甲方在项目通过验收之日起   </w:t>
      </w:r>
      <w:r>
        <w:rPr>
          <w:rFonts w:hint="eastAsia" w:ascii="宋体" w:hAnsi="宋体" w:cs="宋体"/>
          <w:color w:val="auto"/>
          <w:kern w:val="0"/>
          <w:sz w:val="24"/>
          <w:highlight w:val="none"/>
          <w:u w:val="single"/>
        </w:rPr>
        <w:t xml:space="preserve">30 </w:t>
      </w:r>
      <w:r>
        <w:rPr>
          <w:rFonts w:hint="eastAsia" w:ascii="宋体" w:hAnsi="宋体" w:cs="宋体"/>
          <w:color w:val="auto"/>
          <w:kern w:val="0"/>
          <w:sz w:val="24"/>
          <w:highlight w:val="none"/>
        </w:rPr>
        <w:t>个工作日内将履约保证金无息退还乙方。</w:t>
      </w:r>
    </w:p>
    <w:p>
      <w:pPr>
        <w:spacing w:line="360" w:lineRule="auto"/>
        <w:ind w:firstLine="480" w:firstLineChars="200"/>
        <w:outlineLvl w:val="0"/>
        <w:rPr>
          <w:color w:val="auto"/>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highlight w:val="none"/>
          <w:lang w:val="en-US" w:eastAsia="zh-CN"/>
        </w:rPr>
        <w:t>无息</w:t>
      </w:r>
      <w:r>
        <w:rPr>
          <w:rFonts w:hint="eastAsia" w:ascii="宋体" w:hAnsi="宋体" w:cs="宋体"/>
          <w:color w:val="auto"/>
          <w:kern w:val="0"/>
          <w:sz w:val="24"/>
          <w:highlight w:val="none"/>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pPr>
        <w:pStyle w:val="23"/>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3"/>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pPr>
        <w:pStyle w:val="23"/>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pPr>
        <w:pStyle w:val="23"/>
        <w:spacing w:before="0" w:beforeAutospacing="0" w:after="0" w:afterAutospacing="0" w:line="360" w:lineRule="auto"/>
        <w:ind w:firstLine="480"/>
        <w:rPr>
          <w:b/>
          <w:bCs/>
          <w:color w:val="auto"/>
          <w:highlight w:val="none"/>
        </w:rPr>
      </w:pPr>
      <w:r>
        <w:rPr>
          <w:rFonts w:hint="eastAsia"/>
          <w:b/>
          <w:bCs/>
          <w:color w:val="auto"/>
          <w:highlight w:val="none"/>
        </w:rPr>
        <w:t>十、资金支付</w:t>
      </w:r>
    </w:p>
    <w:p>
      <w:pPr>
        <w:pStyle w:val="23"/>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iCs/>
          <w:color w:val="auto"/>
          <w:highlight w:val="none"/>
          <w:u w:val="single"/>
        </w:rPr>
        <w:t>30</w:t>
      </w:r>
      <w:r>
        <w:rPr>
          <w:rFonts w:hint="eastAsia"/>
          <w:color w:val="auto"/>
          <w:highlight w:val="none"/>
        </w:rPr>
        <w:t>个工作日内将资金支付到合同约定的乙方账户。如乙方提供的发票存在问题，甲方有权延迟付款且不承担任何责任。</w:t>
      </w:r>
    </w:p>
    <w:p>
      <w:pPr>
        <w:pStyle w:val="23"/>
        <w:spacing w:before="0" w:beforeAutospacing="0" w:after="0" w:afterAutospacing="0" w:line="360" w:lineRule="auto"/>
        <w:ind w:firstLine="480"/>
        <w:rPr>
          <w:color w:val="auto"/>
          <w:highlight w:val="none"/>
        </w:rPr>
      </w:pPr>
      <w:r>
        <w:rPr>
          <w:rFonts w:hint="eastAsia"/>
          <w:color w:val="auto"/>
          <w:highlight w:val="none"/>
        </w:rPr>
        <w:t xml:space="preserve">2.本合同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（1）质保期限：</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23"/>
        <w:spacing w:before="0" w:beforeAutospacing="0" w:after="0" w:afterAutospacing="0" w:line="360" w:lineRule="auto"/>
        <w:ind w:firstLine="480"/>
        <w:rPr>
          <w:color w:val="auto"/>
          <w:highlight w:val="none"/>
        </w:rPr>
      </w:pPr>
      <w:r>
        <w:rPr>
          <w:rFonts w:hint="eastAsia"/>
          <w:color w:val="auto"/>
          <w:highlight w:val="none"/>
        </w:rPr>
        <w:t>（2）质保金的比例为合同金额的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b/>
          <w:bCs/>
          <w:i/>
          <w:iCs/>
          <w:color w:val="auto"/>
          <w:highlight w:val="none"/>
          <w:u w:val="single"/>
          <w:lang w:val="en-US" w:eastAsia="zh-CN"/>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 xml:space="preserve">金额为 </w:t>
      </w:r>
      <w:r>
        <w:rPr>
          <w:rFonts w:hint="eastAsia"/>
          <w:color w:val="auto"/>
          <w:highlight w:val="none"/>
          <w:u w:val="single"/>
          <w:lang w:val="en-US" w:eastAsia="zh-CN"/>
        </w:rPr>
        <w:t xml:space="preserve"> /  </w:t>
      </w:r>
      <w:r>
        <w:rPr>
          <w:rFonts w:hint="eastAsia"/>
          <w:color w:val="auto"/>
          <w:highlight w:val="none"/>
          <w:lang w:val="en-US" w:eastAsia="zh-CN"/>
        </w:rPr>
        <w:t>元</w:t>
      </w:r>
      <w:r>
        <w:rPr>
          <w:rFonts w:hint="eastAsia"/>
          <w:color w:val="auto"/>
          <w:highlight w:val="none"/>
        </w:rPr>
        <w:t>；</w:t>
      </w:r>
    </w:p>
    <w:p>
      <w:pPr>
        <w:pStyle w:val="23"/>
        <w:spacing w:before="0" w:beforeAutospacing="0" w:after="0" w:afterAutospacing="0" w:line="360" w:lineRule="auto"/>
        <w:ind w:firstLine="480"/>
        <w:rPr>
          <w:color w:val="auto"/>
          <w:highlight w:val="none"/>
        </w:rPr>
      </w:pPr>
      <w:r>
        <w:rPr>
          <w:rFonts w:hint="eastAsia"/>
          <w:color w:val="auto"/>
          <w:highlight w:val="none"/>
        </w:rPr>
        <w:t>（3）质保金支付条件：</w:t>
      </w:r>
      <w:r>
        <w:rPr>
          <w:rFonts w:hint="eastAsia"/>
          <w:color w:val="auto"/>
          <w:highlight w:val="none"/>
          <w:u w:val="single"/>
        </w:rPr>
        <w:t>质保期内无任何质量问题，双方无任何遗留问题 ，质保期结束后30天内甲方无息支付</w:t>
      </w:r>
      <w:r>
        <w:rPr>
          <w:rFonts w:hint="eastAsia"/>
          <w:color w:val="auto"/>
          <w:highlight w:val="none"/>
        </w:rPr>
        <w:t>。</w:t>
      </w:r>
    </w:p>
    <w:p>
      <w:pPr>
        <w:pStyle w:val="23"/>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highlight w:val="none"/>
        </w:rPr>
      </w:pPr>
      <w:r>
        <w:rPr>
          <w:rFonts w:hint="eastAsia"/>
          <w:highlight w:val="none"/>
          <w:u w:val="single"/>
        </w:rPr>
        <w:t xml:space="preserve">（4）其他付款方式：   </w:t>
      </w:r>
      <w:r>
        <w:rPr>
          <w:rFonts w:hint="eastAsia"/>
          <w:highlight w:val="none"/>
          <w:u w:val="single"/>
          <w:lang w:val="en-US" w:eastAsia="zh-CN"/>
        </w:rPr>
        <w:t>/</w:t>
      </w:r>
      <w:r>
        <w:rPr>
          <w:rFonts w:hint="eastAsia"/>
          <w:highlight w:val="none"/>
          <w:u w:val="single"/>
        </w:rPr>
        <w:t xml:space="preserve">          。     </w:t>
      </w:r>
      <w:r>
        <w:rPr>
          <w:rFonts w:hint="eastAsia"/>
          <w:highlight w:val="none"/>
        </w:rPr>
        <w:t xml:space="preserve"> </w:t>
      </w:r>
      <w:r>
        <w:rPr>
          <w:rFonts w:hint="eastAsia"/>
          <w:color w:val="auto"/>
          <w:highlight w:val="none"/>
        </w:rPr>
        <w:t xml:space="preserve">     </w:t>
      </w:r>
    </w:p>
    <w:bookmarkEnd w:id="396"/>
    <w:bookmarkEnd w:id="397"/>
    <w:bookmarkEnd w:id="398"/>
    <w:p>
      <w:pPr>
        <w:spacing w:line="360" w:lineRule="auto"/>
        <w:ind w:firstLine="482" w:firstLineChars="200"/>
        <w:outlineLvl w:val="0"/>
        <w:rPr>
          <w:rFonts w:ascii="宋体" w:hAnsi="宋体" w:cs="宋体"/>
          <w:b/>
          <w:color w:val="auto"/>
          <w:sz w:val="24"/>
          <w:highlight w:val="none"/>
        </w:rPr>
      </w:pPr>
      <w:bookmarkStart w:id="399" w:name="_Toc21423"/>
      <w:bookmarkStart w:id="400" w:name="_Toc19554"/>
      <w:bookmarkStart w:id="401" w:name="_Toc27250"/>
      <w:r>
        <w:rPr>
          <w:rFonts w:hint="eastAsia" w:ascii="宋体" w:hAnsi="宋体" w:cs="宋体"/>
          <w:b/>
          <w:color w:val="auto"/>
          <w:sz w:val="24"/>
          <w:highlight w:val="none"/>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%计算，迟延付款</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（3）甲方无故拒收货物，乙方有权要求甲方按照合同原价支付货款  。</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highlight w:val="none"/>
        </w:rPr>
      </w:pPr>
      <w:bookmarkStart w:id="402" w:name="_Toc28375"/>
      <w:bookmarkStart w:id="403" w:name="_Toc15583"/>
      <w:bookmarkStart w:id="404" w:name="_Toc16021"/>
      <w:r>
        <w:rPr>
          <w:rFonts w:hint="eastAsia" w:ascii="宋体" w:hAnsi="宋体" w:cs="宋体"/>
          <w:b/>
          <w:color w:val="auto"/>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b/>
          <w:i w:val="0"/>
          <w:iCs/>
          <w:color w:val="auto"/>
          <w:sz w:val="24"/>
          <w:highlight w:val="none"/>
          <w:u w:val="single"/>
        </w:rPr>
        <w:t xml:space="preserve">2  </w:t>
      </w:r>
      <w:r>
        <w:rPr>
          <w:rFonts w:hint="eastAsia" w:ascii="宋体" w:hAnsi="宋体" w:cs="宋体"/>
          <w:color w:val="auto"/>
          <w:sz w:val="24"/>
          <w:highlight w:val="none"/>
        </w:rPr>
        <w:t>条款规定的方式解决：</w:t>
      </w:r>
    </w:p>
    <w:p>
      <w:pPr>
        <w:spacing w:line="360" w:lineRule="auto"/>
        <w:ind w:right="-420" w:rightChars="-200" w:firstLine="480" w:firstLineChars="200"/>
        <w:rPr>
          <w:rFonts w:ascii="宋体" w:hAnsi="宋体" w:cs="宋体"/>
          <w:color w:val="auto"/>
          <w:sz w:val="24"/>
          <w:highlight w:val="none"/>
        </w:rPr>
      </w:pPr>
      <w:bookmarkStart w:id="405" w:name="_Toc11173"/>
      <w:bookmarkStart w:id="406" w:name="_Toc7245"/>
      <w:bookmarkStart w:id="407" w:name="_Toc15322"/>
      <w:r>
        <w:rPr>
          <w:rFonts w:hint="eastAsia" w:ascii="宋体" w:hAnsi="宋体" w:cs="宋体"/>
          <w:color w:val="auto"/>
          <w:sz w:val="24"/>
          <w:highlight w:val="none"/>
        </w:rPr>
        <w:t>1.将争议提交</w:t>
      </w:r>
      <w:r>
        <w:rPr>
          <w:rFonts w:hint="eastAsia" w:ascii="宋体" w:hAnsi="宋体" w:cs="宋体"/>
          <w:b/>
          <w:iCs/>
          <w:color w:val="auto"/>
          <w:sz w:val="24"/>
          <w:highlight w:val="none"/>
          <w:u w:val="single"/>
        </w:rPr>
        <w:t>甲方所在地</w:t>
      </w:r>
      <w:r>
        <w:rPr>
          <w:rFonts w:hint="eastAsia" w:ascii="宋体" w:hAnsi="宋体" w:cs="宋体"/>
          <w:iCs/>
          <w:color w:val="auto"/>
          <w:sz w:val="24"/>
          <w:highlight w:val="none"/>
        </w:rPr>
        <w:t>仲</w:t>
      </w:r>
      <w:r>
        <w:rPr>
          <w:rFonts w:hint="eastAsia" w:ascii="宋体" w:hAnsi="宋体" w:cs="宋体"/>
          <w:color w:val="auto"/>
          <w:sz w:val="24"/>
          <w:highlight w:val="none"/>
        </w:rPr>
        <w:t>裁委员会依申请仲裁时其现行有效的仲裁规则裁决；</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b/>
          <w:iCs/>
          <w:color w:val="auto"/>
          <w:sz w:val="24"/>
          <w:highlight w:val="none"/>
          <w:u w:val="single"/>
        </w:rPr>
        <w:t>甲方所在地</w:t>
      </w:r>
      <w:r>
        <w:rPr>
          <w:rFonts w:hint="eastAsia" w:ascii="宋体" w:hAnsi="宋体" w:cs="宋体"/>
          <w:color w:val="auto"/>
          <w:sz w:val="24"/>
          <w:highlight w:val="none"/>
        </w:rPr>
        <w:t>人民法院起诉。</w:t>
      </w:r>
    </w:p>
    <w:bookmarkEnd w:id="405"/>
    <w:bookmarkEnd w:id="406"/>
    <w:bookmarkEnd w:id="407"/>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pPr>
        <w:pStyle w:val="22"/>
        <w:ind w:left="0" w:leftChars="0"/>
        <w:jc w:val="left"/>
        <w:rPr>
          <w:rFonts w:hint="eastAsia"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pPr>
        <w:pStyle w:val="8"/>
        <w:rPr>
          <w:color w:val="auto"/>
          <w:highlight w:val="none"/>
        </w:rPr>
      </w:pPr>
    </w:p>
    <w:p>
      <w:pPr>
        <w:pStyle w:val="22"/>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pPr>
        <w:spacing w:line="360" w:lineRule="auto"/>
        <w:ind w:firstLine="482" w:firstLineChars="200"/>
        <w:outlineLvl w:val="0"/>
        <w:rPr>
          <w:rFonts w:ascii="宋体" w:hAnsi="宋体" w:cs="宋体"/>
          <w:b/>
          <w:color w:val="auto"/>
          <w:sz w:val="24"/>
          <w:highlight w:val="none"/>
        </w:rPr>
      </w:pPr>
      <w:bookmarkStart w:id="408" w:name="_Ref467378463"/>
      <w:bookmarkStart w:id="409" w:name="_Toc28763"/>
      <w:bookmarkStart w:id="410" w:name="_Toc259093669"/>
      <w:bookmarkStart w:id="411" w:name="_Toc279701240"/>
      <w:bookmarkStart w:id="412" w:name="_Toc19614"/>
      <w:bookmarkStart w:id="413" w:name="_Ref467378499"/>
      <w:bookmarkStart w:id="414" w:name="_Toc487900349"/>
      <w:bookmarkStart w:id="415" w:name="_Ref467378404"/>
      <w:bookmarkStart w:id="416" w:name="_Ref467379205"/>
      <w:bookmarkStart w:id="417" w:name="_Ref467379214"/>
      <w:bookmarkStart w:id="418" w:name="_Ref467379101"/>
      <w:bookmarkStart w:id="419" w:name="_Ref467379109"/>
      <w:bookmarkStart w:id="420" w:name="_Ref467379225"/>
      <w:bookmarkStart w:id="421" w:name="_Ref467379195"/>
      <w:bookmarkStart w:id="422" w:name="_Ref467379094"/>
      <w:bookmarkStart w:id="423" w:name="_Toc16917"/>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color w:val="auto"/>
          <w:sz w:val="24"/>
          <w:highlight w:val="none"/>
        </w:rPr>
      </w:pPr>
      <w:bookmarkStart w:id="427" w:name="_Toc13336"/>
      <w:bookmarkStart w:id="428" w:name="_Toc259093670"/>
      <w:bookmarkStart w:id="429" w:name="_Toc487900350"/>
      <w:bookmarkStart w:id="430" w:name="_Toc27635"/>
      <w:bookmarkStart w:id="431" w:name="_Toc32504"/>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highlight w:val="none"/>
        </w:rPr>
      </w:pPr>
      <w:bookmarkStart w:id="433" w:name="_Toc487900351"/>
      <w:bookmarkStart w:id="434" w:name="_Toc27853"/>
      <w:bookmarkStart w:id="435" w:name="_Toc279701242"/>
      <w:bookmarkStart w:id="436" w:name="_Toc259093671"/>
      <w:bookmarkStart w:id="437" w:name="_Toc31634"/>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w:t>
      </w:r>
      <w:r>
        <w:rPr>
          <w:rFonts w:hint="eastAsia" w:ascii="宋体" w:hAnsi="宋体" w:cs="宋体"/>
          <w:color w:val="auto"/>
          <w:sz w:val="24"/>
          <w:highlight w:val="none"/>
          <w:lang w:eastAsia="zh-CN"/>
        </w:rPr>
        <w:t>必须</w:t>
      </w:r>
      <w:r>
        <w:rPr>
          <w:rFonts w:hint="eastAsia" w:ascii="宋体" w:hAnsi="宋体" w:cs="宋体"/>
          <w:color w:val="auto"/>
          <w:sz w:val="24"/>
          <w:highlight w:val="none"/>
        </w:rPr>
        <w:t>附甲方采购订单、送货单、合格证或者检测报告，否则甲方有权拒收；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pP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Toc487900357"/>
      <w:bookmarkStart w:id="448" w:name="_Toc279701247"/>
      <w:bookmarkStart w:id="449" w:name="_Ref467379793"/>
      <w:bookmarkStart w:id="450" w:name="_Ref46737980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highlight w:val="none"/>
        </w:rPr>
      </w:pPr>
      <w:bookmarkStart w:id="452" w:name="_Ref467379863"/>
      <w:bookmarkStart w:id="453" w:name="_Toc279701248"/>
      <w:bookmarkStart w:id="454" w:name="_Toc259093677"/>
      <w:bookmarkStart w:id="455" w:name="_Toc487900358"/>
      <w:bookmarkStart w:id="456" w:name="_Ref467379852"/>
      <w:bookmarkStart w:id="457" w:name="_Ref46737992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pPr>
        <w:spacing w:line="360" w:lineRule="auto"/>
        <w:ind w:firstLine="480" w:firstLineChars="200"/>
        <w:rPr>
          <w:rFonts w:ascii="宋体" w:hAnsi="宋体"/>
          <w:color w:val="auto"/>
          <w:sz w:val="24"/>
          <w:highlight w:val="none"/>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r>
        <w:rPr>
          <w:rFonts w:hint="eastAsia" w:ascii="宋体" w:hAnsi="宋体" w:cs="宋体"/>
          <w:b/>
          <w:color w:val="auto"/>
          <w:sz w:val="24"/>
          <w:highlight w:val="none"/>
        </w:rPr>
        <w:t>和分包</w:t>
      </w:r>
      <w:bookmarkEnd w:id="475"/>
      <w:bookmarkEnd w:id="476"/>
      <w:bookmarkEnd w:id="47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pPr>
        <w:spacing w:line="360" w:lineRule="auto"/>
        <w:ind w:firstLine="480" w:firstLineChars="200"/>
        <w:rPr>
          <w:rFonts w:ascii="宋体" w:hAnsi="宋体"/>
          <w:color w:val="auto"/>
          <w:sz w:val="24"/>
          <w:highlight w:val="none"/>
        </w:rPr>
      </w:pPr>
      <w:bookmarkStart w:id="481" w:name="_Toc30676"/>
      <w:bookmarkStart w:id="482" w:name="_Toc279701255"/>
      <w:bookmarkStart w:id="483" w:name="_Toc487900365"/>
      <w:bookmarkStart w:id="484" w:name="_Toc259093684"/>
      <w:bookmarkStart w:id="485" w:name="_Toc689"/>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360" w:lineRule="auto"/>
        <w:ind w:firstLine="482" w:firstLineChars="200"/>
        <w:outlineLvl w:val="0"/>
        <w:rPr>
          <w:rFonts w:ascii="宋体" w:hAnsi="宋体" w:cs="宋体"/>
          <w:b/>
          <w:color w:val="auto"/>
          <w:sz w:val="24"/>
          <w:highlight w:val="none"/>
        </w:rPr>
      </w:pPr>
      <w:bookmarkStart w:id="487" w:name="_Toc8298"/>
      <w:bookmarkStart w:id="488" w:name="_Toc279701258"/>
      <w:bookmarkStart w:id="489" w:name="_Toc487900368"/>
      <w:bookmarkStart w:id="490" w:name="_Toc259093687"/>
      <w:bookmarkStart w:id="491" w:name="_Toc16959"/>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3.合同到期后，自动终止合同；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highlight w:val="none"/>
        </w:rPr>
      </w:pPr>
      <w:r>
        <w:rPr>
          <w:rFonts w:hint="eastAsia" w:ascii="宋体" w:hAnsi="宋体" w:cs="宋体"/>
          <w:color w:val="auto"/>
          <w:sz w:val="24"/>
          <w:highlight w:val="none"/>
        </w:rPr>
        <w:t>5.出现违约行为的，甲方有权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pPr>
        <w:spacing w:line="360" w:lineRule="auto"/>
        <w:ind w:firstLine="480" w:firstLineChars="200"/>
        <w:rPr>
          <w:rFonts w:ascii="宋体" w:hAnsi="宋体"/>
          <w:color w:val="auto"/>
          <w:sz w:val="24"/>
          <w:highlight w:val="none"/>
        </w:rPr>
      </w:pPr>
      <w:bookmarkStart w:id="502" w:name="_Toc18401"/>
      <w:bookmarkStart w:id="503" w:name="_Toc27674"/>
      <w:bookmarkStart w:id="504" w:name="_Toc259093691"/>
      <w:bookmarkStart w:id="505" w:name="_Toc18540"/>
      <w:bookmarkStart w:id="506" w:name="_Toc279701262"/>
      <w:bookmarkStart w:id="507" w:name="_Toc487900372"/>
      <w:bookmarkStart w:id="508" w:name="_Toc30599"/>
      <w:bookmarkStart w:id="509" w:name="_Toc4355"/>
      <w:r>
        <w:rPr>
          <w:rFonts w:hint="eastAsia" w:ascii="宋体" w:hAnsi="宋体"/>
          <w:color w:val="auto"/>
          <w:sz w:val="24"/>
          <w:highlight w:val="none"/>
        </w:rPr>
        <w:t>1.任何一方因履行合同而以合同第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highlight w:val="none"/>
        </w:rPr>
      </w:pPr>
      <w:bookmarkStart w:id="510" w:name="_Toc487900373"/>
      <w:bookmarkStart w:id="511" w:name="_Toc259093692"/>
      <w:bookmarkStart w:id="512" w:name="_Toc12773"/>
      <w:bookmarkStart w:id="513" w:name="_Toc18567"/>
      <w:bookmarkStart w:id="514" w:name="_Toc10330"/>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w:t>
      </w:r>
      <w:r>
        <w:rPr>
          <w:rFonts w:hint="eastAsia" w:ascii="宋体" w:hAnsi="宋体" w:cs="宋体"/>
          <w:color w:val="auto"/>
          <w:sz w:val="24"/>
          <w:highlight w:val="none"/>
          <w:lang w:eastAsia="zh-CN"/>
        </w:rPr>
        <w:t>书写</w:t>
      </w:r>
      <w:r>
        <w:rPr>
          <w:rFonts w:hint="eastAsia" w:ascii="宋体" w:hAnsi="宋体" w:cs="宋体"/>
          <w:color w:val="auto"/>
          <w:sz w:val="24"/>
          <w:highlight w:val="none"/>
        </w:rPr>
        <w:t>、变更和解释；</w:t>
      </w:r>
    </w:p>
    <w:p>
      <w:pPr>
        <w:spacing w:line="360" w:lineRule="auto"/>
        <w:ind w:firstLine="480" w:firstLineChars="200"/>
        <w:rPr>
          <w:rFonts w:ascii="宋体" w:hAnsi="宋体" w:eastAsia="宋体" w:cs="Times New Roman"/>
          <w:b/>
          <w:color w:val="auto"/>
          <w:highlight w:val="none"/>
        </w:rPr>
      </w:pPr>
      <w:r>
        <w:rPr>
          <w:rFonts w:hint="eastAsia" w:ascii="宋体" w:hAnsi="宋体" w:cs="宋体"/>
          <w:color w:val="auto"/>
          <w:sz w:val="24"/>
          <w:highlight w:val="none"/>
        </w:rPr>
        <w:t>2.合同适用中华人民共和国法律。</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pPr>
        <w:spacing w:line="360" w:lineRule="auto"/>
        <w:ind w:firstLine="482" w:firstLineChars="200"/>
        <w:rPr>
          <w:rFonts w:ascii="宋体" w:hAnsi="宋体" w:eastAsia="宋体" w:cs="Times New Roman"/>
          <w:b/>
          <w:color w:val="auto"/>
          <w:highlight w:val="non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color w:val="auto"/>
          <w:highlight w:val="none"/>
        </w:rPr>
      </w:pPr>
    </w:p>
    <w:p>
      <w:pPr>
        <w:jc w:val="center"/>
        <w:rPr>
          <w:rFonts w:ascii="宋体" w:hAnsi="宋体" w:eastAsia="宋体" w:cs="Times New Roman"/>
          <w:b/>
          <w:color w:val="auto"/>
          <w:highlight w:val="none"/>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22"/>
        <w:spacing w:line="560" w:lineRule="exact"/>
        <w:ind w:left="0" w:leftChars="0" w:firstLine="0" w:firstLineChars="0"/>
        <w:jc w:val="both"/>
        <w:rPr>
          <w:rFonts w:hint="eastAsia" w:ascii="宋体" w:hAnsi="宋体" w:cs="Times New Roman"/>
          <w:b/>
          <w:color w:val="auto"/>
          <w:szCs w:val="24"/>
          <w:highlight w:val="none"/>
        </w:rPr>
      </w:pPr>
    </w:p>
    <w:p>
      <w:pPr>
        <w:pStyle w:val="8"/>
        <w:rPr>
          <w:rFonts w:hint="eastAsia"/>
          <w:color w:val="auto"/>
          <w:highlight w:val="none"/>
        </w:rPr>
      </w:pPr>
    </w:p>
    <w:p>
      <w:pPr>
        <w:pStyle w:val="22"/>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 xml:space="preserve">第三章 </w:t>
      </w:r>
      <w:r>
        <w:rPr>
          <w:rFonts w:hint="eastAsia" w:ascii="宋体" w:hAnsi="宋体"/>
          <w:b/>
          <w:color w:val="auto"/>
          <w:szCs w:val="24"/>
          <w:highlight w:val="none"/>
        </w:rPr>
        <w:t>廉洁协议</w:t>
      </w:r>
    </w:p>
    <w:p>
      <w:pPr>
        <w:pStyle w:val="8"/>
        <w:ind w:firstLine="0" w:firstLineChars="0"/>
        <w:rPr>
          <w:color w:val="auto"/>
          <w:highlight w:val="none"/>
        </w:rPr>
      </w:pPr>
    </w:p>
    <w:p>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w:t>
      </w:r>
    </w:p>
    <w:p>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pPr>
        <w:pStyle w:val="13"/>
        <w:rPr>
          <w:color w:val="auto"/>
          <w:highlight w:val="none"/>
        </w:rPr>
      </w:pPr>
    </w:p>
    <w:p>
      <w:pPr>
        <w:rPr>
          <w:color w:val="auto"/>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hint="eastAsia" w:cs="仿宋" w:asciiTheme="minorEastAsia" w:hAnsiTheme="minorEastAsia"/>
          <w:b/>
          <w:color w:val="auto"/>
          <w:sz w:val="36"/>
          <w:szCs w:val="36"/>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pStyle w:val="3"/>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pPr>
        <w:spacing w:line="360" w:lineRule="auto"/>
        <w:rPr>
          <w:rFonts w:ascii="Times New Roman" w:hAnsi="Times New Roman" w:eastAsia="Cambria Math" w:cs="Times New Roman"/>
          <w:color w:val="auto"/>
          <w:sz w:val="96"/>
          <w:szCs w:val="22"/>
          <w:highlight w:val="none"/>
        </w:rPr>
      </w:pPr>
    </w:p>
    <w:p>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pPr>
        <w:spacing w:line="360" w:lineRule="auto"/>
        <w:rPr>
          <w:rFonts w:ascii="宋体" w:hAnsi="宋体" w:eastAsia="宋体" w:cs="宋体"/>
          <w:color w:val="auto"/>
          <w:sz w:val="44"/>
          <w:szCs w:val="44"/>
          <w:highlight w:val="none"/>
        </w:rPr>
      </w:pP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2024年临江公司SICK</w:t>
      </w:r>
      <w:r>
        <w:rPr>
          <w:rFonts w:hint="eastAsia" w:ascii="宋体" w:hAnsi="宋体" w:eastAsia="宋体" w:cs="宋体"/>
          <w:color w:val="auto"/>
          <w:sz w:val="28"/>
          <w:szCs w:val="22"/>
          <w:highlight w:val="none"/>
          <w:u w:val="single"/>
          <w:lang w:val="en-US" w:eastAsia="zh-CN"/>
        </w:rPr>
        <w:t>备件</w:t>
      </w:r>
      <w:r>
        <w:rPr>
          <w:rFonts w:hint="eastAsia" w:ascii="宋体" w:hAnsi="宋体" w:eastAsia="宋体" w:cs="宋体"/>
          <w:color w:val="auto"/>
          <w:sz w:val="28"/>
          <w:szCs w:val="22"/>
          <w:highlight w:val="none"/>
          <w:u w:val="single"/>
          <w:lang w:eastAsia="zh-CN"/>
        </w:rPr>
        <w:t>采购</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7"/>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2024年临江公司SICK</w:t>
      </w:r>
      <w:r>
        <w:rPr>
          <w:rFonts w:hint="eastAsia" w:cs="仿宋" w:asciiTheme="minorEastAsia" w:hAnsiTheme="minorEastAsia"/>
          <w:color w:val="auto"/>
          <w:sz w:val="24"/>
          <w:highlight w:val="none"/>
          <w:u w:val="single"/>
          <w:lang w:val="en-US" w:eastAsia="zh-CN"/>
        </w:rPr>
        <w:t>备件</w:t>
      </w:r>
      <w:r>
        <w:rPr>
          <w:rFonts w:hint="eastAsia" w:cs="仿宋" w:asciiTheme="minorEastAsia" w:hAnsiTheme="minorEastAsia"/>
          <w:color w:val="auto"/>
          <w:sz w:val="24"/>
          <w:highlight w:val="none"/>
          <w:u w:val="single"/>
          <w:lang w:eastAsia="zh-CN"/>
        </w:rPr>
        <w:t>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NY-1HGX2405004</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12"/>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pPr>
        <w:pStyle w:val="5"/>
        <w:rPr>
          <w:color w:val="auto"/>
          <w:highlight w:val="none"/>
          <w:lang w:val="en-US"/>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（根据采购公告本项目的特定要求提供相应的材料，如特殊行业许可证书等；未要求的，无需提供）</w:t>
      </w: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6"/>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rPr>
          <w:color w:val="auto"/>
          <w:highlight w:val="none"/>
        </w:rPr>
      </w:pPr>
    </w:p>
    <w:p>
      <w:pPr>
        <w:pStyle w:val="13"/>
        <w:rPr>
          <w:color w:val="auto"/>
          <w:highlight w:val="none"/>
        </w:rPr>
      </w:pPr>
    </w:p>
    <w:p>
      <w:pPr>
        <w:pStyle w:val="5"/>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rPr>
          <w:color w:val="auto"/>
          <w:highlight w:val="none"/>
        </w:rPr>
      </w:pPr>
    </w:p>
    <w:p>
      <w:pPr>
        <w:pStyle w:val="5"/>
        <w:rPr>
          <w:color w:val="auto"/>
          <w:highlight w:val="none"/>
        </w:rPr>
      </w:pPr>
    </w:p>
    <w:p>
      <w:pPr>
        <w:pStyle w:val="6"/>
        <w:rPr>
          <w:color w:val="auto"/>
          <w:highlight w:val="none"/>
        </w:rPr>
      </w:pPr>
    </w:p>
    <w:p>
      <w:pPr>
        <w:pStyle w:val="5"/>
        <w:rPr>
          <w:color w:val="auto"/>
          <w:highlight w:val="none"/>
        </w:rPr>
      </w:pPr>
    </w:p>
    <w:p>
      <w:pPr>
        <w:pStyle w:val="6"/>
        <w:ind w:left="0" w:leftChars="0" w:firstLine="0" w:firstLineChars="0"/>
        <w:rPr>
          <w:color w:val="auto"/>
          <w:highlight w:val="none"/>
        </w:rPr>
      </w:pPr>
    </w:p>
    <w:p>
      <w:pPr>
        <w:pStyle w:val="7"/>
        <w:rPr>
          <w:color w:val="auto"/>
          <w:highlight w:val="none"/>
        </w:rPr>
      </w:pPr>
    </w:p>
    <w:p>
      <w:pPr>
        <w:rPr>
          <w:color w:val="auto"/>
          <w:highlight w:val="none"/>
        </w:rPr>
      </w:pPr>
    </w:p>
    <w:p>
      <w:pPr>
        <w:pStyle w:val="13"/>
        <w:rPr>
          <w:color w:val="auto"/>
          <w:highlight w:val="none"/>
        </w:rPr>
      </w:pPr>
    </w:p>
    <w:p>
      <w:pPr>
        <w:pStyle w:val="13"/>
        <w:jc w:val="both"/>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2024年临江公司SICK</w:t>
      </w:r>
      <w:r>
        <w:rPr>
          <w:rFonts w:hint="eastAsia" w:cs="仿宋" w:asciiTheme="minorEastAsia" w:hAnsiTheme="minorEastAsia"/>
          <w:color w:val="auto"/>
          <w:sz w:val="24"/>
          <w:highlight w:val="none"/>
          <w:u w:val="single"/>
          <w:lang w:val="en-US" w:eastAsia="zh-CN"/>
        </w:rPr>
        <w:t>备件</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NY-1HGX2405004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采购的有关活动，并对此项目进行响应。为此：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5"/>
        <w:rPr>
          <w:color w:val="auto"/>
          <w:highlight w:val="none"/>
        </w:rPr>
      </w:pPr>
    </w:p>
    <w:p>
      <w:pPr>
        <w:pStyle w:val="6"/>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cs="仿宋" w:asciiTheme="minorEastAsia" w:hAnsiTheme="minorEastAsia"/>
          <w:color w:val="auto"/>
          <w:kern w:val="0"/>
          <w:sz w:val="24"/>
          <w:highlight w:val="none"/>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u w:val="single"/>
          <w:lang w:eastAsia="zh-CN"/>
        </w:rPr>
        <w:t>2024年临江公司SICK</w:t>
      </w:r>
      <w:r>
        <w:rPr>
          <w:rFonts w:hint="eastAsia" w:cs="仿宋" w:asciiTheme="minorEastAsia" w:hAnsiTheme="minorEastAsia"/>
          <w:color w:val="auto"/>
          <w:kern w:val="0"/>
          <w:sz w:val="24"/>
          <w:highlight w:val="none"/>
          <w:u w:val="single"/>
          <w:lang w:val="en-US" w:eastAsia="zh-CN"/>
        </w:rPr>
        <w:t>备件采购项目</w:t>
      </w:r>
      <w:r>
        <w:rPr>
          <w:rFonts w:hint="eastAsia" w:cs="仿宋" w:asciiTheme="minorEastAsia" w:hAnsiTheme="minorEastAsia"/>
          <w:color w:val="auto"/>
          <w:kern w:val="0"/>
          <w:sz w:val="24"/>
          <w:highlight w:val="none"/>
          <w:u w:val="single"/>
        </w:rPr>
        <w:t>【项目编号：</w:t>
      </w:r>
      <w:r>
        <w:rPr>
          <w:rFonts w:hint="eastAsia" w:cs="仿宋" w:asciiTheme="minorEastAsia" w:hAnsiTheme="minorEastAsia"/>
          <w:color w:val="auto"/>
          <w:kern w:val="0"/>
          <w:sz w:val="24"/>
          <w:highlight w:val="none"/>
          <w:u w:val="single"/>
          <w:lang w:eastAsia="zh-CN"/>
        </w:rPr>
        <w:t>NY-1HGX2405004</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color w:val="auto"/>
          <w:kern w:val="0"/>
          <w:sz w:val="24"/>
          <w:highlight w:val="none"/>
        </w:rPr>
        <w:t>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pStyle w:val="5"/>
        <w:rPr>
          <w:rFonts w:cs="仿宋" w:asciiTheme="minorEastAsia" w:hAnsiTheme="minorEastAsia"/>
          <w:b/>
          <w:color w:val="auto"/>
          <w:kern w:val="0"/>
          <w:sz w:val="32"/>
          <w:szCs w:val="32"/>
          <w:highlight w:val="none"/>
        </w:rPr>
      </w:pPr>
    </w:p>
    <w:p>
      <w:pPr>
        <w:pStyle w:val="6"/>
        <w:rPr>
          <w:rFonts w:cs="仿宋" w:asciiTheme="minorEastAsia" w:hAnsiTheme="minorEastAsia"/>
          <w:b/>
          <w:color w:val="auto"/>
          <w:kern w:val="0"/>
          <w:sz w:val="32"/>
          <w:szCs w:val="32"/>
          <w:highlight w:val="none"/>
        </w:rPr>
      </w:pPr>
    </w:p>
    <w:p>
      <w:pPr>
        <w:rPr>
          <w:rFonts w:cs="仿宋" w:asciiTheme="minorEastAsia" w:hAnsiTheme="minorEastAsia"/>
          <w:b/>
          <w:color w:val="auto"/>
          <w:kern w:val="0"/>
          <w:sz w:val="32"/>
          <w:szCs w:val="32"/>
          <w:highlight w:val="none"/>
          <w:lang w:val="zh-CN"/>
        </w:rPr>
      </w:pPr>
    </w:p>
    <w:p>
      <w:pPr>
        <w:pStyle w:val="5"/>
        <w:rPr>
          <w:rFonts w:cs="仿宋" w:asciiTheme="minorEastAsia" w:hAnsiTheme="minorEastAsia"/>
          <w:b/>
          <w:color w:val="auto"/>
          <w:kern w:val="0"/>
          <w:sz w:val="32"/>
          <w:szCs w:val="32"/>
          <w:highlight w:val="none"/>
        </w:rPr>
      </w:pPr>
    </w:p>
    <w:p>
      <w:pPr>
        <w:pStyle w:val="6"/>
        <w:rPr>
          <w:color w:val="auto"/>
          <w:highlight w:val="none"/>
        </w:rPr>
      </w:pPr>
    </w:p>
    <w:p>
      <w:pPr>
        <w:rPr>
          <w:color w:val="auto"/>
          <w:highlight w:val="none"/>
        </w:rPr>
      </w:pPr>
    </w:p>
    <w:p>
      <w:pPr>
        <w:pStyle w:val="25"/>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5"/>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cs="仿宋" w:asciiTheme="minorEastAsia" w:hAnsiTheme="minorEastAsia"/>
          <w:color w:val="auto"/>
          <w:kern w:val="0"/>
          <w:sz w:val="24"/>
          <w:highlight w:val="none"/>
          <w:lang w:val="zh-CN"/>
        </w:rPr>
      </w:pPr>
    </w:p>
    <w:p>
      <w:pPr>
        <w:pStyle w:val="25"/>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5"/>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w:t>
            </w:r>
            <w:r>
              <w:rPr>
                <w:rFonts w:hint="eastAsia" w:cs="仿宋" w:asciiTheme="minorEastAsia" w:hAnsiTheme="minorEastAsia"/>
                <w:color w:val="auto"/>
                <w:sz w:val="24"/>
                <w:highlight w:val="none"/>
                <w:lang w:eastAsia="zh-CN"/>
              </w:rPr>
              <w:t>的其他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5"/>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pPr>
        <w:pStyle w:val="12"/>
        <w:rPr>
          <w:color w:val="auto"/>
          <w:highlight w:val="none"/>
          <w:lang w:val="zh-CN"/>
        </w:rPr>
      </w:pPr>
    </w:p>
    <w:p>
      <w:pPr>
        <w:rPr>
          <w:color w:val="auto"/>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bCs/>
          <w:color w:val="auto"/>
          <w:sz w:val="24"/>
          <w:highlight w:val="none"/>
        </w:r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2"/>
        <w:rPr>
          <w:color w:val="auto"/>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存在管理</w:t>
            </w:r>
            <w:r>
              <w:rPr>
                <w:rFonts w:hint="eastAsia" w:ascii="宋体" w:hAnsi="宋体" w:eastAsia="宋体" w:cs="宋体"/>
                <w:color w:val="auto"/>
                <w:sz w:val="24"/>
                <w:highlight w:val="none"/>
                <w:lang w:val="en-US" w:eastAsia="zh-CN"/>
              </w:rPr>
              <w:t>关</w:t>
            </w:r>
            <w:r>
              <w:rPr>
                <w:rFonts w:hint="eastAsia" w:ascii="宋体" w:hAnsi="宋体" w:eastAsia="宋体" w:cs="宋体"/>
                <w:color w:val="auto"/>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2024年临江公司SICK</w:t>
      </w:r>
      <w:r>
        <w:rPr>
          <w:rFonts w:hint="eastAsia" w:ascii="宋体" w:hAnsi="宋体" w:eastAsia="宋体" w:cs="宋体"/>
          <w:color w:val="auto"/>
          <w:sz w:val="24"/>
          <w:highlight w:val="none"/>
          <w:u w:val="single"/>
          <w:lang w:val="en-US" w:eastAsia="zh-CN"/>
        </w:rPr>
        <w:t>备件采购项目</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u w:val="single"/>
          <w:lang w:eastAsia="zh-CN"/>
        </w:rPr>
        <w:t>NY-1HGX2405004</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的</w:t>
      </w:r>
      <w:r>
        <w:rPr>
          <w:rFonts w:hint="eastAsia" w:ascii="宋体" w:hAnsi="宋体" w:eastAsia="宋体" w:cs="宋体"/>
          <w:color w:val="auto"/>
          <w:sz w:val="24"/>
          <w:highlight w:val="none"/>
        </w:rPr>
        <w:t>采购活动，并作如下承诺：</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 月  日</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pStyle w:val="12"/>
        <w:rPr>
          <w:color w:val="auto"/>
          <w:highlight w:val="none"/>
        </w:rPr>
      </w:pPr>
    </w:p>
    <w:p>
      <w:pPr>
        <w:spacing w:line="360" w:lineRule="auto"/>
        <w:jc w:val="both"/>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3"/>
        <w:jc w:val="center"/>
        <w:rPr>
          <w:color w:val="auto"/>
          <w:sz w:val="32"/>
          <w:szCs w:val="32"/>
          <w:highlight w:val="none"/>
        </w:rPr>
      </w:pPr>
      <w:r>
        <w:rPr>
          <w:rFonts w:hint="eastAsia"/>
          <w:color w:val="auto"/>
          <w:sz w:val="32"/>
          <w:szCs w:val="32"/>
          <w:highlight w:val="none"/>
        </w:rPr>
        <w:t>一 、 报价函</w:t>
      </w:r>
    </w:p>
    <w:p>
      <w:pPr>
        <w:pStyle w:val="5"/>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ascii="宋体" w:hAnsi="宋体" w:eastAsia="宋体" w:cs="宋体"/>
          <w:color w:val="auto"/>
          <w:sz w:val="24"/>
          <w:highlight w:val="none"/>
          <w:u w:val="single"/>
          <w:lang w:eastAsia="zh-CN"/>
        </w:rPr>
        <w:t>2024年临江公司SICK</w:t>
      </w:r>
      <w:r>
        <w:rPr>
          <w:rFonts w:hint="eastAsia" w:ascii="宋体" w:hAnsi="宋体" w:eastAsia="宋体" w:cs="宋体"/>
          <w:color w:val="auto"/>
          <w:sz w:val="24"/>
          <w:highlight w:val="none"/>
          <w:u w:val="single"/>
          <w:lang w:val="en-US" w:eastAsia="zh-CN"/>
        </w:rPr>
        <w:t>备件</w:t>
      </w:r>
      <w:r>
        <w:rPr>
          <w:rFonts w:hint="eastAsia" w:ascii="宋体" w:hAnsi="宋体" w:eastAsia="宋体" w:cs="宋体"/>
          <w:color w:val="auto"/>
          <w:sz w:val="24"/>
          <w:highlight w:val="none"/>
          <w:u w:val="single"/>
          <w:lang w:eastAsia="zh-CN"/>
        </w:rPr>
        <w:t>采购</w:t>
      </w:r>
      <w:r>
        <w:rPr>
          <w:rFonts w:hint="eastAsia" w:ascii="宋体" w:hAnsi="宋体" w:eastAsia="宋体" w:cs="宋体"/>
          <w:color w:val="auto"/>
          <w:sz w:val="24"/>
          <w:highlight w:val="none"/>
        </w:rPr>
        <w:t>项</w:t>
      </w:r>
      <w:r>
        <w:rPr>
          <w:rFonts w:hint="eastAsia" w:ascii="宋体" w:hAnsi="宋体" w:eastAsia="宋体" w:cs="宋体"/>
          <w:color w:val="auto"/>
          <w:spacing w:val="-3"/>
          <w:sz w:val="24"/>
          <w:highlight w:val="none"/>
        </w:rPr>
        <w:t>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eastAsia="zh-CN"/>
        </w:rPr>
        <w:t>NY-1HGX2405004</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pPr>
        <w:pStyle w:val="27"/>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pPr>
        <w:pStyle w:val="5"/>
        <w:ind w:firstLine="480" w:firstLineChars="200"/>
        <w:jc w:val="left"/>
        <w:rPr>
          <w:rFonts w:hAnsi="宋体" w:cs="宋体"/>
          <w:color w:val="auto"/>
          <w:highlight w:val="none"/>
        </w:rPr>
      </w:pPr>
    </w:p>
    <w:p>
      <w:pPr>
        <w:pStyle w:val="5"/>
        <w:ind w:firstLine="480" w:firstLineChars="200"/>
        <w:jc w:val="left"/>
        <w:rPr>
          <w:rFonts w:hAnsi="宋体" w:cs="宋体"/>
          <w:color w:val="auto"/>
          <w:highlight w:val="none"/>
        </w:rPr>
      </w:pPr>
    </w:p>
    <w:p>
      <w:pPr>
        <w:pStyle w:val="5"/>
        <w:jc w:val="left"/>
        <w:rPr>
          <w:rFonts w:hAnsi="宋体" w:cs="宋体"/>
          <w:color w:val="auto"/>
          <w:highlight w:val="none"/>
        </w:rPr>
      </w:pPr>
      <w:r>
        <w:rPr>
          <w:rFonts w:hint="eastAsia" w:hAnsi="宋体" w:cs="宋体"/>
          <w:color w:val="auto"/>
          <w:highlight w:val="none"/>
        </w:rPr>
        <w:t>供应商名称：（盖单位公章）</w:t>
      </w:r>
    </w:p>
    <w:p>
      <w:pPr>
        <w:pStyle w:val="5"/>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pPr>
        <w:pStyle w:val="5"/>
        <w:tabs>
          <w:tab w:val="left" w:pos="4101"/>
        </w:tabs>
        <w:jc w:val="left"/>
        <w:rPr>
          <w:rFonts w:hAnsi="宋体" w:cs="宋体"/>
          <w:color w:val="auto"/>
          <w:highlight w:val="none"/>
        </w:rPr>
      </w:pPr>
      <w:r>
        <w:rPr>
          <w:rFonts w:hint="eastAsia" w:hAnsi="宋体" w:cs="宋体"/>
          <w:color w:val="auto"/>
          <w:highlight w:val="none"/>
        </w:rPr>
        <w:t>地址：</w:t>
      </w:r>
    </w:p>
    <w:p>
      <w:pPr>
        <w:pStyle w:val="5"/>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2024年临江公司SICK</w:t>
      </w:r>
      <w:r>
        <w:rPr>
          <w:rFonts w:hint="eastAsia" w:cs="仿宋" w:asciiTheme="minorEastAsia" w:hAnsiTheme="minorEastAsia"/>
          <w:color w:val="auto"/>
          <w:sz w:val="24"/>
          <w:highlight w:val="none"/>
          <w:u w:val="single"/>
          <w:lang w:val="en-US" w:eastAsia="zh-CN"/>
        </w:rPr>
        <w:t>备件</w:t>
      </w:r>
      <w:r>
        <w:rPr>
          <w:rFonts w:hint="eastAsia" w:cs="仿宋" w:asciiTheme="minorEastAsia" w:hAnsiTheme="minorEastAsia"/>
          <w:color w:val="auto"/>
          <w:sz w:val="24"/>
          <w:highlight w:val="none"/>
          <w:u w:val="single"/>
          <w:lang w:eastAsia="zh-CN"/>
        </w:rPr>
        <w:t>采购</w:t>
      </w:r>
      <w:r>
        <w:rPr>
          <w:rFonts w:hint="eastAsia" w:cs="仿宋" w:asciiTheme="minorEastAsia" w:hAnsiTheme="minorEastAsia"/>
          <w:color w:val="auto"/>
          <w:sz w:val="24"/>
          <w:highlight w:val="none"/>
          <w:u w:val="single"/>
          <w:lang w:val="en-US" w:eastAsia="zh-CN"/>
        </w:rPr>
        <w:t>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NY-1HGX2405004</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4"/>
        <w:tblW w:w="13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7"/>
        <w:gridCol w:w="1173"/>
        <w:gridCol w:w="5134"/>
        <w:gridCol w:w="666"/>
        <w:gridCol w:w="680"/>
        <w:gridCol w:w="694"/>
        <w:gridCol w:w="121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387"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名称</w:t>
            </w:r>
          </w:p>
        </w:tc>
        <w:tc>
          <w:tcPr>
            <w:tcW w:w="1173"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品牌</w:t>
            </w:r>
          </w:p>
        </w:tc>
        <w:tc>
          <w:tcPr>
            <w:tcW w:w="5134" w:type="dxa"/>
            <w:vAlign w:val="center"/>
          </w:tcPr>
          <w:p>
            <w:pPr>
              <w:spacing w:line="360" w:lineRule="auto"/>
              <w:jc w:val="center"/>
              <w:rPr>
                <w:rFonts w:hint="default"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rPr>
              <w:t>规格型号</w:t>
            </w:r>
            <w:r>
              <w:rPr>
                <w:rFonts w:hint="eastAsia" w:ascii="宋体" w:hAnsi="宋体" w:eastAsia="宋体" w:cs="宋体"/>
                <w:b/>
                <w:color w:val="auto"/>
                <w:sz w:val="18"/>
                <w:szCs w:val="18"/>
                <w:highlight w:val="none"/>
                <w:lang w:val="en-US" w:eastAsia="zh-CN"/>
              </w:rPr>
              <w:t>及要求</w:t>
            </w:r>
          </w:p>
        </w:tc>
        <w:tc>
          <w:tcPr>
            <w:tcW w:w="666"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单位</w:t>
            </w:r>
          </w:p>
        </w:tc>
        <w:tc>
          <w:tcPr>
            <w:tcW w:w="680"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数量</w:t>
            </w:r>
          </w:p>
        </w:tc>
        <w:tc>
          <w:tcPr>
            <w:tcW w:w="694"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w:t>
            </w:r>
          </w:p>
        </w:tc>
        <w:tc>
          <w:tcPr>
            <w:tcW w:w="1213" w:type="dxa"/>
            <w:vAlign w:val="center"/>
          </w:tcPr>
          <w:p>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总价</w:t>
            </w:r>
          </w:p>
        </w:tc>
        <w:tc>
          <w:tcPr>
            <w:tcW w:w="1372" w:type="dxa"/>
            <w:vAlign w:val="center"/>
          </w:tcPr>
          <w:p>
            <w:pPr>
              <w:spacing w:line="360" w:lineRule="auto"/>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氧化锆传感器</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旧货号：2094457 ，新货号：8999809</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只</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12</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气室过滤器</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货号：2045339</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货号：5310158</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干燥剂筒</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货号：5320799</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加热管线</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旧货号：6062376； 新货号：6070867;整根不能截断，JH3F d6/8 200度，L=40m， CPT100/ELH/2ADW.NW6/8 </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伴热管线</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新货号：6072681，型号：ELH/2adw-SP，230V50Hz，2*2025W，L=45m，耐热200℃，NW：1*6,1*4</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伴热管线</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新货号：6071655，型号：ELH/2adw-SP，230V50Hz，3150W，L=35m，耐热200℃，NW：1*6,1*4</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粉尘仪</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型号：FWE200-230V 2AO，含控制箱（变频器、PLC等），测量元件（镜头组、加热室），仪表箱（反馈、控制单元），管线，风机，电机等，仅需要安排1名技术人员现场指导安装，无需安装和环保比对。</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MCS100FT "LPMS01 控制 "电气板</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货号：2124095</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块</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处理器系统模块 LINUX</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货号：2130536</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块</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38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SCU 面板</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sick</w:t>
            </w:r>
          </w:p>
        </w:tc>
        <w:tc>
          <w:tcPr>
            <w:tcW w:w="51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货号：2056275</w:t>
            </w:r>
          </w:p>
        </w:tc>
        <w:tc>
          <w:tcPr>
            <w:tcW w:w="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6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9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highlight w:val="none"/>
              </w:rPr>
            </w:pPr>
          </w:p>
        </w:tc>
        <w:tc>
          <w:tcPr>
            <w:tcW w:w="121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highlight w:val="none"/>
              </w:rPr>
            </w:pPr>
          </w:p>
        </w:tc>
        <w:tc>
          <w:tcPr>
            <w:tcW w:w="13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响应报价合计（小写）</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响应报价合计（大写）</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5" w:type="dxa"/>
            <w:gridSpan w:val="3"/>
            <w:vAlign w:val="center"/>
          </w:tcPr>
          <w:p>
            <w:pP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税率</w:t>
            </w:r>
          </w:p>
        </w:tc>
        <w:tc>
          <w:tcPr>
            <w:tcW w:w="9759"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highlight w:val="none"/>
                <w:lang w:val="en-US" w:eastAsia="zh-CN"/>
              </w:rPr>
            </w:pPr>
          </w:p>
        </w:tc>
      </w:tr>
    </w:tbl>
    <w:p>
      <w:pPr>
        <w:snapToGrid w:val="0"/>
        <w:spacing w:line="360" w:lineRule="auto"/>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5"/>
        <w:rPr>
          <w:color w:val="auto"/>
          <w:highlight w:val="none"/>
        </w:rPr>
      </w:pPr>
    </w:p>
    <w:p>
      <w:pPr>
        <w:pStyle w:val="6"/>
        <w:rPr>
          <w:color w:val="auto"/>
          <w:highlight w:val="none"/>
        </w:rPr>
      </w:pPr>
    </w:p>
    <w:p>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516" w:name="_Toc465665161"/>
      <w:r>
        <w:rPr>
          <w:rFonts w:hint="eastAsia" w:cs="宋体" w:asciiTheme="minorEastAsia" w:hAnsiTheme="minorEastAsia"/>
          <w:b/>
          <w:bCs/>
          <w:color w:val="auto"/>
          <w:kern w:val="44"/>
          <w:sz w:val="44"/>
          <w:szCs w:val="44"/>
          <w:highlight w:val="none"/>
        </w:rPr>
        <w:t>附件</w:t>
      </w:r>
      <w:bookmarkEnd w:id="516"/>
    </w:p>
    <w:p>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附件2：</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2024年临江公司SICK</w:t>
      </w:r>
      <w:r>
        <w:rPr>
          <w:rFonts w:hint="eastAsia" w:cs="仿宋" w:asciiTheme="minorEastAsia" w:hAnsiTheme="minorEastAsia"/>
          <w:color w:val="auto"/>
          <w:sz w:val="24"/>
          <w:highlight w:val="none"/>
          <w:u w:val="single"/>
          <w:lang w:val="en-US" w:eastAsia="zh-CN"/>
        </w:rPr>
        <w:t>备件</w:t>
      </w:r>
      <w:r>
        <w:rPr>
          <w:rFonts w:hint="eastAsia" w:cs="仿宋" w:asciiTheme="minorEastAsia" w:hAnsiTheme="minorEastAsia"/>
          <w:color w:val="auto"/>
          <w:sz w:val="24"/>
          <w:highlight w:val="none"/>
          <w:u w:val="single"/>
          <w:lang w:eastAsia="zh-CN"/>
        </w:rPr>
        <w:t>采购</w:t>
      </w:r>
      <w:r>
        <w:rPr>
          <w:rFonts w:hint="eastAsia" w:cs="仿宋" w:asciiTheme="minorEastAsia" w:hAnsiTheme="minorEastAsia"/>
          <w:color w:val="auto"/>
          <w:sz w:val="24"/>
          <w:highlight w:val="none"/>
          <w:u w:val="single"/>
        </w:rPr>
        <w:t>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NY-1HGX2405004</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2024年临江公司SICK</w:t>
      </w:r>
      <w:r>
        <w:rPr>
          <w:rFonts w:hint="eastAsia" w:cs="仿宋" w:asciiTheme="minorEastAsia" w:hAnsiTheme="minorEastAsia"/>
          <w:color w:val="auto"/>
          <w:sz w:val="24"/>
          <w:highlight w:val="none"/>
          <w:u w:val="single"/>
          <w:lang w:val="en-US" w:eastAsia="zh-CN"/>
        </w:rPr>
        <w:t>备件</w:t>
      </w:r>
      <w:r>
        <w:rPr>
          <w:rFonts w:hint="eastAsia" w:cs="仿宋" w:asciiTheme="minorEastAsia" w:hAnsiTheme="minorEastAsia"/>
          <w:color w:val="auto"/>
          <w:sz w:val="24"/>
          <w:highlight w:val="none"/>
          <w:u w:val="single"/>
          <w:lang w:eastAsia="zh-CN"/>
        </w:rPr>
        <w:t>采购</w:t>
      </w:r>
      <w:r>
        <w:rPr>
          <w:rFonts w:hint="eastAsia" w:cs="仿宋" w:asciiTheme="minorEastAsia" w:hAnsiTheme="minorEastAsia"/>
          <w:color w:val="auto"/>
          <w:sz w:val="24"/>
          <w:highlight w:val="none"/>
          <w:u w:val="single"/>
        </w:rPr>
        <w:t>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NY-1HGX2405004</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2"/>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5"/>
        <w:rPr>
          <w:color w:val="auto"/>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32D5A"/>
    <w:rsid w:val="00E81C9E"/>
    <w:rsid w:val="00F3467F"/>
    <w:rsid w:val="00FC7298"/>
    <w:rsid w:val="013F5D27"/>
    <w:rsid w:val="0156352C"/>
    <w:rsid w:val="01657C13"/>
    <w:rsid w:val="016F4C47"/>
    <w:rsid w:val="01980CBF"/>
    <w:rsid w:val="01E925F2"/>
    <w:rsid w:val="020F7B7E"/>
    <w:rsid w:val="023E1286"/>
    <w:rsid w:val="0291103B"/>
    <w:rsid w:val="030669ED"/>
    <w:rsid w:val="031C07A5"/>
    <w:rsid w:val="032B7E17"/>
    <w:rsid w:val="034B5FC8"/>
    <w:rsid w:val="036E630A"/>
    <w:rsid w:val="044837C2"/>
    <w:rsid w:val="04925647"/>
    <w:rsid w:val="049A2681"/>
    <w:rsid w:val="04E634F4"/>
    <w:rsid w:val="04E83035"/>
    <w:rsid w:val="04F27A0F"/>
    <w:rsid w:val="050D04E5"/>
    <w:rsid w:val="051B6528"/>
    <w:rsid w:val="05B622F4"/>
    <w:rsid w:val="060617A9"/>
    <w:rsid w:val="06803F38"/>
    <w:rsid w:val="07013F3A"/>
    <w:rsid w:val="078B333A"/>
    <w:rsid w:val="07C24B12"/>
    <w:rsid w:val="07D15ABF"/>
    <w:rsid w:val="08365E65"/>
    <w:rsid w:val="087E795F"/>
    <w:rsid w:val="09221DB5"/>
    <w:rsid w:val="098A46BA"/>
    <w:rsid w:val="09EC7123"/>
    <w:rsid w:val="09ED56C9"/>
    <w:rsid w:val="0A755182"/>
    <w:rsid w:val="0A7E1D45"/>
    <w:rsid w:val="0A8D3D36"/>
    <w:rsid w:val="0AB1211B"/>
    <w:rsid w:val="0AF10769"/>
    <w:rsid w:val="0B3C1DE3"/>
    <w:rsid w:val="0B530D41"/>
    <w:rsid w:val="0B697AD8"/>
    <w:rsid w:val="0BF7590B"/>
    <w:rsid w:val="0C492847"/>
    <w:rsid w:val="0CF31D21"/>
    <w:rsid w:val="0D430B49"/>
    <w:rsid w:val="0DBE1FBD"/>
    <w:rsid w:val="0DCD49A0"/>
    <w:rsid w:val="0ED77933"/>
    <w:rsid w:val="0EE3057E"/>
    <w:rsid w:val="0F111837"/>
    <w:rsid w:val="0F81598B"/>
    <w:rsid w:val="0FA1450C"/>
    <w:rsid w:val="0FB91E94"/>
    <w:rsid w:val="0FD71A64"/>
    <w:rsid w:val="1008205A"/>
    <w:rsid w:val="103F3D25"/>
    <w:rsid w:val="1067415A"/>
    <w:rsid w:val="1082242A"/>
    <w:rsid w:val="10825D03"/>
    <w:rsid w:val="108A4FA0"/>
    <w:rsid w:val="112537EC"/>
    <w:rsid w:val="115F467E"/>
    <w:rsid w:val="11C46A46"/>
    <w:rsid w:val="12635AA8"/>
    <w:rsid w:val="12CD6F6C"/>
    <w:rsid w:val="12E110C3"/>
    <w:rsid w:val="12F14156"/>
    <w:rsid w:val="13201BEB"/>
    <w:rsid w:val="13835120"/>
    <w:rsid w:val="13A24CF6"/>
    <w:rsid w:val="13D053C0"/>
    <w:rsid w:val="13FD2298"/>
    <w:rsid w:val="143E2438"/>
    <w:rsid w:val="144E369B"/>
    <w:rsid w:val="14691B4B"/>
    <w:rsid w:val="14AF711F"/>
    <w:rsid w:val="14DA401C"/>
    <w:rsid w:val="14ED0EF5"/>
    <w:rsid w:val="14F055ED"/>
    <w:rsid w:val="15024197"/>
    <w:rsid w:val="152534C4"/>
    <w:rsid w:val="15455A37"/>
    <w:rsid w:val="15763D45"/>
    <w:rsid w:val="15CB2DA0"/>
    <w:rsid w:val="15DB1E4F"/>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BF2725A"/>
    <w:rsid w:val="1D204FBE"/>
    <w:rsid w:val="1D3A4892"/>
    <w:rsid w:val="1D61352C"/>
    <w:rsid w:val="1D9B6FDC"/>
    <w:rsid w:val="1DFA0457"/>
    <w:rsid w:val="1E5F5CBE"/>
    <w:rsid w:val="1E6908EA"/>
    <w:rsid w:val="1E7E1EBC"/>
    <w:rsid w:val="1E8307F5"/>
    <w:rsid w:val="1F457921"/>
    <w:rsid w:val="1F7F51D6"/>
    <w:rsid w:val="20331409"/>
    <w:rsid w:val="20BA2271"/>
    <w:rsid w:val="20D12777"/>
    <w:rsid w:val="20E22BD6"/>
    <w:rsid w:val="20FB672E"/>
    <w:rsid w:val="21050673"/>
    <w:rsid w:val="213339C4"/>
    <w:rsid w:val="21677697"/>
    <w:rsid w:val="21BA145D"/>
    <w:rsid w:val="21F148EF"/>
    <w:rsid w:val="21F833F1"/>
    <w:rsid w:val="22350AE4"/>
    <w:rsid w:val="22465C8A"/>
    <w:rsid w:val="228D26CE"/>
    <w:rsid w:val="22916FA5"/>
    <w:rsid w:val="231F196C"/>
    <w:rsid w:val="236B6EB3"/>
    <w:rsid w:val="24357C0A"/>
    <w:rsid w:val="24367E58"/>
    <w:rsid w:val="247C6E9E"/>
    <w:rsid w:val="25650E5F"/>
    <w:rsid w:val="2577525E"/>
    <w:rsid w:val="26010880"/>
    <w:rsid w:val="26213859"/>
    <w:rsid w:val="262F7557"/>
    <w:rsid w:val="266B71CA"/>
    <w:rsid w:val="26F15921"/>
    <w:rsid w:val="26F5161A"/>
    <w:rsid w:val="294E0F60"/>
    <w:rsid w:val="2987716A"/>
    <w:rsid w:val="29A7365D"/>
    <w:rsid w:val="29AE18A7"/>
    <w:rsid w:val="29EA3E3E"/>
    <w:rsid w:val="2A0470FF"/>
    <w:rsid w:val="2A6366FF"/>
    <w:rsid w:val="2ABC6246"/>
    <w:rsid w:val="2B043E7E"/>
    <w:rsid w:val="2B1044E5"/>
    <w:rsid w:val="2B117932"/>
    <w:rsid w:val="2B3D5BF4"/>
    <w:rsid w:val="2BCC2378"/>
    <w:rsid w:val="2BE21CDC"/>
    <w:rsid w:val="2BF4042E"/>
    <w:rsid w:val="2C4141D8"/>
    <w:rsid w:val="2C901738"/>
    <w:rsid w:val="2D0A2172"/>
    <w:rsid w:val="2D8D3ECA"/>
    <w:rsid w:val="2E3F3416"/>
    <w:rsid w:val="2E836670"/>
    <w:rsid w:val="2E9F3EB4"/>
    <w:rsid w:val="2ED356BA"/>
    <w:rsid w:val="2F2A7C22"/>
    <w:rsid w:val="2F4D3609"/>
    <w:rsid w:val="2F5836E9"/>
    <w:rsid w:val="2F633D0C"/>
    <w:rsid w:val="30062480"/>
    <w:rsid w:val="30323FB6"/>
    <w:rsid w:val="30556F21"/>
    <w:rsid w:val="308C5F1F"/>
    <w:rsid w:val="30EE1123"/>
    <w:rsid w:val="31111553"/>
    <w:rsid w:val="314B6E80"/>
    <w:rsid w:val="31E16592"/>
    <w:rsid w:val="31F75DB5"/>
    <w:rsid w:val="32032617"/>
    <w:rsid w:val="320F23B9"/>
    <w:rsid w:val="32264FDA"/>
    <w:rsid w:val="323B5CA2"/>
    <w:rsid w:val="32843E96"/>
    <w:rsid w:val="32BC401B"/>
    <w:rsid w:val="333077D1"/>
    <w:rsid w:val="33311883"/>
    <w:rsid w:val="335C010C"/>
    <w:rsid w:val="34454474"/>
    <w:rsid w:val="34844BAD"/>
    <w:rsid w:val="34B63EBC"/>
    <w:rsid w:val="35134CB4"/>
    <w:rsid w:val="3572263D"/>
    <w:rsid w:val="35D22DC1"/>
    <w:rsid w:val="3612023A"/>
    <w:rsid w:val="36162BCB"/>
    <w:rsid w:val="362F3A74"/>
    <w:rsid w:val="36363350"/>
    <w:rsid w:val="36A71B58"/>
    <w:rsid w:val="36B3674F"/>
    <w:rsid w:val="37103BA1"/>
    <w:rsid w:val="37514AF4"/>
    <w:rsid w:val="376911DC"/>
    <w:rsid w:val="37730884"/>
    <w:rsid w:val="377C0298"/>
    <w:rsid w:val="37AF3623"/>
    <w:rsid w:val="37B04D36"/>
    <w:rsid w:val="38AA1C6F"/>
    <w:rsid w:val="39150C3A"/>
    <w:rsid w:val="39AF6E3D"/>
    <w:rsid w:val="39B60FDB"/>
    <w:rsid w:val="39C31C6C"/>
    <w:rsid w:val="3A115E84"/>
    <w:rsid w:val="3A6303AE"/>
    <w:rsid w:val="3A993EAE"/>
    <w:rsid w:val="3AB61186"/>
    <w:rsid w:val="3B31136D"/>
    <w:rsid w:val="3C283344"/>
    <w:rsid w:val="3C485F9D"/>
    <w:rsid w:val="3C7C70D7"/>
    <w:rsid w:val="3C940DD1"/>
    <w:rsid w:val="3C9A2D2B"/>
    <w:rsid w:val="3CA4104C"/>
    <w:rsid w:val="3D2B4CB5"/>
    <w:rsid w:val="3DD1098B"/>
    <w:rsid w:val="3DDD2538"/>
    <w:rsid w:val="3E0C6463"/>
    <w:rsid w:val="3E111FAD"/>
    <w:rsid w:val="3E5A6688"/>
    <w:rsid w:val="3EA03F0B"/>
    <w:rsid w:val="3EE43BF5"/>
    <w:rsid w:val="3FE7577B"/>
    <w:rsid w:val="3FFB4CC3"/>
    <w:rsid w:val="403E57B7"/>
    <w:rsid w:val="408465EB"/>
    <w:rsid w:val="411A0F39"/>
    <w:rsid w:val="415A5C88"/>
    <w:rsid w:val="41A17C1A"/>
    <w:rsid w:val="41CE08E1"/>
    <w:rsid w:val="41DE664A"/>
    <w:rsid w:val="42112513"/>
    <w:rsid w:val="42265C39"/>
    <w:rsid w:val="42FF2D1C"/>
    <w:rsid w:val="432F1853"/>
    <w:rsid w:val="433C7ACC"/>
    <w:rsid w:val="435518AD"/>
    <w:rsid w:val="438151EE"/>
    <w:rsid w:val="43C04259"/>
    <w:rsid w:val="43F5787F"/>
    <w:rsid w:val="442368D5"/>
    <w:rsid w:val="4482153F"/>
    <w:rsid w:val="4482659D"/>
    <w:rsid w:val="448E0268"/>
    <w:rsid w:val="44B6565C"/>
    <w:rsid w:val="4559568A"/>
    <w:rsid w:val="456B73DB"/>
    <w:rsid w:val="456E01F7"/>
    <w:rsid w:val="45897AC1"/>
    <w:rsid w:val="459B31D0"/>
    <w:rsid w:val="45A47533"/>
    <w:rsid w:val="45CC2BBA"/>
    <w:rsid w:val="46BC402D"/>
    <w:rsid w:val="47170634"/>
    <w:rsid w:val="472961BF"/>
    <w:rsid w:val="475528CD"/>
    <w:rsid w:val="475E44B5"/>
    <w:rsid w:val="47B265AF"/>
    <w:rsid w:val="47CC2AD6"/>
    <w:rsid w:val="47D712BF"/>
    <w:rsid w:val="47F70466"/>
    <w:rsid w:val="48023D62"/>
    <w:rsid w:val="48080B93"/>
    <w:rsid w:val="48A00AFD"/>
    <w:rsid w:val="48AE321A"/>
    <w:rsid w:val="48CD6FC5"/>
    <w:rsid w:val="490601D4"/>
    <w:rsid w:val="49075B6C"/>
    <w:rsid w:val="496717C4"/>
    <w:rsid w:val="49725FF6"/>
    <w:rsid w:val="4A063A4F"/>
    <w:rsid w:val="4A1470AD"/>
    <w:rsid w:val="4A875AD1"/>
    <w:rsid w:val="4AAC0F57"/>
    <w:rsid w:val="4AE27CAC"/>
    <w:rsid w:val="4B1B2ECF"/>
    <w:rsid w:val="4B6E282F"/>
    <w:rsid w:val="4B7047B7"/>
    <w:rsid w:val="4BAC48C9"/>
    <w:rsid w:val="4BB27DC6"/>
    <w:rsid w:val="4CEA2347"/>
    <w:rsid w:val="4D243428"/>
    <w:rsid w:val="4D36558C"/>
    <w:rsid w:val="4DBD24C7"/>
    <w:rsid w:val="4DCD2ABA"/>
    <w:rsid w:val="4DD64459"/>
    <w:rsid w:val="4DE726A0"/>
    <w:rsid w:val="4E073318"/>
    <w:rsid w:val="4E1E04FA"/>
    <w:rsid w:val="4E2D443F"/>
    <w:rsid w:val="4EFA25EF"/>
    <w:rsid w:val="4F55619D"/>
    <w:rsid w:val="4F75420A"/>
    <w:rsid w:val="4F7F76BE"/>
    <w:rsid w:val="4F9246A8"/>
    <w:rsid w:val="4FA107F2"/>
    <w:rsid w:val="4FEB08B0"/>
    <w:rsid w:val="4FF65979"/>
    <w:rsid w:val="50357D7D"/>
    <w:rsid w:val="50A13664"/>
    <w:rsid w:val="50A52C7D"/>
    <w:rsid w:val="50C3263F"/>
    <w:rsid w:val="50DD26D0"/>
    <w:rsid w:val="51002139"/>
    <w:rsid w:val="5119769F"/>
    <w:rsid w:val="51937E4D"/>
    <w:rsid w:val="51AC406F"/>
    <w:rsid w:val="51B33440"/>
    <w:rsid w:val="52383592"/>
    <w:rsid w:val="523875F5"/>
    <w:rsid w:val="52506204"/>
    <w:rsid w:val="52BB04D1"/>
    <w:rsid w:val="52D26CE4"/>
    <w:rsid w:val="52E55079"/>
    <w:rsid w:val="53312A7E"/>
    <w:rsid w:val="536C630A"/>
    <w:rsid w:val="53FA1DF3"/>
    <w:rsid w:val="540208BE"/>
    <w:rsid w:val="547F3CBD"/>
    <w:rsid w:val="54805461"/>
    <w:rsid w:val="54AB2D04"/>
    <w:rsid w:val="557B35BC"/>
    <w:rsid w:val="55DB6EB1"/>
    <w:rsid w:val="56224A55"/>
    <w:rsid w:val="563665FD"/>
    <w:rsid w:val="56510A85"/>
    <w:rsid w:val="565C1CF5"/>
    <w:rsid w:val="571F3A0C"/>
    <w:rsid w:val="57F2034A"/>
    <w:rsid w:val="58207565"/>
    <w:rsid w:val="58226E39"/>
    <w:rsid w:val="58235318"/>
    <w:rsid w:val="58DF2F7C"/>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9878A5"/>
    <w:rsid w:val="5CA30587"/>
    <w:rsid w:val="5D7E0FB5"/>
    <w:rsid w:val="5DCF1811"/>
    <w:rsid w:val="5E007C1C"/>
    <w:rsid w:val="5E0368F6"/>
    <w:rsid w:val="5E394EDC"/>
    <w:rsid w:val="5EDB3650"/>
    <w:rsid w:val="5F0279C4"/>
    <w:rsid w:val="5F56549B"/>
    <w:rsid w:val="5F731843"/>
    <w:rsid w:val="5F944466"/>
    <w:rsid w:val="60844C26"/>
    <w:rsid w:val="60A9029A"/>
    <w:rsid w:val="60F670B5"/>
    <w:rsid w:val="60FA16F8"/>
    <w:rsid w:val="611A0747"/>
    <w:rsid w:val="6139287F"/>
    <w:rsid w:val="61A560A5"/>
    <w:rsid w:val="61B054B5"/>
    <w:rsid w:val="624F4CCE"/>
    <w:rsid w:val="63CF15A0"/>
    <w:rsid w:val="64045705"/>
    <w:rsid w:val="64607667"/>
    <w:rsid w:val="646A1374"/>
    <w:rsid w:val="64F66D5B"/>
    <w:rsid w:val="65A92947"/>
    <w:rsid w:val="661A50B7"/>
    <w:rsid w:val="66873AA4"/>
    <w:rsid w:val="66CD4D5B"/>
    <w:rsid w:val="671F6AA4"/>
    <w:rsid w:val="673E5F91"/>
    <w:rsid w:val="67D428B6"/>
    <w:rsid w:val="67D6317A"/>
    <w:rsid w:val="67D649B5"/>
    <w:rsid w:val="681C1AF7"/>
    <w:rsid w:val="683F1818"/>
    <w:rsid w:val="685A261F"/>
    <w:rsid w:val="6861124B"/>
    <w:rsid w:val="687C7315"/>
    <w:rsid w:val="689F1462"/>
    <w:rsid w:val="68DB3E44"/>
    <w:rsid w:val="68ED6365"/>
    <w:rsid w:val="69562DE6"/>
    <w:rsid w:val="69564B94"/>
    <w:rsid w:val="695732E1"/>
    <w:rsid w:val="69894F6A"/>
    <w:rsid w:val="69F331D1"/>
    <w:rsid w:val="6A356620"/>
    <w:rsid w:val="6A490EEE"/>
    <w:rsid w:val="6A4E3ABD"/>
    <w:rsid w:val="6AA638F9"/>
    <w:rsid w:val="6ABE3F65"/>
    <w:rsid w:val="6AE63D7E"/>
    <w:rsid w:val="6B041A51"/>
    <w:rsid w:val="6B2A62D8"/>
    <w:rsid w:val="6B462C2B"/>
    <w:rsid w:val="6B6D7E0C"/>
    <w:rsid w:val="6B8359E9"/>
    <w:rsid w:val="6B854622"/>
    <w:rsid w:val="6BD277B9"/>
    <w:rsid w:val="6BDC0D03"/>
    <w:rsid w:val="6C1D6076"/>
    <w:rsid w:val="6C321620"/>
    <w:rsid w:val="6C382C77"/>
    <w:rsid w:val="6C5775A1"/>
    <w:rsid w:val="6C816727"/>
    <w:rsid w:val="6CAC7C7E"/>
    <w:rsid w:val="6D1E00BF"/>
    <w:rsid w:val="6D912A98"/>
    <w:rsid w:val="6DA02882"/>
    <w:rsid w:val="6DA12E69"/>
    <w:rsid w:val="6DBB3B60"/>
    <w:rsid w:val="6DD15131"/>
    <w:rsid w:val="6DF32102"/>
    <w:rsid w:val="6E5D0773"/>
    <w:rsid w:val="6E663ACB"/>
    <w:rsid w:val="6E874863"/>
    <w:rsid w:val="6EB96EBE"/>
    <w:rsid w:val="6EDE1CA1"/>
    <w:rsid w:val="6F0B4673"/>
    <w:rsid w:val="6F18123A"/>
    <w:rsid w:val="6F773AB6"/>
    <w:rsid w:val="6FA0237A"/>
    <w:rsid w:val="6FC565D0"/>
    <w:rsid w:val="6FE95D22"/>
    <w:rsid w:val="6FFD2DE1"/>
    <w:rsid w:val="700E4F44"/>
    <w:rsid w:val="70173239"/>
    <w:rsid w:val="70422316"/>
    <w:rsid w:val="70516AED"/>
    <w:rsid w:val="711D3FA5"/>
    <w:rsid w:val="714D49BA"/>
    <w:rsid w:val="71864485"/>
    <w:rsid w:val="721A5B23"/>
    <w:rsid w:val="722C0729"/>
    <w:rsid w:val="72736CB4"/>
    <w:rsid w:val="72AC67BD"/>
    <w:rsid w:val="72B931C1"/>
    <w:rsid w:val="72EB459F"/>
    <w:rsid w:val="734A515C"/>
    <w:rsid w:val="738D03F5"/>
    <w:rsid w:val="73B057E9"/>
    <w:rsid w:val="73E442FB"/>
    <w:rsid w:val="744A48B2"/>
    <w:rsid w:val="75903CD5"/>
    <w:rsid w:val="75A51775"/>
    <w:rsid w:val="75AB2ED7"/>
    <w:rsid w:val="75B3511C"/>
    <w:rsid w:val="75D87DB8"/>
    <w:rsid w:val="761D64FD"/>
    <w:rsid w:val="767E5B01"/>
    <w:rsid w:val="769B601A"/>
    <w:rsid w:val="76D65CAB"/>
    <w:rsid w:val="770B3462"/>
    <w:rsid w:val="778F44F9"/>
    <w:rsid w:val="77BD4375"/>
    <w:rsid w:val="77D5798A"/>
    <w:rsid w:val="77F2017E"/>
    <w:rsid w:val="77F515E7"/>
    <w:rsid w:val="783E33C3"/>
    <w:rsid w:val="787F7958"/>
    <w:rsid w:val="78E370A5"/>
    <w:rsid w:val="78EB58C7"/>
    <w:rsid w:val="79017606"/>
    <w:rsid w:val="79586707"/>
    <w:rsid w:val="797F0137"/>
    <w:rsid w:val="79D7411E"/>
    <w:rsid w:val="79D7762B"/>
    <w:rsid w:val="79EB254B"/>
    <w:rsid w:val="7B9652C4"/>
    <w:rsid w:val="7BA82ABD"/>
    <w:rsid w:val="7BAF56AB"/>
    <w:rsid w:val="7BDB201C"/>
    <w:rsid w:val="7BE10C35"/>
    <w:rsid w:val="7C275833"/>
    <w:rsid w:val="7C284683"/>
    <w:rsid w:val="7C4178C7"/>
    <w:rsid w:val="7C734874"/>
    <w:rsid w:val="7C757EAB"/>
    <w:rsid w:val="7D0A41BC"/>
    <w:rsid w:val="7D0A4B32"/>
    <w:rsid w:val="7D484972"/>
    <w:rsid w:val="7D797C2B"/>
    <w:rsid w:val="7D8E32DB"/>
    <w:rsid w:val="7DAC6A56"/>
    <w:rsid w:val="7F8E2E82"/>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w:basedOn w:val="1"/>
    <w:next w:val="6"/>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Body Text First Indent"/>
    <w:basedOn w:val="5"/>
    <w:next w:val="7"/>
    <w:autoRedefine/>
    <w:qFormat/>
    <w:uiPriority w:val="0"/>
    <w:pPr>
      <w:ind w:firstLine="420"/>
    </w:pPr>
    <w:rPr>
      <w:rFonts w:hAnsi="Times New Roman" w:cs="Times New Roman"/>
      <w:snapToGrid/>
      <w:szCs w:val="20"/>
    </w:rPr>
  </w:style>
  <w:style w:type="paragraph" w:styleId="7">
    <w:name w:val="toc 6"/>
    <w:basedOn w:val="1"/>
    <w:next w:val="1"/>
    <w:autoRedefine/>
    <w:qFormat/>
    <w:uiPriority w:val="0"/>
    <w:pPr>
      <w:ind w:left="2100" w:leftChars="1000"/>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next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25664</Words>
  <Characters>27998</Characters>
  <Lines>224</Lines>
  <Paragraphs>63</Paragraphs>
  <TotalTime>16</TotalTime>
  <ScaleCrop>false</ScaleCrop>
  <LinksUpToDate>false</LinksUpToDate>
  <CharactersWithSpaces>30967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2024-06-12T04:47:47Z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6A8FEE40B9E14D38A6934ACE40E79C8A_13</vt:lpwstr>
  </property>
</Properties>
</file>