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color w:val="auto"/>
          <w:sz w:val="48"/>
          <w:szCs w:val="48"/>
          <w:highlight w:val="none"/>
          <w:u w:val="single"/>
        </w:rPr>
      </w:pPr>
    </w:p>
    <w:p>
      <w:pPr>
        <w:pStyle w:val="11"/>
        <w:jc w:val="center"/>
        <w:rPr>
          <w:rFonts w:cs="宋体" w:asciiTheme="minorEastAsia" w:hAnsiTheme="minorEastAsia"/>
          <w:color w:val="auto"/>
          <w:sz w:val="48"/>
          <w:szCs w:val="48"/>
          <w:highlight w:val="none"/>
          <w:u w:val="single"/>
        </w:rPr>
      </w:pPr>
    </w:p>
    <w:p>
      <w:pPr>
        <w:pStyle w:val="11"/>
        <w:jc w:val="center"/>
        <w:rPr>
          <w:rFonts w:cs="宋体" w:asciiTheme="minorEastAsia" w:hAnsiTheme="minorEastAsia"/>
          <w:color w:val="auto"/>
          <w:sz w:val="48"/>
          <w:szCs w:val="48"/>
          <w:highlight w:val="none"/>
          <w:u w:val="single"/>
        </w:rPr>
      </w:pPr>
    </w:p>
    <w:p>
      <w:pPr>
        <w:pStyle w:val="11"/>
        <w:jc w:val="center"/>
        <w:rPr>
          <w:rFonts w:cs="宋体" w:asciiTheme="minorEastAsia" w:hAnsiTheme="minorEastAsia"/>
          <w:color w:val="auto"/>
          <w:sz w:val="48"/>
          <w:szCs w:val="48"/>
          <w:highlight w:val="none"/>
          <w:u w:val="single"/>
        </w:rPr>
      </w:pPr>
    </w:p>
    <w:p>
      <w:pPr>
        <w:pStyle w:val="11"/>
        <w:jc w:val="center"/>
        <w:rPr>
          <w:rFonts w:cs="宋体" w:asciiTheme="minorEastAsia" w:hAnsiTheme="minorEastAsia"/>
          <w:color w:val="auto"/>
          <w:sz w:val="48"/>
          <w:szCs w:val="48"/>
          <w:highlight w:val="none"/>
          <w:u w:val="single"/>
        </w:rPr>
      </w:pPr>
    </w:p>
    <w:p>
      <w:pPr>
        <w:pStyle w:val="11"/>
        <w:jc w:val="center"/>
        <w:rPr>
          <w:rFonts w:hint="eastAsia" w:eastAsiaTheme="minorEastAsia"/>
          <w:color w:val="auto"/>
          <w:highlight w:val="none"/>
          <w:lang w:eastAsia="zh-CN"/>
        </w:rPr>
      </w:pPr>
      <w:r>
        <w:rPr>
          <w:rFonts w:hint="eastAsia" w:cs="宋体" w:asciiTheme="minorEastAsia" w:hAnsiTheme="minorEastAsia"/>
          <w:color w:val="auto"/>
          <w:sz w:val="48"/>
          <w:szCs w:val="48"/>
          <w:highlight w:val="none"/>
          <w:u w:val="single"/>
          <w:lang w:eastAsia="zh-CN"/>
        </w:rPr>
        <w:t>2024年临江公司110kV升压站电力数据网络运行维护委外服务采购</w:t>
      </w:r>
    </w:p>
    <w:p>
      <w:pPr>
        <w:adjustRightInd w:val="0"/>
        <w:snapToGrid w:val="0"/>
        <w:spacing w:line="360" w:lineRule="auto"/>
        <w:jc w:val="center"/>
        <w:rPr>
          <w:rFonts w:cs="宋体" w:asciiTheme="minorEastAsia" w:hAnsiTheme="minorEastAsia"/>
          <w:color w:val="auto"/>
          <w:sz w:val="48"/>
          <w:szCs w:val="48"/>
          <w:highlight w:val="none"/>
        </w:rPr>
      </w:pPr>
    </w:p>
    <w:p>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202312011</w:t>
      </w:r>
    </w:p>
    <w:p>
      <w:pPr>
        <w:spacing w:line="360" w:lineRule="auto"/>
        <w:jc w:val="center"/>
        <w:rPr>
          <w:rFonts w:cs="仿宋" w:asciiTheme="minorEastAsia" w:hAnsiTheme="minorEastAsia"/>
          <w:b/>
          <w:bCs/>
          <w:color w:val="auto"/>
          <w:sz w:val="72"/>
          <w:szCs w:val="72"/>
          <w:highlight w:val="none"/>
        </w:rPr>
      </w:pPr>
    </w:p>
    <w:p>
      <w:pPr>
        <w:pStyle w:val="7"/>
        <w:rPr>
          <w:rFonts w:asciiTheme="minorEastAsia" w:hAnsiTheme="minorEastAsia"/>
          <w:color w:val="auto"/>
          <w:highlight w:val="none"/>
        </w:rPr>
      </w:pPr>
    </w:p>
    <w:p>
      <w:pPr>
        <w:spacing w:line="360" w:lineRule="auto"/>
        <w:jc w:val="center"/>
        <w:rPr>
          <w:rFonts w:cs="仿宋" w:asciiTheme="minorEastAsia" w:hAnsiTheme="minorEastAsia"/>
          <w:b/>
          <w:bCs/>
          <w:color w:val="auto"/>
          <w:sz w:val="72"/>
          <w:szCs w:val="72"/>
          <w:highlight w:val="none"/>
        </w:rPr>
      </w:pPr>
    </w:p>
    <w:p>
      <w:pPr>
        <w:pStyle w:val="11"/>
        <w:rPr>
          <w:color w:val="auto"/>
          <w:highlight w:val="none"/>
        </w:rPr>
      </w:pPr>
    </w:p>
    <w:p>
      <w:pPr>
        <w:rPr>
          <w:color w:val="auto"/>
          <w:highlight w:val="none"/>
        </w:rPr>
      </w:pPr>
    </w:p>
    <w:p>
      <w:pPr>
        <w:pStyle w:val="11"/>
        <w:rPr>
          <w:color w:val="auto"/>
          <w:highlight w:val="none"/>
        </w:rPr>
      </w:pPr>
    </w:p>
    <w:p>
      <w:pPr>
        <w:rPr>
          <w:color w:val="auto"/>
          <w:highlight w:val="none"/>
        </w:rPr>
      </w:pPr>
    </w:p>
    <w:p>
      <w:pPr>
        <w:spacing w:line="360" w:lineRule="auto"/>
        <w:rPr>
          <w:rFonts w:cs="仿宋" w:asciiTheme="minorEastAsia" w:hAnsiTheme="minorEastAsia"/>
          <w:color w:val="auto"/>
          <w:sz w:val="24"/>
          <w:highlight w:val="none"/>
        </w:rPr>
      </w:pPr>
    </w:p>
    <w:p>
      <w:pPr>
        <w:pStyle w:val="11"/>
        <w:rPr>
          <w:rFonts w:cs="仿宋" w:asciiTheme="minorEastAsia" w:hAnsiTheme="minorEastAsia"/>
          <w:color w:val="auto"/>
          <w:sz w:val="24"/>
          <w:szCs w:val="24"/>
          <w:highlight w:val="none"/>
        </w:rPr>
      </w:pPr>
    </w:p>
    <w:p>
      <w:pPr>
        <w:pStyle w:val="11"/>
        <w:jc w:val="center"/>
        <w:rPr>
          <w:rFonts w:cs="仿宋" w:asciiTheme="minorEastAsia" w:hAnsiTheme="minorEastAsia"/>
          <w:color w:val="auto"/>
          <w:sz w:val="24"/>
          <w:szCs w:val="24"/>
          <w:highlight w:val="none"/>
        </w:rPr>
      </w:pPr>
    </w:p>
    <w:p>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pPr>
        <w:spacing w:line="360" w:lineRule="auto"/>
        <w:jc w:val="center"/>
        <w:rPr>
          <w:rFonts w:cs="仿宋" w:asciiTheme="minorEastAsia" w:hAnsiTheme="minorEastAsia"/>
          <w:b/>
          <w:color w:val="auto"/>
          <w:sz w:val="24"/>
          <w:highlight w:val="none"/>
        </w:rPr>
      </w:pPr>
      <w:r>
        <w:rPr>
          <w:rFonts w:cs="仿宋" w:asciiTheme="minorEastAsia" w:hAnsiTheme="minorEastAsia"/>
          <w:color w:val="auto"/>
          <w:sz w:val="32"/>
          <w:szCs w:val="32"/>
          <w:highlight w:val="none"/>
        </w:rPr>
        <w:t>2023</w:t>
      </w:r>
      <w:r>
        <w:rPr>
          <w:rFonts w:hint="eastAsia" w:cs="仿宋" w:asciiTheme="minorEastAsia" w:hAnsiTheme="minorEastAsia"/>
          <w:color w:val="auto"/>
          <w:sz w:val="32"/>
          <w:szCs w:val="32"/>
          <w:highlight w:val="none"/>
        </w:rPr>
        <w:t>年12月</w:t>
      </w:r>
      <w:r>
        <w:rPr>
          <w:rFonts w:hint="eastAsia" w:cs="仿宋" w:asciiTheme="minorEastAsia" w:hAnsiTheme="minorEastAsia"/>
          <w:color w:val="auto"/>
          <w:sz w:val="32"/>
          <w:szCs w:val="32"/>
          <w:highlight w:val="none"/>
          <w:lang w:val="en-US" w:eastAsia="zh-CN"/>
        </w:rPr>
        <w:t>7</w:t>
      </w:r>
      <w:r>
        <w:rPr>
          <w:rFonts w:hint="eastAsia" w:cs="仿宋" w:asciiTheme="minorEastAsia" w:hAnsiTheme="minorEastAsia"/>
          <w:color w:val="auto"/>
          <w:sz w:val="32"/>
          <w:szCs w:val="32"/>
          <w:highlight w:val="none"/>
        </w:rPr>
        <w:t>日</w:t>
      </w:r>
    </w:p>
    <w:p>
      <w:pPr>
        <w:spacing w:line="360" w:lineRule="auto"/>
        <w:ind w:firstLine="602" w:firstLineChars="200"/>
        <w:jc w:val="center"/>
        <w:rPr>
          <w:rFonts w:cs="仿宋" w:asciiTheme="minorEastAsia" w:hAnsiTheme="minorEastAsia"/>
          <w:b/>
          <w:color w:val="auto"/>
          <w:sz w:val="30"/>
          <w:szCs w:val="30"/>
          <w:highlight w:val="none"/>
        </w:rPr>
      </w:pPr>
    </w:p>
    <w:p>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35393790"/>
      <w:bookmarkStart w:id="2" w:name="_Toc28359002"/>
      <w:bookmarkStart w:id="3" w:name="_Toc28359079"/>
      <w:bookmarkStart w:id="4" w:name="_Toc35393621"/>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rPr>
        <w:t>2024年临江公司</w:t>
      </w:r>
      <w:r>
        <w:rPr>
          <w:rFonts w:hint="eastAsia" w:cs="仿宋" w:asciiTheme="minorEastAsia" w:hAnsiTheme="minorEastAsia"/>
          <w:color w:val="auto"/>
          <w:sz w:val="24"/>
          <w:highlight w:val="none"/>
          <w:u w:val="single"/>
          <w:lang w:eastAsia="zh-CN"/>
        </w:rPr>
        <w:t>110kV</w:t>
      </w:r>
      <w:r>
        <w:rPr>
          <w:rFonts w:hint="eastAsia" w:cs="仿宋" w:asciiTheme="minorEastAsia" w:hAnsiTheme="minorEastAsia"/>
          <w:color w:val="auto"/>
          <w:sz w:val="24"/>
          <w:highlight w:val="none"/>
          <w:u w:val="single"/>
        </w:rPr>
        <w:t>升压站电力数据网络运行维护委外维保</w:t>
      </w:r>
      <w:r>
        <w:rPr>
          <w:rFonts w:cs="仿宋" w:asciiTheme="minorEastAsia" w:hAnsiTheme="minorEastAsia"/>
          <w:color w:val="auto"/>
          <w:sz w:val="24"/>
          <w:highlight w:val="none"/>
          <w:u w:val="single"/>
        </w:rPr>
        <w:t xml:space="preserve">服务 </w:t>
      </w:r>
      <w:r>
        <w:rPr>
          <w:rFonts w:hint="eastAsia" w:cs="仿宋" w:asciiTheme="minorEastAsia" w:hAnsiTheme="minorEastAsia"/>
          <w:color w:val="auto"/>
          <w:sz w:val="24"/>
          <w:highlight w:val="none"/>
          <w:u w:val="single"/>
        </w:rPr>
        <w:t>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4"/>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202312011</w:t>
      </w:r>
    </w:p>
    <w:p>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rPr>
        <w:t>2024年临江公司</w:t>
      </w:r>
      <w:r>
        <w:rPr>
          <w:rFonts w:hint="eastAsia" w:cs="仿宋" w:asciiTheme="minorEastAsia" w:hAnsiTheme="minorEastAsia"/>
          <w:color w:val="auto"/>
          <w:sz w:val="24"/>
          <w:highlight w:val="none"/>
          <w:u w:val="single"/>
          <w:lang w:eastAsia="zh-CN"/>
        </w:rPr>
        <w:t>110kV</w:t>
      </w:r>
      <w:r>
        <w:rPr>
          <w:rFonts w:hint="eastAsia" w:cs="仿宋" w:asciiTheme="minorEastAsia" w:hAnsiTheme="minorEastAsia"/>
          <w:color w:val="auto"/>
          <w:sz w:val="24"/>
          <w:highlight w:val="none"/>
          <w:u w:val="single"/>
        </w:rPr>
        <w:t>升压站电力数据网络运行维护委外维保</w:t>
      </w:r>
      <w:r>
        <w:rPr>
          <w:rFonts w:cs="仿宋" w:asciiTheme="minorEastAsia" w:hAnsiTheme="minorEastAsia"/>
          <w:color w:val="auto"/>
          <w:sz w:val="24"/>
          <w:highlight w:val="none"/>
          <w:u w:val="single"/>
        </w:rPr>
        <w:t>服务</w:t>
      </w:r>
    </w:p>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bookmarkStart w:id="497" w:name="_GoBack"/>
      <w:r>
        <w:rPr>
          <w:rFonts w:hint="eastAsia" w:cs="仿宋" w:asciiTheme="minorEastAsia" w:hAnsiTheme="minorEastAsia"/>
          <w:b/>
          <w:bCs/>
          <w:color w:val="auto"/>
          <w:sz w:val="24"/>
          <w:highlight w:val="none"/>
          <w:u w:val="single"/>
          <w:lang w:val="en-US" w:eastAsia="zh-CN"/>
        </w:rPr>
        <w:t>7.5</w:t>
      </w:r>
      <w:r>
        <w:rPr>
          <w:rFonts w:hint="eastAsia" w:cs="仿宋" w:asciiTheme="minorEastAsia" w:hAnsiTheme="minorEastAsia"/>
          <w:b/>
          <w:bCs/>
          <w:color w:val="auto"/>
          <w:sz w:val="24"/>
          <w:highlight w:val="none"/>
          <w:u w:val="single"/>
        </w:rPr>
        <w:t>万</w:t>
      </w:r>
      <w:r>
        <w:rPr>
          <w:rFonts w:hint="eastAsia" w:cs="仿宋" w:asciiTheme="minorEastAsia" w:hAnsiTheme="minorEastAsia"/>
          <w:color w:val="auto"/>
          <w:sz w:val="24"/>
          <w:highlight w:val="none"/>
          <w:u w:val="single"/>
        </w:rPr>
        <w:t>元</w:t>
      </w:r>
      <w:bookmarkEnd w:id="497"/>
    </w:p>
    <w:p>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pPr>
        <w:spacing w:line="360" w:lineRule="auto"/>
        <w:ind w:firstLine="480" w:firstLineChars="200"/>
        <w:rPr>
          <w:rFonts w:hAnsi="宋体"/>
          <w:color w:val="auto"/>
          <w:sz w:val="24"/>
          <w:highlight w:val="none"/>
        </w:rPr>
      </w:pPr>
      <w:r>
        <w:rPr>
          <w:rFonts w:hint="eastAsia" w:hAnsi="宋体" w:cs="宋体"/>
          <w:bCs/>
          <w:color w:val="auto"/>
          <w:sz w:val="24"/>
          <w:highlight w:val="none"/>
        </w:rPr>
        <w:t>对杭州临江环境能源有限公司110kV升压站1套通信设备SDH、2套接入设备PCM、1台综合配线架、2台录音电话、2台电力调制解调器及相配套电缆、2套调度数据网、1套三区数据网、 2条红线内的引入光缆等进行运维。</w:t>
      </w:r>
      <w:r>
        <w:rPr>
          <w:rFonts w:hint="eastAsia" w:cs="仿宋" w:asciiTheme="minorEastAsia" w:hAnsiTheme="minorEastAsia"/>
          <w:color w:val="auto"/>
          <w:sz w:val="24"/>
          <w:highlight w:val="none"/>
        </w:rPr>
        <w:t>具体要求以询价通知书第三部分采购需求为准。</w:t>
      </w:r>
    </w:p>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6.合同履行期限：</w:t>
      </w:r>
      <w:r>
        <w:rPr>
          <w:rFonts w:hint="eastAsia" w:cs="仿宋" w:asciiTheme="minorEastAsia" w:hAnsiTheme="minorEastAsia"/>
          <w:color w:val="auto"/>
          <w:sz w:val="24"/>
          <w:highlight w:val="none"/>
          <w:u w:val="single"/>
        </w:rPr>
        <w:t xml:space="preserve"> 自合同签订后12个月。</w:t>
      </w:r>
    </w:p>
    <w:p>
      <w:pPr>
        <w:spacing w:line="360" w:lineRule="auto"/>
        <w:ind w:firstLine="482" w:firstLineChars="200"/>
        <w:rPr>
          <w:rFonts w:cs="仿宋" w:asciiTheme="minorEastAsia" w:hAnsiTheme="minorEastAsia"/>
          <w:color w:val="auto"/>
          <w:sz w:val="24"/>
          <w:highlight w:val="none"/>
        </w:rPr>
      </w:pPr>
      <w:r>
        <w:rPr>
          <w:rFonts w:hint="eastAsia" w:hAnsi="宋体" w:cs="宋体"/>
          <w:b/>
          <w:color w:val="auto"/>
          <w:sz w:val="24"/>
          <w:highlight w:val="none"/>
        </w:rPr>
        <w:t>7.本项目接受联合体投标：</w:t>
      </w:r>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591624199"/>
        </w:sdtPr>
        <w:sdtEndPr>
          <w:rPr>
            <w:rFonts w:hAnsi="宋体" w:cs="宋体"/>
            <w:color w:val="auto"/>
            <w:kern w:val="0"/>
            <w:sz w:val="24"/>
            <w:highlight w:val="none"/>
          </w:rPr>
        </w:sdtEndPr>
        <w:sdtContent>
          <w:sdt>
            <w:sdtPr>
              <w:rPr>
                <w:rFonts w:hAnsi="宋体" w:cs="宋体"/>
                <w:color w:val="auto"/>
                <w:kern w:val="0"/>
                <w:sz w:val="24"/>
                <w:highlight w:val="none"/>
              </w:rPr>
              <w:id w:val="345604147"/>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pPr>
        <w:spacing w:line="360" w:lineRule="auto"/>
        <w:ind w:firstLine="482" w:firstLineChars="200"/>
        <w:rPr>
          <w:rFonts w:cs="仿宋" w:asciiTheme="minorEastAsia" w:hAnsiTheme="minorEastAsia"/>
          <w:b/>
          <w:bCs/>
          <w:color w:val="auto"/>
          <w:sz w:val="24"/>
          <w:highlight w:val="none"/>
        </w:rPr>
      </w:pPr>
      <w:bookmarkStart w:id="6" w:name="_Toc35393791"/>
      <w:bookmarkStart w:id="7" w:name="_Toc28359080"/>
      <w:bookmarkStart w:id="8" w:name="_Toc35393622"/>
      <w:bookmarkStart w:id="9" w:name="_Toc28359003"/>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28359004"/>
      <w:bookmarkStart w:id="11" w:name="_Toc35393792"/>
      <w:bookmarkStart w:id="12" w:name="_Toc35393623"/>
      <w:bookmarkStart w:id="13" w:name="_Toc28359081"/>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1.供应商必须是在中华人民共和国境内注册，具有独立法人资格和独立承担民事责任的能力，有能力提供相关服务。</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供应商必须有自2020年1月1日起不少于</w:t>
      </w:r>
      <w:r>
        <w:rPr>
          <w:rFonts w:cs="仿宋" w:asciiTheme="minorEastAsia" w:hAnsiTheme="minorEastAsia"/>
          <w:b/>
          <w:color w:val="auto"/>
          <w:sz w:val="24"/>
          <w:highlight w:val="none"/>
          <w:u w:val="single"/>
        </w:rPr>
        <w:t>1</w:t>
      </w:r>
      <w:r>
        <w:rPr>
          <w:rFonts w:hint="eastAsia" w:cs="仿宋" w:asciiTheme="minorEastAsia" w:hAnsiTheme="minorEastAsia"/>
          <w:bCs/>
          <w:color w:val="auto"/>
          <w:sz w:val="24"/>
          <w:highlight w:val="none"/>
          <w:u w:val="single"/>
        </w:rPr>
        <w:t>个110kV升压站电力数据网络运行维护委外维保相关的业绩</w:t>
      </w:r>
      <w:r>
        <w:rPr>
          <w:rFonts w:hint="eastAsia" w:cs="仿宋" w:asciiTheme="minorEastAsia" w:hAnsiTheme="minorEastAsia"/>
          <w:b/>
          <w:color w:val="auto"/>
          <w:sz w:val="24"/>
          <w:highlight w:val="none"/>
          <w:u w:val="single"/>
        </w:rPr>
        <w:t>（同时提供合同复印件和与合同相对应的正规合法发票复印件作为业绩证明材料，缺少其中任何一个均视为业绩证明材料不符合要求）。</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本项目特定资格要求：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35393624"/>
      <w:bookmarkStart w:id="15" w:name="_Toc28359082"/>
      <w:bookmarkStart w:id="16" w:name="_Toc35393793"/>
      <w:bookmarkStart w:id="17" w:name="_Toc28359005"/>
      <w:r>
        <w:rPr>
          <w:rFonts w:hint="eastAsia" w:cs="仿宋" w:asciiTheme="minorEastAsia" w:hAnsiTheme="minorEastAsia" w:eastAsiaTheme="minorEastAsia"/>
          <w:b w:val="0"/>
          <w:color w:val="auto"/>
          <w:sz w:val="24"/>
          <w:szCs w:val="24"/>
          <w:highlight w:val="none"/>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四、询价保证金</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五、响应文件递交</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rPr>
        <w:t>2023年</w:t>
      </w:r>
      <w:r>
        <w:rPr>
          <w:rFonts w:hint="eastAsia" w:cs="仿宋" w:asciiTheme="minorEastAsia" w:hAnsiTheme="minorEastAsia"/>
          <w:color w:val="auto"/>
          <w:sz w:val="24"/>
          <w:highlight w:val="none"/>
          <w:u w:val="single"/>
          <w:lang w:val="en-US" w:eastAsia="zh-CN"/>
        </w:rPr>
        <w:t>12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18</w:t>
      </w:r>
      <w:r>
        <w:rPr>
          <w:rFonts w:hint="eastAsia" w:cs="仿宋" w:asciiTheme="minorEastAsia" w:hAnsiTheme="minorEastAsia"/>
          <w:bCs/>
          <w:color w:val="auto"/>
          <w:sz w:val="24"/>
          <w:highlight w:val="none"/>
          <w:u w:val="single"/>
        </w:rPr>
        <w:t xml:space="preserve">日 </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pPr>
        <w:spacing w:line="360" w:lineRule="auto"/>
        <w:ind w:firstLine="480" w:firstLineChars="200"/>
        <w:rPr>
          <w:color w:val="auto"/>
          <w:highlight w:val="none"/>
        </w:rPr>
      </w:pPr>
      <w:r>
        <w:rPr>
          <w:rFonts w:hint="eastAsia" w:cs="仿宋" w:asciiTheme="minorEastAsia" w:hAnsiTheme="minorEastAsia"/>
          <w:color w:val="auto"/>
          <w:sz w:val="24"/>
          <w:highlight w:val="none"/>
        </w:rPr>
        <w:t>3、递交方式：响应文件可采用现场递交或者邮寄方式其中任何一种方式。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（2）响应文件邮寄封装要求：供应商除按照文件要求封装响应文件外，还需在快递外包装上</w:t>
      </w:r>
      <w:r>
        <w:rPr>
          <w:rFonts w:hint="eastAsia" w:cs="仿宋" w:asciiTheme="minorEastAsia" w:hAnsiTheme="minorEastAsia"/>
          <w:b/>
          <w:bCs/>
          <w:color w:val="auto"/>
          <w:sz w:val="28"/>
          <w:szCs w:val="28"/>
          <w:highlight w:val="none"/>
        </w:rPr>
        <w:t>醒目注明项目名称、询价编号，且注明联系人、联系人电话</w:t>
      </w:r>
      <w:r>
        <w:rPr>
          <w:rFonts w:hint="eastAsia" w:cs="仿宋" w:asciiTheme="minorEastAsia" w:hAnsiTheme="minorEastAsia"/>
          <w:color w:val="auto"/>
          <w:sz w:val="24"/>
          <w:highlight w:val="none"/>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六、响应文件开启</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rPr>
        <w:t>2023</w:t>
      </w:r>
      <w:r>
        <w:rPr>
          <w:rFonts w:hint="eastAsia" w:cs="仿宋" w:asciiTheme="minorEastAsia" w:hAnsiTheme="minorEastAsia"/>
          <w:bCs/>
          <w:color w:val="auto"/>
          <w:sz w:val="24"/>
          <w:highlight w:val="none"/>
          <w:u w:val="single"/>
        </w:rPr>
        <w:t>年</w:t>
      </w:r>
      <w:r>
        <w:rPr>
          <w:rFonts w:hint="eastAsia" w:cs="仿宋" w:asciiTheme="minorEastAsia" w:hAnsiTheme="minorEastAsia"/>
          <w:bCs/>
          <w:color w:val="auto"/>
          <w:sz w:val="24"/>
          <w:highlight w:val="none"/>
          <w:u w:val="single"/>
          <w:lang w:val="en-US" w:eastAsia="zh-CN"/>
        </w:rPr>
        <w:t>12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18</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本次询价开标采用线上和线下同时进行的方式，供应商可参与现场开标，或者线上参加“腾讯会议”形式参与线上现场开标。开标期间供应商代表通过“腾讯会议”保持全程在线直至开标结束。腾讯会议号在开标当日</w:t>
      </w:r>
      <w:r>
        <w:rPr>
          <w:rFonts w:hint="eastAsia" w:cs="仿宋" w:asciiTheme="minorEastAsia" w:hAnsiTheme="minorEastAsia"/>
          <w:color w:val="auto"/>
          <w:sz w:val="24"/>
          <w:highlight w:val="none"/>
          <w:lang w:val="en-US" w:eastAsia="zh-CN"/>
        </w:rPr>
        <w:t>13</w:t>
      </w:r>
      <w:r>
        <w:rPr>
          <w:rFonts w:hint="eastAsia" w:cs="仿宋" w:asciiTheme="minorEastAsia" w:hAnsiTheme="minorEastAsia"/>
          <w:color w:val="auto"/>
          <w:sz w:val="24"/>
          <w:highlight w:val="none"/>
        </w:rPr>
        <w:t>:10之前在杭州临江环境能源有限公司网站公示，请各供应商及时关注进入会场。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（4）见证要求：开标期间供应商因未参与现场开标或者未参加线上直播，视为认可全过程和结果，不得提出异议。</w:t>
      </w:r>
    </w:p>
    <w:p>
      <w:pPr>
        <w:spacing w:line="360" w:lineRule="auto"/>
        <w:ind w:firstLine="480" w:firstLineChars="200"/>
        <w:rPr>
          <w:color w:val="auto"/>
          <w:highlight w:val="none"/>
        </w:rPr>
      </w:pPr>
      <w:r>
        <w:rPr>
          <w:rFonts w:hint="eastAsia" w:cs="仿宋" w:asciiTheme="minorEastAsia" w:hAnsiTheme="minorEastAsia"/>
          <w:color w:val="auto"/>
          <w:sz w:val="24"/>
          <w:highlight w:val="none"/>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single"/>
        </w:rPr>
        <w:t>ljgsbjzy@163.com</w:t>
      </w:r>
      <w:r>
        <w:rPr>
          <w:rFonts w:hint="eastAsia" w:cs="仿宋" w:asciiTheme="minorEastAsia" w:hAnsiTheme="minorEastAsia"/>
          <w:color w:val="auto"/>
          <w:sz w:val="24"/>
          <w:highlight w:val="none"/>
        </w:rPr>
        <w:t>提出质疑，同时联系经本项目采购经办人员。逾期视作无异议。</w:t>
      </w:r>
    </w:p>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八、联系方式</w:t>
      </w:r>
      <w:r>
        <w:rPr>
          <w:rFonts w:hint="eastAsia" w:cs="仿宋" w:asciiTheme="minorEastAsia" w:hAnsiTheme="minorEastAsia"/>
          <w:b/>
          <w:bCs/>
          <w:color w:val="auto"/>
          <w:sz w:val="24"/>
          <w:highlight w:val="none"/>
          <w:lang w:val="en-US" w:eastAsia="zh-CN"/>
        </w:rPr>
        <w:t xml:space="preserve">  </w:t>
      </w:r>
      <w:r>
        <w:rPr>
          <w:rFonts w:hint="eastAsia" w:cs="仿宋" w:asciiTheme="minorEastAsia" w:hAnsiTheme="minorEastAsia"/>
          <w:color w:val="auto"/>
          <w:sz w:val="24"/>
          <w:highlight w:val="none"/>
        </w:rPr>
        <w:t xml:space="preserve">经办联系人：叶工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联系电话：18458245764  </w:t>
      </w:r>
    </w:p>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九、监督部门</w:t>
      </w:r>
      <w:r>
        <w:rPr>
          <w:rFonts w:hint="eastAsia" w:cs="仿宋" w:asciiTheme="minorEastAsia" w:hAnsiTheme="minorEastAsia"/>
          <w:b/>
          <w:bCs/>
          <w:color w:val="auto"/>
          <w:sz w:val="24"/>
          <w:highlight w:val="none"/>
          <w:lang w:val="en-US" w:eastAsia="zh-CN"/>
        </w:rPr>
        <w:t xml:space="preserve">  </w:t>
      </w:r>
      <w:r>
        <w:rPr>
          <w:rFonts w:hint="eastAsia" w:cs="仿宋" w:asciiTheme="minorEastAsia" w:hAnsiTheme="minorEastAsia"/>
          <w:color w:val="auto"/>
          <w:sz w:val="24"/>
          <w:highlight w:val="none"/>
        </w:rPr>
        <w:t>联系人：李文拓       联系电话：15636132687</w:t>
      </w:r>
    </w:p>
    <w:p>
      <w:pPr>
        <w:spacing w:line="360" w:lineRule="auto"/>
        <w:ind w:firstLine="3840" w:firstLineChars="16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pacing w:line="360" w:lineRule="auto"/>
        <w:ind w:firstLine="4320" w:firstLineChars="1800"/>
        <w:rPr>
          <w:rFonts w:cs="仿宋" w:asciiTheme="minorEastAsia" w:hAnsiTheme="minorEastAsia"/>
          <w:b/>
          <w:bCs/>
          <w:color w:val="auto"/>
          <w:sz w:val="24"/>
          <w:highlight w:val="none"/>
        </w:rPr>
      </w:pPr>
      <w:r>
        <w:rPr>
          <w:rFonts w:hint="eastAsia" w:cs="仿宋" w:asciiTheme="minorEastAsia" w:hAnsiTheme="minorEastAsia"/>
          <w:color w:val="auto"/>
          <w:sz w:val="24"/>
          <w:highlight w:val="none"/>
        </w:rPr>
        <w:t>2023</w:t>
      </w:r>
      <w:r>
        <w:rPr>
          <w:rFonts w:cs="仿宋" w:asciiTheme="minorEastAsia" w:hAnsiTheme="minorEastAsia"/>
          <w:color w:val="auto"/>
          <w:sz w:val="24"/>
          <w:highlight w:val="none"/>
        </w:rPr>
        <w:t>年</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12</w:t>
      </w:r>
      <w:r>
        <w:rPr>
          <w:rFonts w:hint="eastAsia" w:cs="仿宋" w:asciiTheme="minorEastAsia" w:hAnsiTheme="minorEastAsia"/>
          <w:color w:val="auto"/>
          <w:sz w:val="24"/>
          <w:highlight w:val="none"/>
        </w:rPr>
        <w:t>月</w:t>
      </w:r>
      <w:r>
        <w:rPr>
          <w:rFonts w:hint="eastAsia" w:cs="仿宋" w:asciiTheme="minorEastAsia" w:hAnsiTheme="minorEastAsia"/>
          <w:color w:val="auto"/>
          <w:sz w:val="24"/>
          <w:highlight w:val="none"/>
          <w:lang w:val="en-US" w:eastAsia="zh-CN"/>
        </w:rPr>
        <w:t>17</w:t>
      </w:r>
      <w:r>
        <w:rPr>
          <w:rFonts w:hint="eastAsia" w:cs="仿宋" w:asciiTheme="minorEastAsia" w:hAnsiTheme="minorEastAsia"/>
          <w:color w:val="auto"/>
          <w:sz w:val="24"/>
          <w:highlight w:val="none"/>
        </w:rPr>
        <w:t>日</w:t>
      </w:r>
    </w:p>
    <w:p>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pPr>
              <w:pStyle w:val="19"/>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p>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pPr>
              <w:spacing w:line="360" w:lineRule="auto"/>
              <w:rPr>
                <w:rFonts w:ascii="宋体" w:hAnsi="宋体" w:eastAsia="宋体" w:cs="宋体"/>
                <w:b/>
                <w:color w:val="auto"/>
                <w:szCs w:val="21"/>
                <w:highlight w:val="none"/>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58"/>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5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495733405"/>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sdt>
                  <w:sdtPr>
                    <w:rPr>
                      <w:rFonts w:hint="eastAsia" w:ascii="宋体" w:hAnsi="宋体" w:eastAsia="宋体" w:cs="宋体"/>
                      <w:color w:val="auto"/>
                      <w:kern w:val="0"/>
                      <w:szCs w:val="21"/>
                      <w:highlight w:val="none"/>
                    </w:rPr>
                    <w:id w:val="60"/>
                    <w:showingPlcHdr/>
                  </w:sdtPr>
                  <w:sdtEndPr>
                    <w:rPr>
                      <w:rFonts w:hint="eastAsia" w:ascii="宋体" w:hAnsi="宋体" w:eastAsia="宋体" w:cs="宋体"/>
                      <w:color w:val="auto"/>
                      <w:kern w:val="0"/>
                      <w:szCs w:val="21"/>
                      <w:highlight w:val="none"/>
                    </w:rPr>
                  </w:sdtEndP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p>
          <w:p>
            <w:pPr>
              <w:spacing w:line="360" w:lineRule="auto"/>
              <w:rPr>
                <w:rFonts w:ascii="宋体" w:hAnsi="宋体" w:eastAsia="宋体" w:cs="宋体"/>
                <w:color w:val="auto"/>
                <w:kern w:val="0"/>
                <w:szCs w:val="21"/>
                <w:highlight w:val="none"/>
              </w:rPr>
            </w:pPr>
            <w:sdt>
              <w:sdtPr>
                <w:rPr>
                  <w:rFonts w:hint="eastAsia" w:ascii="宋体" w:hAnsi="宋体" w:eastAsia="宋体" w:cs="宋体"/>
                  <w:color w:val="auto"/>
                  <w:kern w:val="0"/>
                  <w:szCs w:val="21"/>
                  <w:highlight w:val="none"/>
                </w:rPr>
                <w:id w:val="11740717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62"/>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sdt>
                  <w:sdtPr>
                    <w:rPr>
                      <w:rFonts w:hint="eastAsia" w:ascii="宋体" w:hAnsi="宋体" w:eastAsia="宋体" w:cs="宋体"/>
                      <w:color w:val="auto"/>
                      <w:kern w:val="0"/>
                      <w:szCs w:val="21"/>
                      <w:highlight w:val="none"/>
                    </w:rPr>
                    <w:id w:val="63"/>
                    <w:showingPlcHdr/>
                  </w:sdtPr>
                  <w:sdtEndPr>
                    <w:rPr>
                      <w:rFonts w:hint="eastAsia" w:ascii="宋体" w:hAnsi="宋体" w:eastAsia="宋体" w:cs="宋体"/>
                      <w:color w:val="auto"/>
                      <w:kern w:val="0"/>
                      <w:szCs w:val="21"/>
                      <w:highlight w:val="none"/>
                    </w:rPr>
                  </w:sdtEndPr>
                  <w:sdtContent/>
                </w:sdt>
              </w:sdtContent>
            </w:sdt>
            <w:r>
              <w:rPr>
                <w:rFonts w:hint="eastAsia" w:ascii="宋体" w:hAnsi="宋体" w:eastAsia="宋体" w:cs="宋体"/>
                <w:color w:val="auto"/>
                <w:kern w:val="0"/>
                <w:szCs w:val="21"/>
                <w:highlight w:val="none"/>
              </w:rPr>
              <w:t>B组织。</w:t>
            </w:r>
          </w:p>
          <w:p>
            <w:pPr>
              <w:snapToGrid w:val="0"/>
              <w:spacing w:line="360" w:lineRule="auto"/>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rPr>
              <w:t>（1）在评田;超过</w:t>
            </w:r>
            <w:r>
              <w:rPr>
                <w:rFonts w:hint="eastAsia" w:ascii="宋体" w:hAnsi="宋体" w:eastAsia="宋体" w:cs="宋体"/>
                <w:color w:val="auto"/>
                <w:szCs w:val="21"/>
                <w:highlight w:val="none"/>
                <w:u w:val="single"/>
              </w:rPr>
              <w:t xml:space="preserve"> 20</w:t>
            </w:r>
            <w:r>
              <w:rPr>
                <w:rFonts w:hint="eastAsia" w:ascii="宋体" w:hAnsi="宋体" w:eastAsia="宋体" w:cs="宋体"/>
                <w:color w:val="auto"/>
                <w:kern w:val="0"/>
                <w:szCs w:val="21"/>
                <w:highlight w:val="none"/>
                <w:u w:val="single"/>
              </w:rPr>
              <w:t>（编制时可根据项目情况进行调整）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分钟，讲解次序以响应文件解密时间先后次序为准，讲解演示人员不超过</w:t>
            </w:r>
            <w:r>
              <w:rPr>
                <w:rFonts w:hint="eastAsia" w:ascii="宋体" w:hAnsi="宋体" w:eastAsia="宋体" w:cs="宋体"/>
                <w:color w:val="auto"/>
                <w:kern w:val="0"/>
                <w:szCs w:val="21"/>
                <w:highlight w:val="none"/>
                <w:u w:val="single"/>
              </w:rPr>
              <w:t>3（编制时可根据项目情况进行调整）</w:t>
            </w:r>
            <w:r>
              <w:rPr>
                <w:rFonts w:hint="eastAsia" w:ascii="宋体" w:hAnsi="宋体" w:eastAsia="宋体" w:cs="宋体"/>
                <w:color w:val="auto"/>
                <w:kern w:val="0"/>
                <w:szCs w:val="21"/>
                <w:highlight w:val="none"/>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sym w:font="Wingdings" w:char="00A8"/>
            </w:r>
            <w:r>
              <w:rPr>
                <w:rFonts w:hint="eastAsia" w:ascii="宋体" w:hAnsi="宋体" w:cs="宋体"/>
                <w:color w:val="auto"/>
                <w:highlight w:val="none"/>
              </w:rPr>
              <w:t>综合评分法。</w:t>
            </w:r>
          </w:p>
          <w:p>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sym w:font="Wingdings" w:char="00FE"/>
            </w:r>
            <w:r>
              <w:rPr>
                <w:rFonts w:hint="eastAsia" w:ascii="宋体" w:hAnsi="宋体" w:cs="宋体"/>
                <w:color w:val="auto"/>
                <w:highlight w:val="none"/>
              </w:rPr>
              <w:t>经评审后最低投标价法。</w:t>
            </w:r>
          </w:p>
          <w:p>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sym w:font="Wingdings" w:char="00A8"/>
            </w:r>
            <w:r>
              <w:rPr>
                <w:rFonts w:hint="eastAsia" w:ascii="宋体" w:hAnsi="宋体" w:cs="宋体"/>
                <w:color w:val="auto"/>
                <w:highlight w:val="none"/>
              </w:rPr>
              <w:t>其他。</w:t>
            </w:r>
          </w:p>
          <w:p>
            <w:pPr>
              <w:pStyle w:val="21"/>
              <w:snapToGrid w:val="0"/>
              <w:spacing w:line="400" w:lineRule="exact"/>
              <w:ind w:firstLine="0" w:firstLineChars="0"/>
              <w:jc w:val="left"/>
              <w:rPr>
                <w:rFonts w:ascii="宋体" w:hAnsi="宋体" w:eastAsia="宋体" w:cs="宋体"/>
                <w:b/>
                <w:color w:val="auto"/>
                <w:kern w:val="0"/>
                <w:szCs w:val="21"/>
                <w:highlight w:val="none"/>
              </w:rPr>
            </w:pPr>
            <w:r>
              <w:rPr>
                <w:rFonts w:hint="eastAsia" w:ascii="宋体" w:hAnsi="宋体" w:cs="宋体"/>
                <w:color w:val="auto"/>
                <w:highlight w:val="none"/>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履约保证金金额：约合同价的</w:t>
            </w:r>
            <w:r>
              <w:rPr>
                <w:rFonts w:ascii="宋体" w:hAnsi="宋体" w:cs="宋体"/>
                <w:color w:val="auto"/>
                <w:highlight w:val="none"/>
              </w:rPr>
              <w:t>5</w:t>
            </w:r>
            <w:r>
              <w:rPr>
                <w:rFonts w:hint="eastAsia" w:ascii="宋体" w:hAnsi="宋体" w:cs="宋体"/>
                <w:color w:val="auto"/>
                <w:highlight w:val="none"/>
              </w:rPr>
              <w:t>%</w:t>
            </w:r>
          </w:p>
          <w:p>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履约保证金缴纳时间：中标通知书领取之后，合同签订后10日内</w:t>
            </w:r>
          </w:p>
          <w:p>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履约保证金有效期限：履约保证金将在本项目合同到期或终止后，扣除中标人应承担的违约金、损失赔偿金等款项后经中标人申请</w:t>
            </w:r>
            <w:r>
              <w:rPr>
                <w:rFonts w:ascii="宋体" w:hAnsi="宋体" w:cs="宋体"/>
                <w:color w:val="auto"/>
                <w:highlight w:val="none"/>
              </w:rPr>
              <w:t>30</w:t>
            </w:r>
            <w:r>
              <w:rPr>
                <w:rFonts w:hint="eastAsia" w:ascii="宋体" w:hAnsi="宋体" w:cs="宋体"/>
                <w:color w:val="auto"/>
                <w:highlight w:val="none"/>
              </w:rPr>
              <w:t>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pPr>
              <w:pStyle w:val="19"/>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pPr>
              <w:pStyle w:val="19"/>
              <w:snapToGrid w:val="0"/>
              <w:spacing w:line="400" w:lineRule="exact"/>
              <w:ind w:right="42" w:rightChars="20"/>
              <w:rPr>
                <w:snapToGrid w:val="0"/>
                <w:color w:val="auto"/>
                <w:szCs w:val="21"/>
                <w:highlight w:val="none"/>
                <w:u w:val="single"/>
              </w:rPr>
            </w:pPr>
            <w:r>
              <w:rPr>
                <w:rFonts w:hint="eastAsia"/>
                <w:snapToGrid w:val="0"/>
                <w:color w:val="auto"/>
                <w:szCs w:val="21"/>
                <w:highlight w:val="none"/>
              </w:rPr>
              <w:t>□分册装订。</w:t>
            </w:r>
          </w:p>
          <w:p>
            <w:pPr>
              <w:pStyle w:val="19"/>
              <w:snapToGrid w:val="0"/>
              <w:spacing w:line="400" w:lineRule="exact"/>
              <w:ind w:right="42" w:rightChars="20"/>
              <w:rPr>
                <w:color w:val="auto"/>
                <w:highlight w:val="none"/>
                <w:lang w:val="en-US"/>
              </w:rPr>
            </w:pPr>
            <w:r>
              <w:rPr>
                <w:rFonts w:hint="eastAsia"/>
                <w:snapToGrid w:val="0"/>
                <w:color w:val="auto"/>
                <w:szCs w:val="21"/>
                <w:highlight w:val="none"/>
              </w:rPr>
              <w:t>装订要求：</w:t>
            </w:r>
            <w:r>
              <w:rPr>
                <w:rFonts w:hint="eastAsia"/>
                <w:b/>
                <w:bCs/>
                <w:snapToGrid w:val="0"/>
                <w:color w:val="auto"/>
                <w:szCs w:val="21"/>
                <w:highlight w:val="none"/>
              </w:rPr>
              <w:t>正本1份，副本</w:t>
            </w:r>
            <w:r>
              <w:rPr>
                <w:rFonts w:hint="eastAsia"/>
                <w:b/>
                <w:bCs/>
                <w:snapToGrid w:val="0"/>
                <w:color w:val="auto"/>
                <w:szCs w:val="21"/>
                <w:highlight w:val="none"/>
                <w:lang w:val="en-US"/>
              </w:rPr>
              <w:t>2</w:t>
            </w:r>
            <w:r>
              <w:rPr>
                <w:rFonts w:hint="eastAsia"/>
                <w:b/>
                <w:bCs/>
                <w:snapToGrid w:val="0"/>
                <w:color w:val="auto"/>
                <w:szCs w:val="21"/>
                <w:highlight w:val="none"/>
              </w:rPr>
              <w:t>份；</w:t>
            </w:r>
            <w:r>
              <w:rPr>
                <w:rFonts w:hint="eastAsia"/>
                <w:snapToGrid w:val="0"/>
                <w:color w:val="auto"/>
                <w:szCs w:val="21"/>
                <w:highlight w:val="none"/>
              </w:rPr>
              <w:t>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pPr>
        <w:spacing w:line="360" w:lineRule="auto"/>
        <w:jc w:val="center"/>
        <w:outlineLvl w:val="0"/>
        <w:rPr>
          <w:rFonts w:cs="仿宋" w:asciiTheme="minorEastAsia" w:hAnsiTheme="minorEastAsia"/>
          <w:b/>
          <w:color w:val="auto"/>
          <w:sz w:val="32"/>
          <w:szCs w:val="20"/>
          <w:highlight w:val="none"/>
        </w:rPr>
      </w:pPr>
    </w:p>
    <w:p>
      <w:pPr>
        <w:spacing w:line="360" w:lineRule="auto"/>
        <w:jc w:val="center"/>
        <w:outlineLvl w:val="0"/>
        <w:rPr>
          <w:rFonts w:cs="仿宋" w:asciiTheme="minorEastAsia" w:hAnsiTheme="minorEastAsia"/>
          <w:b/>
          <w:color w:val="auto"/>
          <w:sz w:val="32"/>
          <w:szCs w:val="20"/>
          <w:highlight w:val="none"/>
        </w:rPr>
      </w:pPr>
    </w:p>
    <w:p>
      <w:pPr>
        <w:spacing w:line="360" w:lineRule="auto"/>
        <w:jc w:val="center"/>
        <w:outlineLvl w:val="0"/>
        <w:rPr>
          <w:rFonts w:cs="仿宋" w:asciiTheme="minorEastAsia" w:hAnsiTheme="minorEastAsia"/>
          <w:b/>
          <w:color w:val="auto"/>
          <w:sz w:val="32"/>
          <w:szCs w:val="20"/>
          <w:highlight w:val="none"/>
        </w:rPr>
      </w:pPr>
    </w:p>
    <w:p>
      <w:pPr>
        <w:pStyle w:val="7"/>
        <w:rPr>
          <w:rFonts w:cs="仿宋" w:asciiTheme="minorEastAsia" w:hAnsiTheme="minorEastAsia"/>
          <w:b/>
          <w:color w:val="auto"/>
          <w:sz w:val="32"/>
          <w:szCs w:val="20"/>
          <w:highlight w:val="none"/>
        </w:rPr>
      </w:pPr>
    </w:p>
    <w:p>
      <w:pPr>
        <w:pStyle w:val="8"/>
        <w:rPr>
          <w:rFonts w:cs="仿宋" w:asciiTheme="minorEastAsia" w:hAnsiTheme="minorEastAsia"/>
          <w:b/>
          <w:color w:val="auto"/>
          <w:sz w:val="32"/>
          <w:szCs w:val="20"/>
          <w:highlight w:val="none"/>
        </w:rPr>
      </w:pPr>
    </w:p>
    <w:p>
      <w:pPr>
        <w:pStyle w:val="9"/>
        <w:rPr>
          <w:rFonts w:cs="仿宋" w:asciiTheme="minorEastAsia" w:hAnsiTheme="minorEastAsia"/>
          <w:b/>
          <w:color w:val="auto"/>
          <w:sz w:val="32"/>
          <w:szCs w:val="20"/>
          <w:highlight w:val="none"/>
        </w:rPr>
      </w:pPr>
    </w:p>
    <w:p>
      <w:pPr>
        <w:rPr>
          <w:rFonts w:cs="仿宋" w:asciiTheme="minorEastAsia" w:hAnsiTheme="minorEastAsia"/>
          <w:b/>
          <w:color w:val="auto"/>
          <w:sz w:val="32"/>
          <w:szCs w:val="20"/>
          <w:highlight w:val="none"/>
        </w:rPr>
      </w:pPr>
    </w:p>
    <w:p>
      <w:pPr>
        <w:pStyle w:val="2"/>
        <w:rPr>
          <w:rFonts w:cs="仿宋" w:asciiTheme="minorEastAsia" w:hAnsiTheme="minorEastAsia"/>
          <w:b/>
          <w:color w:val="auto"/>
          <w:sz w:val="32"/>
          <w:szCs w:val="20"/>
          <w:highlight w:val="none"/>
        </w:rPr>
      </w:pPr>
    </w:p>
    <w:p>
      <w:pPr>
        <w:rPr>
          <w:rFonts w:cs="仿宋" w:asciiTheme="minorEastAsia" w:hAnsiTheme="minorEastAsia"/>
          <w:b/>
          <w:color w:val="auto"/>
          <w:sz w:val="32"/>
          <w:szCs w:val="20"/>
          <w:highlight w:val="none"/>
        </w:rPr>
      </w:pPr>
    </w:p>
    <w:p>
      <w:pPr>
        <w:pStyle w:val="2"/>
        <w:rPr>
          <w:rFonts w:cs="仿宋" w:asciiTheme="minorEastAsia" w:hAnsiTheme="minorEastAsia"/>
          <w:b/>
          <w:color w:val="auto"/>
          <w:sz w:val="32"/>
          <w:szCs w:val="20"/>
          <w:highlight w:val="none"/>
        </w:rPr>
      </w:pPr>
    </w:p>
    <w:p>
      <w:pPr>
        <w:rPr>
          <w:rFonts w:cs="仿宋" w:asciiTheme="minorEastAsia" w:hAnsiTheme="minorEastAsia"/>
          <w:b/>
          <w:color w:val="auto"/>
          <w:sz w:val="32"/>
          <w:szCs w:val="20"/>
          <w:highlight w:val="none"/>
        </w:rPr>
      </w:pPr>
    </w:p>
    <w:p/>
    <w:p>
      <w:pPr>
        <w:pStyle w:val="8"/>
        <w:rPr>
          <w:rFonts w:cs="仿宋" w:asciiTheme="minorEastAsia" w:hAnsiTheme="minorEastAsia"/>
          <w:b/>
          <w:color w:val="auto"/>
          <w:sz w:val="32"/>
          <w:highlight w:val="none"/>
        </w:rPr>
      </w:pPr>
    </w:p>
    <w:p>
      <w:pPr>
        <w:pStyle w:val="8"/>
        <w:ind w:firstLine="0"/>
        <w:rPr>
          <w:color w:val="auto"/>
          <w:highlight w:val="none"/>
        </w:rPr>
      </w:pPr>
    </w:p>
    <w:p>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 “中标人”系指是指经采购人确定的本项目供应商。</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2.5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color w:val="auto"/>
          <w:sz w:val="18"/>
          <w:szCs w:val="18"/>
          <w:highlight w:val="none"/>
          <w:lang w:val="en-US"/>
        </w:rPr>
      </w:pPr>
    </w:p>
    <w:p>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pPr>
        <w:spacing w:line="360" w:lineRule="auto"/>
        <w:ind w:firstLine="480" w:firstLineChars="200"/>
        <w:rPr>
          <w:rFonts w:cs="仿宋" w:asciiTheme="minorEastAsia" w:hAnsiTheme="minorEastAsia"/>
          <w:snapToGrid w:val="0"/>
          <w:color w:val="auto"/>
          <w:kern w:val="28"/>
          <w:sz w:val="24"/>
          <w:highlight w:val="none"/>
        </w:rPr>
      </w:pPr>
      <w:r>
        <w:rPr>
          <w:rFonts w:hint="eastAsia" w:cs="仿宋" w:asciiTheme="minorEastAsia" w:hAnsiTheme="minorEastAsia"/>
          <w:snapToGrid w:val="0"/>
          <w:color w:val="auto"/>
          <w:kern w:val="28"/>
          <w:sz w:val="24"/>
          <w:highlight w:val="none"/>
        </w:rPr>
        <w:t>详见采购公告中获取询价采购文件的时间期限、地点、方式。</w:t>
      </w:r>
    </w:p>
    <w:p>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6.响应截至前答疑会或现场考察</w:t>
      </w:r>
    </w:p>
    <w:p>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pPr>
        <w:pStyle w:val="11"/>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9.1.1符合参加采购活动应当具备的一般条件的承诺函；</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9.1.2年审有效期内的营业执照</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9.1.3本项目的特定资格要求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9.2.4符合性审查资料；</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9.2.5响应产品规格配置清单（若有）；</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9.2.6商务技术偏离表；</w:t>
      </w:r>
    </w:p>
    <w:p>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pPr>
        <w:pStyle w:val="22"/>
        <w:snapToGrid w:val="0"/>
        <w:spacing w:before="0"/>
        <w:ind w:firstLine="482"/>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pPr>
        <w:pStyle w:val="22"/>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pPr>
        <w:pStyle w:val="22"/>
        <w:spacing w:before="0"/>
        <w:ind w:firstLine="482"/>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pPr>
        <w:pStyle w:val="22"/>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pPr>
        <w:pStyle w:val="22"/>
        <w:spacing w:before="0"/>
        <w:ind w:firstLine="482"/>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pPr>
        <w:pStyle w:val="10"/>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pPr>
        <w:pStyle w:val="22"/>
        <w:spacing w:before="0"/>
        <w:ind w:firstLine="482"/>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color w:val="auto"/>
          <w:sz w:val="32"/>
          <w:highlight w:val="none"/>
        </w:rPr>
      </w:pPr>
    </w:p>
    <w:p>
      <w:pPr>
        <w:pStyle w:val="22"/>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pPr>
        <w:pStyle w:val="23"/>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15.1采购人按照询价采购文件规定的时间组织响应文件的开启，邀请所有供应商参加开标。供应商不足3家或者缴纳询价保证金少于3家（若有要求）的，不得拆封开启响应文件。</w:t>
      </w:r>
    </w:p>
    <w:p>
      <w:pPr>
        <w:pStyle w:val="23"/>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法律法规和询价采购文件的规定，对供应商的基本资格条件、特定资格条件进行审查。</w:t>
      </w:r>
    </w:p>
    <w:p>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pPr>
        <w:pStyle w:val="22"/>
        <w:spacing w:before="0"/>
        <w:ind w:firstLine="482"/>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17.3信用信息的使用规则：经查询列入失信被执行人名单、重大税收违法案件当事人名单、政府采购严重违法失信行为记录名单的供应商将被拒绝参与杭州临江环境能源有限公司采购活动。</w:t>
      </w:r>
    </w:p>
    <w:p>
      <w:pPr>
        <w:pStyle w:val="22"/>
        <w:spacing w:before="0"/>
        <w:ind w:firstLine="480"/>
        <w:rPr>
          <w:rFonts w:cs="仿宋" w:asciiTheme="minorEastAsia" w:hAnsiTheme="minorEastAsia"/>
          <w:color w:val="auto"/>
          <w:kern w:val="0"/>
          <w:szCs w:val="24"/>
          <w:highlight w:val="none"/>
        </w:rPr>
      </w:pPr>
    </w:p>
    <w:p>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pPr>
        <w:spacing w:line="360" w:lineRule="auto"/>
        <w:rPr>
          <w:rFonts w:cs="仿宋" w:asciiTheme="minorEastAsia" w:hAnsiTheme="minorEastAsia"/>
          <w:b/>
          <w:color w:val="auto"/>
          <w:sz w:val="24"/>
          <w:highlight w:val="none"/>
        </w:rPr>
      </w:pPr>
    </w:p>
    <w:p>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pPr>
        <w:pStyle w:val="22"/>
        <w:snapToGrid w:val="0"/>
        <w:spacing w:before="0"/>
        <w:ind w:firstLine="482"/>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pPr>
        <w:pStyle w:val="22"/>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pPr>
        <w:pStyle w:val="22"/>
        <w:snapToGrid w:val="0"/>
        <w:spacing w:before="0"/>
        <w:ind w:firstLine="482"/>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highlight w:val="none"/>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除不可抗力等特殊情况外，原则上采购人应当在成交通知书发出之日起10个工作日内，与成交供应商按照询价采购文件确定的事项签订采购合同。</w:t>
      </w:r>
    </w:p>
    <w:p>
      <w:pPr>
        <w:pStyle w:val="22"/>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22.4成交供应商拒绝与采购人签订合同的，采购人重新开展采购活动。</w:t>
      </w:r>
    </w:p>
    <w:p>
      <w:pPr>
        <w:pStyle w:val="10"/>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pPr>
        <w:pStyle w:val="7"/>
        <w:ind w:firstLine="480" w:firstLineChars="200"/>
        <w:rPr>
          <w:color w:val="auto"/>
          <w:highlight w:val="none"/>
        </w:rPr>
      </w:pPr>
      <w:r>
        <w:rPr>
          <w:rFonts w:hint="eastAsia"/>
          <w:color w:val="auto"/>
          <w:highlight w:val="none"/>
        </w:rPr>
        <w:t>本项目无预付款。</w:t>
      </w:r>
    </w:p>
    <w:p>
      <w:pPr>
        <w:tabs>
          <w:tab w:val="left" w:pos="0"/>
        </w:tabs>
        <w:spacing w:line="360" w:lineRule="auto"/>
        <w:ind w:firstLine="480"/>
        <w:rPr>
          <w:rFonts w:cs="仿宋" w:asciiTheme="minorEastAsia" w:hAnsiTheme="minorEastAsia"/>
          <w:color w:val="auto"/>
          <w:sz w:val="24"/>
          <w:highlight w:val="none"/>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供应商的询价保证金将在采购人与中标人签订合同后全额退还。退保证金前，供应商必须提供加盖公章或财务专用章的收款收据</w:t>
      </w:r>
      <w:r>
        <w:rPr>
          <w:rFonts w:hint="eastAsia" w:cs="仿宋" w:asciiTheme="minorEastAsia" w:hAnsiTheme="minorEastAsia"/>
          <w:b/>
          <w:bCs/>
          <w:color w:val="auto"/>
          <w:sz w:val="24"/>
          <w:szCs w:val="20"/>
          <w:highlight w:val="none"/>
        </w:rPr>
        <w:t>（格式自理）</w:t>
      </w:r>
      <w:r>
        <w:rPr>
          <w:rFonts w:hint="eastAsia" w:cs="仿宋" w:asciiTheme="minorEastAsia" w:hAnsiTheme="minorEastAsia"/>
          <w:color w:val="auto"/>
          <w:sz w:val="24"/>
          <w:szCs w:val="20"/>
          <w:highlight w:val="none"/>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26.4法律、法规规定的其他情形。</w:t>
      </w:r>
    </w:p>
    <w:p>
      <w:pPr>
        <w:snapToGrid w:val="0"/>
        <w:spacing w:line="360" w:lineRule="auto"/>
        <w:ind w:left="120" w:leftChars="57" w:firstLine="482" w:firstLineChars="150"/>
        <w:jc w:val="center"/>
        <w:rPr>
          <w:rFonts w:cs="仿宋" w:asciiTheme="minorEastAsia" w:hAnsiTheme="minorEastAsia"/>
          <w:b/>
          <w:color w:val="auto"/>
          <w:sz w:val="32"/>
          <w:highlight w:val="none"/>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pPr>
        <w:pStyle w:val="10"/>
        <w:spacing w:line="360" w:lineRule="auto"/>
        <w:ind w:firstLine="482"/>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color w:val="auto"/>
          <w:kern w:val="0"/>
          <w:sz w:val="24"/>
          <w:highlight w:val="none"/>
        </w:rPr>
      </w:pPr>
    </w:p>
    <w:p>
      <w:pPr>
        <w:pStyle w:val="7"/>
        <w:rPr>
          <w:color w:val="auto"/>
          <w:highlight w:val="none"/>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pPr>
        <w:pStyle w:val="7"/>
        <w:ind w:firstLine="480" w:firstLineChars="200"/>
        <w:rPr>
          <w:color w:val="auto"/>
          <w:highlight w:val="none"/>
          <w:lang w:val="en-US"/>
        </w:rPr>
      </w:pPr>
      <w:r>
        <w:rPr>
          <w:rFonts w:hint="eastAsia"/>
          <w:color w:val="auto"/>
          <w:highlight w:val="none"/>
          <w:lang w:val="en-US"/>
        </w:rPr>
        <w:t>对杭州临江环境能源有限公司110kV升压站通信线路及设备进行运维，具体内容如下：。</w:t>
      </w:r>
    </w:p>
    <w:p>
      <w:pPr>
        <w:pStyle w:val="8"/>
        <w:rPr>
          <w:color w:val="auto"/>
          <w:highlight w:val="none"/>
          <w:lang w:val="en-US"/>
        </w:rPr>
      </w:pPr>
      <w:r>
        <w:rPr>
          <w:rFonts w:hint="eastAsia"/>
          <w:color w:val="auto"/>
          <w:highlight w:val="none"/>
          <w:lang w:val="en-US"/>
        </w:rPr>
        <w:t>1.临能电厂110kV升压站通信设备SDH 1套、接入设备PCM 2套、综合配线架1台、录音电话2台、电力调制解调器2台及相配套电缆；</w:t>
      </w:r>
    </w:p>
    <w:p>
      <w:pPr>
        <w:pStyle w:val="8"/>
        <w:rPr>
          <w:color w:val="auto"/>
          <w:highlight w:val="none"/>
          <w:lang w:val="en-US"/>
        </w:rPr>
      </w:pPr>
      <w:r>
        <w:rPr>
          <w:rFonts w:hint="eastAsia"/>
          <w:color w:val="auto"/>
          <w:highlight w:val="none"/>
          <w:lang w:val="en-US"/>
        </w:rPr>
        <w:t>2.临能电厂110kV升压站调度数据网二套，含路由器 2台、交换机4台、纵向加密装置4台；</w:t>
      </w:r>
    </w:p>
    <w:p>
      <w:pPr>
        <w:pStyle w:val="8"/>
        <w:rPr>
          <w:color w:val="auto"/>
          <w:highlight w:val="none"/>
          <w:lang w:val="en-US"/>
        </w:rPr>
      </w:pPr>
      <w:r>
        <w:rPr>
          <w:rFonts w:hint="eastAsia"/>
          <w:color w:val="auto"/>
          <w:highlight w:val="none"/>
          <w:lang w:val="en-US"/>
        </w:rPr>
        <w:t>3.临能电厂110kV升压站三区数据网一套，含路由器 1台、交换机1台、防火墙 1台；</w:t>
      </w:r>
    </w:p>
    <w:p>
      <w:pPr>
        <w:pStyle w:val="8"/>
        <w:rPr>
          <w:color w:val="auto"/>
          <w:highlight w:val="none"/>
          <w:lang w:val="en-US"/>
        </w:rPr>
      </w:pPr>
      <w:r>
        <w:rPr>
          <w:rFonts w:hint="eastAsia"/>
          <w:color w:val="auto"/>
          <w:highlight w:val="none"/>
          <w:lang w:val="en-US"/>
        </w:rPr>
        <w:t>4.临能电厂110kV升压站安防设备一套，含入侵检测装置1台、防病毒服务器2台、防火墙 2台；</w:t>
      </w:r>
    </w:p>
    <w:p>
      <w:pPr>
        <w:pStyle w:val="8"/>
        <w:rPr>
          <w:color w:val="auto"/>
          <w:highlight w:val="none"/>
          <w:lang w:val="en-US"/>
        </w:rPr>
      </w:pPr>
      <w:r>
        <w:rPr>
          <w:rFonts w:hint="eastAsia"/>
          <w:color w:val="auto"/>
          <w:highlight w:val="none"/>
          <w:lang w:val="en-US"/>
        </w:rPr>
        <w:t>5.临能电厂110kV升压站红线内的引入光缆2条(从红线至光纤配线架)；</w:t>
      </w:r>
    </w:p>
    <w:p>
      <w:pPr>
        <w:pStyle w:val="8"/>
        <w:rPr>
          <w:color w:val="auto"/>
          <w:highlight w:val="none"/>
          <w:lang w:val="en-US"/>
        </w:rPr>
      </w:pPr>
      <w:r>
        <w:rPr>
          <w:rFonts w:hint="eastAsia"/>
          <w:color w:val="auto"/>
          <w:highlight w:val="none"/>
          <w:lang w:val="en-US"/>
        </w:rPr>
        <w:t>6.对以上五类设备、线路及所有与电力数据网络相关设备的日常维护、故障抢修及设备故障件的免费维修、免费提供应急备件</w:t>
      </w:r>
      <w:r>
        <w:rPr>
          <w:rFonts w:hint="eastAsia"/>
          <w:color w:val="auto"/>
          <w:highlight w:val="none"/>
          <w:lang w:val="en-US" w:eastAsia="zh-CN"/>
        </w:rPr>
        <w:t>（采购人完成备件采购后由中标人免费替换）</w:t>
      </w:r>
      <w:r>
        <w:rPr>
          <w:rFonts w:hint="eastAsia"/>
          <w:color w:val="auto"/>
          <w:highlight w:val="none"/>
          <w:lang w:val="en-US"/>
        </w:rPr>
        <w:t>,</w:t>
      </w:r>
      <w:r>
        <w:rPr>
          <w:rFonts w:hint="eastAsia"/>
          <w:color w:val="auto"/>
          <w:highlight w:val="none"/>
        </w:rPr>
        <w:t xml:space="preserve"> </w:t>
      </w:r>
      <w:bookmarkStart w:id="19" w:name="_Hlk152663977"/>
      <w:r>
        <w:rPr>
          <w:rFonts w:hint="eastAsia"/>
          <w:color w:val="auto"/>
          <w:highlight w:val="none"/>
          <w:lang w:val="en-US"/>
        </w:rPr>
        <w:t>对接、协调电力相关部门</w:t>
      </w:r>
      <w:bookmarkEnd w:id="19"/>
      <w:r>
        <w:rPr>
          <w:rFonts w:hint="eastAsia"/>
          <w:color w:val="auto"/>
          <w:highlight w:val="none"/>
          <w:lang w:val="en-US"/>
        </w:rPr>
        <w:t>等服务。</w:t>
      </w:r>
    </w:p>
    <w:p>
      <w:pPr>
        <w:pStyle w:val="7"/>
        <w:ind w:firstLine="480" w:firstLineChars="200"/>
        <w:rPr>
          <w:b/>
          <w:bCs/>
          <w:color w:val="auto"/>
          <w:highlight w:val="none"/>
          <w:lang w:val="en-US"/>
        </w:rPr>
      </w:pPr>
      <w:r>
        <w:rPr>
          <w:rFonts w:hint="eastAsia" w:cs="仿宋" w:asciiTheme="minorEastAsia" w:hAnsiTheme="minorEastAsia"/>
          <w:color w:val="auto"/>
          <w:sz w:val="24"/>
          <w:szCs w:val="20"/>
          <w:highlight w:val="none"/>
        </w:rPr>
        <w:t>▲</w:t>
      </w:r>
      <w:r>
        <w:rPr>
          <w:rFonts w:hint="eastAsia"/>
          <w:b/>
          <w:bCs/>
          <w:color w:val="auto"/>
          <w:highlight w:val="none"/>
          <w:lang w:val="en-US"/>
        </w:rPr>
        <w:t>二、合同期限及履约方式</w:t>
      </w:r>
    </w:p>
    <w:p>
      <w:pPr>
        <w:pStyle w:val="7"/>
        <w:ind w:firstLine="480" w:firstLineChars="200"/>
        <w:rPr>
          <w:color w:val="auto"/>
          <w:highlight w:val="none"/>
          <w:lang w:val="en-US"/>
        </w:rPr>
      </w:pPr>
      <w:r>
        <w:rPr>
          <w:rFonts w:hint="eastAsia"/>
          <w:color w:val="auto"/>
          <w:highlight w:val="none"/>
          <w:lang w:val="en-US"/>
        </w:rPr>
        <w:t>1.合同期限：自合同签订后12个月；</w:t>
      </w:r>
    </w:p>
    <w:p>
      <w:pPr>
        <w:pStyle w:val="7"/>
        <w:ind w:firstLine="480" w:firstLineChars="200"/>
        <w:rPr>
          <w:color w:val="auto"/>
          <w:highlight w:val="none"/>
          <w:lang w:val="en-US"/>
        </w:rPr>
      </w:pPr>
      <w:r>
        <w:rPr>
          <w:rFonts w:hint="eastAsia"/>
          <w:color w:val="auto"/>
          <w:highlight w:val="none"/>
          <w:lang w:val="en-US"/>
        </w:rPr>
        <w:t xml:space="preserve">2.履约方式： </w:t>
      </w:r>
    </w:p>
    <w:p>
      <w:pPr>
        <w:pStyle w:val="7"/>
        <w:ind w:firstLine="480" w:firstLineChars="200"/>
        <w:rPr>
          <w:color w:val="auto"/>
          <w:highlight w:val="none"/>
          <w:lang w:val="en-US"/>
        </w:rPr>
      </w:pPr>
      <w:r>
        <w:rPr>
          <w:rFonts w:hint="eastAsia"/>
          <w:color w:val="auto"/>
          <w:highlight w:val="none"/>
          <w:lang w:val="en-US"/>
        </w:rPr>
        <w:t>2.1每季度巡视一次，全年共四次，并及时出具巡视、维护及检修书面报告；</w:t>
      </w:r>
    </w:p>
    <w:p>
      <w:pPr>
        <w:pStyle w:val="8"/>
        <w:ind w:firstLine="480" w:firstLineChars="200"/>
        <w:rPr>
          <w:color w:val="auto"/>
          <w:highlight w:val="none"/>
          <w:lang w:val="en-US"/>
        </w:rPr>
      </w:pPr>
      <w:r>
        <w:rPr>
          <w:rFonts w:hint="eastAsia"/>
          <w:color w:val="auto"/>
          <w:highlight w:val="none"/>
          <w:lang w:val="en-US"/>
        </w:rPr>
        <w:t>2.2应急情况下故障处理、恢复。</w:t>
      </w:r>
    </w:p>
    <w:p>
      <w:pPr>
        <w:pStyle w:val="7"/>
        <w:ind w:firstLine="480" w:firstLineChars="200"/>
        <w:rPr>
          <w:b/>
          <w:bCs/>
          <w:color w:val="auto"/>
          <w:highlight w:val="none"/>
          <w:lang w:val="en-US"/>
        </w:rPr>
      </w:pPr>
      <w:r>
        <w:rPr>
          <w:rFonts w:hint="eastAsia" w:cs="仿宋" w:asciiTheme="minorEastAsia" w:hAnsiTheme="minorEastAsia"/>
          <w:color w:val="auto"/>
          <w:sz w:val="24"/>
          <w:szCs w:val="20"/>
          <w:highlight w:val="none"/>
        </w:rPr>
        <w:t>▲</w:t>
      </w:r>
      <w:r>
        <w:rPr>
          <w:rFonts w:hint="eastAsia"/>
          <w:b/>
          <w:bCs/>
          <w:color w:val="auto"/>
          <w:highlight w:val="none"/>
          <w:lang w:val="en-US"/>
        </w:rPr>
        <w:t>三、技术要求</w:t>
      </w:r>
    </w:p>
    <w:p>
      <w:pPr>
        <w:pStyle w:val="7"/>
        <w:ind w:firstLine="480" w:firstLineChars="200"/>
        <w:rPr>
          <w:color w:val="auto"/>
          <w:highlight w:val="none"/>
          <w:lang w:val="en-US"/>
        </w:rPr>
      </w:pPr>
      <w:r>
        <w:rPr>
          <w:rFonts w:hint="eastAsia"/>
          <w:color w:val="auto"/>
          <w:highlight w:val="none"/>
          <w:lang w:val="en-US"/>
        </w:rPr>
        <w:t>依据相关标准规范及杭州地区电力行业文件，保质保量完成本项目的维护工作，保障至省调、地调的通信、调度数据网通道的畅通，对接、协调电力相关部门的工作。</w:t>
      </w:r>
    </w:p>
    <w:p>
      <w:pPr>
        <w:pStyle w:val="7"/>
        <w:numPr>
          <w:ilvl w:val="0"/>
          <w:numId w:val="0"/>
        </w:numPr>
        <w:ind w:firstLine="480" w:firstLineChars="200"/>
        <w:rPr>
          <w:b/>
          <w:bCs/>
          <w:color w:val="auto"/>
          <w:highlight w:val="none"/>
          <w:lang w:val="en-US"/>
        </w:rPr>
      </w:pPr>
      <w:r>
        <w:rPr>
          <w:rFonts w:hint="eastAsia" w:cs="仿宋" w:asciiTheme="minorEastAsia" w:hAnsiTheme="minorEastAsia"/>
          <w:color w:val="auto"/>
          <w:sz w:val="24"/>
          <w:szCs w:val="20"/>
          <w:highlight w:val="none"/>
        </w:rPr>
        <w:t>▲</w:t>
      </w: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highlight w:val="none"/>
          <w:lang w:val="en-US"/>
        </w:rPr>
        <w:t>验收方式</w:t>
      </w:r>
    </w:p>
    <w:p>
      <w:pPr>
        <w:pStyle w:val="8"/>
        <w:ind w:firstLine="480" w:firstLineChars="200"/>
        <w:rPr>
          <w:rFonts w:hAnsi="Arial" w:cs="Arial"/>
          <w:snapToGrid w:val="0"/>
          <w:color w:val="auto"/>
          <w:szCs w:val="21"/>
          <w:highlight w:val="none"/>
          <w:lang w:val="en-US"/>
        </w:rPr>
      </w:pPr>
      <w:r>
        <w:rPr>
          <w:rFonts w:hint="eastAsia" w:hAnsi="Arial" w:cs="Arial"/>
          <w:snapToGrid w:val="0"/>
          <w:color w:val="auto"/>
          <w:szCs w:val="21"/>
          <w:highlight w:val="none"/>
          <w:lang w:val="en-US"/>
        </w:rPr>
        <w:t>1.每季度的巡视、维护及检修书面报告；</w:t>
      </w:r>
    </w:p>
    <w:p>
      <w:pPr>
        <w:ind w:firstLine="480" w:firstLineChars="200"/>
        <w:rPr>
          <w:rFonts w:ascii="宋体" w:hAnsi="Arial" w:cs="Arial"/>
          <w:snapToGrid w:val="0"/>
          <w:color w:val="auto"/>
          <w:sz w:val="24"/>
          <w:szCs w:val="21"/>
          <w:highlight w:val="none"/>
        </w:rPr>
      </w:pPr>
      <w:r>
        <w:rPr>
          <w:rFonts w:hint="eastAsia" w:ascii="宋体" w:hAnsi="Arial" w:cs="Arial"/>
          <w:snapToGrid w:val="0"/>
          <w:color w:val="auto"/>
          <w:sz w:val="24"/>
          <w:szCs w:val="21"/>
          <w:highlight w:val="none"/>
        </w:rPr>
        <w:t>2.紧急情况的处理，现场设备完成恢复。</w:t>
      </w:r>
    </w:p>
    <w:p>
      <w:pPr>
        <w:pStyle w:val="7"/>
        <w:numPr>
          <w:ilvl w:val="0"/>
          <w:numId w:val="0"/>
        </w:numPr>
        <w:ind w:firstLine="480" w:firstLineChars="200"/>
        <w:rPr>
          <w:b/>
          <w:bCs/>
          <w:color w:val="auto"/>
          <w:highlight w:val="none"/>
          <w:lang w:val="en-US"/>
        </w:rPr>
      </w:pPr>
      <w:r>
        <w:rPr>
          <w:rFonts w:hint="eastAsia" w:cs="仿宋" w:asciiTheme="minorEastAsia" w:hAnsiTheme="minorEastAsia"/>
          <w:color w:val="auto"/>
          <w:sz w:val="24"/>
          <w:szCs w:val="20"/>
          <w:highlight w:val="none"/>
        </w:rPr>
        <w:t>▲</w:t>
      </w:r>
      <w:r>
        <w:rPr>
          <w:rFonts w:hint="eastAsia" w:ascii="宋体" w:hAnsi="Arial" w:cs="Arial" w:eastAsiaTheme="minorEastAsia"/>
          <w:b/>
          <w:bCs/>
          <w:snapToGrid w:val="0"/>
          <w:color w:val="auto"/>
          <w:kern w:val="2"/>
          <w:sz w:val="24"/>
          <w:szCs w:val="21"/>
          <w:lang w:val="en-US" w:eastAsia="zh-CN" w:bidi="ar-SA"/>
        </w:rPr>
        <w:t>五、</w:t>
      </w:r>
      <w:r>
        <w:rPr>
          <w:rFonts w:hint="eastAsia"/>
          <w:b/>
          <w:bCs/>
          <w:color w:val="auto"/>
          <w:highlight w:val="none"/>
          <w:lang w:val="en-US"/>
        </w:rPr>
        <w:t>服务要求</w:t>
      </w:r>
    </w:p>
    <w:p>
      <w:pPr>
        <w:pStyle w:val="7"/>
        <w:ind w:firstLine="480" w:firstLineChars="200"/>
        <w:rPr>
          <w:color w:val="auto"/>
          <w:highlight w:val="none"/>
          <w:lang w:val="en-US"/>
        </w:rPr>
      </w:pPr>
      <w:r>
        <w:rPr>
          <w:rFonts w:hint="eastAsia"/>
          <w:color w:val="auto"/>
          <w:highlight w:val="none"/>
          <w:lang w:val="en-US"/>
        </w:rPr>
        <w:t>1.中标人每季度巡视一次，全年共四次，并出具巡视、维护及检修书面报告。</w:t>
      </w:r>
    </w:p>
    <w:p>
      <w:pPr>
        <w:pStyle w:val="7"/>
        <w:ind w:firstLine="480" w:firstLineChars="200"/>
        <w:rPr>
          <w:color w:val="auto"/>
          <w:highlight w:val="none"/>
          <w:lang w:val="en-US"/>
        </w:rPr>
      </w:pPr>
      <w:r>
        <w:rPr>
          <w:rFonts w:hint="eastAsia"/>
          <w:color w:val="auto"/>
          <w:highlight w:val="none"/>
          <w:lang w:val="en-US"/>
        </w:rPr>
        <w:t>2.中标人专业巡视结束后，巡视记录应巡视后交付给采购人。中标人对巡视中发现的设备和光缆线路上可能危及通信网络安全运行等危险点提出具体预防措施。</w:t>
      </w:r>
    </w:p>
    <w:p>
      <w:pPr>
        <w:pStyle w:val="7"/>
        <w:ind w:firstLine="480" w:firstLineChars="200"/>
        <w:rPr>
          <w:color w:val="auto"/>
          <w:highlight w:val="none"/>
          <w:lang w:val="en-US"/>
        </w:rPr>
      </w:pPr>
      <w:r>
        <w:rPr>
          <w:rFonts w:hint="eastAsia"/>
          <w:color w:val="auto"/>
          <w:highlight w:val="none"/>
          <w:lang w:val="en-US"/>
        </w:rPr>
        <w:t>3.负责采购人相关设备和线路发生故障后的事故抢修，并确保在接到采购人的故障保修电话及时响应。对于网络双通道中断故障，应立即赶赴现场；网络单通道中断故障，应在12小时内到达现场进行抢修并向采购人提供具体抢修方案。</w:t>
      </w:r>
    </w:p>
    <w:p>
      <w:pPr>
        <w:pStyle w:val="7"/>
        <w:ind w:firstLine="480" w:firstLineChars="200"/>
        <w:rPr>
          <w:color w:val="auto"/>
          <w:highlight w:val="none"/>
          <w:lang w:val="en-US"/>
        </w:rPr>
      </w:pPr>
      <w:r>
        <w:rPr>
          <w:rFonts w:hint="eastAsia"/>
          <w:color w:val="auto"/>
          <w:highlight w:val="none"/>
          <w:lang w:val="en-US"/>
        </w:rPr>
        <w:t>4. 根据设备和线路实际运行状况，及时向采购人提交大修计划。</w:t>
      </w:r>
    </w:p>
    <w:p>
      <w:pPr>
        <w:pStyle w:val="8"/>
        <w:ind w:firstLine="480" w:firstLineChars="200"/>
        <w:rPr>
          <w:color w:val="auto"/>
          <w:highlight w:val="none"/>
          <w:lang w:val="en-US"/>
        </w:rPr>
      </w:pPr>
      <w:r>
        <w:rPr>
          <w:rFonts w:hint="eastAsia" w:hAnsi="Arial" w:cs="Arial"/>
          <w:snapToGrid w:val="0"/>
          <w:color w:val="auto"/>
          <w:szCs w:val="21"/>
          <w:highlight w:val="none"/>
          <w:lang w:val="en-US"/>
        </w:rPr>
        <w:t>5.中标人负责技术服务过程中的机械及人员的安全，加强对技术服务人员的安全教育及防范措施，中标人技术服务过程中发生的任何质量、安全责任事故及工伤事故等，责任均由中标人承担。</w:t>
      </w:r>
    </w:p>
    <w:p>
      <w:pPr>
        <w:pStyle w:val="7"/>
        <w:ind w:firstLine="480" w:firstLineChars="200"/>
        <w:rPr>
          <w:b/>
          <w:bCs/>
          <w:color w:val="auto"/>
          <w:highlight w:val="none"/>
          <w:lang w:val="en-US"/>
        </w:rPr>
      </w:pPr>
      <w:r>
        <w:rPr>
          <w:rFonts w:hint="eastAsia" w:cs="仿宋" w:asciiTheme="minorEastAsia" w:hAnsiTheme="minorEastAsia"/>
          <w:color w:val="auto"/>
          <w:sz w:val="24"/>
          <w:szCs w:val="20"/>
          <w:highlight w:val="none"/>
        </w:rPr>
        <w:t>▲</w:t>
      </w:r>
      <w:r>
        <w:rPr>
          <w:rFonts w:hint="eastAsia"/>
          <w:b/>
          <w:bCs/>
          <w:color w:val="auto"/>
          <w:highlight w:val="none"/>
          <w:lang w:val="en-US"/>
        </w:rPr>
        <w:t>六、结算方式</w:t>
      </w:r>
    </w:p>
    <w:p>
      <w:pPr>
        <w:pStyle w:val="8"/>
        <w:ind w:firstLine="480" w:firstLineChars="200"/>
        <w:rPr>
          <w:color w:val="auto"/>
          <w:highlight w:val="none"/>
          <w:lang w:val="en-US"/>
        </w:rPr>
      </w:pPr>
      <w:r>
        <w:rPr>
          <w:rFonts w:hint="eastAsia"/>
          <w:color w:val="auto"/>
          <w:highlight w:val="none"/>
          <w:lang w:val="en-US"/>
        </w:rPr>
        <w:t>以本询价采购文件中的合同条款为准。</w:t>
      </w:r>
    </w:p>
    <w:p>
      <w:pPr>
        <w:pStyle w:val="7"/>
        <w:ind w:firstLine="482" w:firstLineChars="200"/>
        <w:rPr>
          <w:b/>
          <w:bCs/>
          <w:color w:val="auto"/>
          <w:highlight w:val="none"/>
          <w:lang w:val="en-US"/>
        </w:rPr>
      </w:pPr>
      <w:r>
        <w:rPr>
          <w:rFonts w:hint="eastAsia"/>
          <w:b/>
          <w:bCs/>
          <w:color w:val="auto"/>
          <w:highlight w:val="none"/>
          <w:lang w:val="en-US"/>
        </w:rPr>
        <w:t>七、售后要求</w:t>
      </w:r>
    </w:p>
    <w:p>
      <w:pPr>
        <w:pStyle w:val="7"/>
        <w:ind w:firstLine="480" w:firstLineChars="200"/>
        <w:rPr>
          <w:color w:val="auto"/>
          <w:highlight w:val="none"/>
          <w:lang w:val="en-US"/>
        </w:rPr>
      </w:pPr>
      <w:r>
        <w:rPr>
          <w:rFonts w:hint="eastAsia"/>
          <w:color w:val="auto"/>
          <w:highlight w:val="none"/>
          <w:lang w:val="en-US"/>
        </w:rPr>
        <w:t>1.供应商必须满足采购人售后服务要求。如使用过程发生问题，供应商须在接到采购人通知后12小时内做出书面答复并提供解决方案。若需要派遣技术人员，则应在接到采购人通知后24小时内派人员到达现场进行免费指导解决问题。</w:t>
      </w:r>
    </w:p>
    <w:p>
      <w:pPr>
        <w:pStyle w:val="7"/>
        <w:ind w:firstLine="480" w:firstLineChars="200"/>
        <w:rPr>
          <w:color w:val="auto"/>
          <w:highlight w:val="none"/>
          <w:lang w:val="en-US"/>
        </w:rPr>
      </w:pPr>
      <w:r>
        <w:rPr>
          <w:rFonts w:hint="eastAsia"/>
          <w:color w:val="auto"/>
          <w:highlight w:val="none"/>
          <w:lang w:val="en-US"/>
        </w:rPr>
        <w:t>2.采购人不再对任何售后服务进行付费。供应商的派遣人员产生的一切费用由供应商承担。</w:t>
      </w: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20" w:name="_Toc184308086"/>
      <w:bookmarkEnd w:id="20"/>
      <w:bookmarkStart w:id="21" w:name="_Toc184312111"/>
      <w:bookmarkEnd w:id="21"/>
      <w:bookmarkStart w:id="22" w:name="_Toc184314428"/>
      <w:bookmarkEnd w:id="22"/>
      <w:bookmarkStart w:id="23" w:name="_Toc184310338"/>
      <w:bookmarkEnd w:id="23"/>
      <w:bookmarkStart w:id="24" w:name="_Toc184314430"/>
      <w:bookmarkEnd w:id="24"/>
      <w:bookmarkStart w:id="25" w:name="_Toc184312136"/>
      <w:bookmarkEnd w:id="25"/>
      <w:bookmarkStart w:id="26" w:name="_Toc184312127"/>
      <w:bookmarkEnd w:id="26"/>
      <w:bookmarkStart w:id="27" w:name="_Toc184312084"/>
      <w:bookmarkEnd w:id="27"/>
      <w:bookmarkStart w:id="28" w:name="_Toc184310326"/>
      <w:bookmarkEnd w:id="28"/>
      <w:bookmarkStart w:id="29" w:name="_Toc184312094"/>
      <w:bookmarkEnd w:id="29"/>
      <w:bookmarkStart w:id="30" w:name="_Toc184314431"/>
      <w:bookmarkEnd w:id="30"/>
      <w:bookmarkStart w:id="31" w:name="_Toc184314457"/>
      <w:bookmarkEnd w:id="31"/>
      <w:bookmarkStart w:id="32" w:name="_Toc184314444"/>
      <w:bookmarkEnd w:id="32"/>
      <w:bookmarkStart w:id="33" w:name="_Toc184314419"/>
      <w:bookmarkEnd w:id="33"/>
      <w:bookmarkStart w:id="34" w:name="_Toc184313286"/>
      <w:bookmarkEnd w:id="34"/>
      <w:bookmarkStart w:id="35" w:name="_Toc184312086"/>
      <w:bookmarkEnd w:id="35"/>
      <w:bookmarkStart w:id="36" w:name="_Toc184312116"/>
      <w:bookmarkEnd w:id="36"/>
      <w:bookmarkStart w:id="37" w:name="_Toc184312070"/>
      <w:bookmarkEnd w:id="37"/>
      <w:bookmarkStart w:id="38" w:name="_Toc184314448"/>
      <w:bookmarkEnd w:id="38"/>
      <w:bookmarkStart w:id="39" w:name="_Toc184312102"/>
      <w:bookmarkEnd w:id="39"/>
      <w:bookmarkStart w:id="40" w:name="_Toc184308108"/>
      <w:bookmarkEnd w:id="40"/>
      <w:bookmarkStart w:id="41" w:name="_Toc184313306"/>
      <w:bookmarkEnd w:id="41"/>
      <w:bookmarkStart w:id="42" w:name="_Toc184310325"/>
      <w:bookmarkEnd w:id="42"/>
      <w:bookmarkStart w:id="43" w:name="_Toc184308089"/>
      <w:bookmarkEnd w:id="43"/>
      <w:bookmarkStart w:id="44" w:name="_Toc184314455"/>
      <w:bookmarkEnd w:id="44"/>
      <w:bookmarkStart w:id="45" w:name="_Toc184312132"/>
      <w:bookmarkEnd w:id="45"/>
      <w:bookmarkStart w:id="46" w:name="_Toc184314438"/>
      <w:bookmarkEnd w:id="46"/>
      <w:bookmarkStart w:id="47" w:name="_Toc184314413"/>
      <w:bookmarkEnd w:id="47"/>
      <w:bookmarkStart w:id="48" w:name="_Toc184313284"/>
      <w:bookmarkEnd w:id="48"/>
      <w:bookmarkStart w:id="49" w:name="_Toc184308103"/>
      <w:bookmarkEnd w:id="49"/>
      <w:bookmarkStart w:id="50" w:name="_Toc184314456"/>
      <w:bookmarkEnd w:id="50"/>
      <w:bookmarkStart w:id="51" w:name="_Toc184314421"/>
      <w:bookmarkEnd w:id="51"/>
      <w:bookmarkStart w:id="52" w:name="_Toc184308063"/>
      <w:bookmarkEnd w:id="52"/>
      <w:bookmarkStart w:id="53" w:name="_Toc184308058"/>
      <w:bookmarkEnd w:id="53"/>
      <w:bookmarkStart w:id="54" w:name="_Toc184310320"/>
      <w:bookmarkEnd w:id="54"/>
      <w:bookmarkStart w:id="55" w:name="_Toc184308072"/>
      <w:bookmarkEnd w:id="55"/>
      <w:bookmarkStart w:id="56" w:name="_Toc184312105"/>
      <w:bookmarkEnd w:id="56"/>
      <w:bookmarkStart w:id="57" w:name="_Toc184310285"/>
      <w:bookmarkEnd w:id="57"/>
      <w:bookmarkStart w:id="58" w:name="_Toc184313253"/>
      <w:bookmarkEnd w:id="58"/>
      <w:bookmarkStart w:id="59" w:name="_Toc184313252"/>
      <w:bookmarkEnd w:id="59"/>
      <w:bookmarkStart w:id="60" w:name="_Toc184314479"/>
      <w:bookmarkEnd w:id="60"/>
      <w:bookmarkStart w:id="61" w:name="_Toc184312076"/>
      <w:bookmarkEnd w:id="61"/>
      <w:bookmarkStart w:id="62" w:name="_Toc184314480"/>
      <w:bookmarkEnd w:id="62"/>
      <w:bookmarkStart w:id="63" w:name="_Toc184312085"/>
      <w:bookmarkEnd w:id="63"/>
      <w:bookmarkStart w:id="64" w:name="_Toc184313262"/>
      <w:bookmarkEnd w:id="64"/>
      <w:bookmarkStart w:id="65" w:name="_Toc184314433"/>
      <w:bookmarkEnd w:id="65"/>
      <w:bookmarkStart w:id="66" w:name="_Toc184313292"/>
      <w:bookmarkEnd w:id="66"/>
      <w:bookmarkStart w:id="67" w:name="_Toc184313249"/>
      <w:bookmarkEnd w:id="67"/>
      <w:bookmarkStart w:id="68" w:name="_Toc184313301"/>
      <w:bookmarkEnd w:id="68"/>
      <w:bookmarkStart w:id="69" w:name="_Toc184313251"/>
      <w:bookmarkEnd w:id="69"/>
      <w:bookmarkStart w:id="70" w:name="_Toc184314443"/>
      <w:bookmarkEnd w:id="70"/>
      <w:bookmarkStart w:id="71" w:name="_Toc184313274"/>
      <w:bookmarkEnd w:id="71"/>
      <w:bookmarkStart w:id="72" w:name="_Toc184308097"/>
      <w:bookmarkEnd w:id="72"/>
      <w:bookmarkStart w:id="73" w:name="_Toc184310342"/>
      <w:bookmarkEnd w:id="73"/>
      <w:bookmarkStart w:id="74" w:name="_Toc184308075"/>
      <w:bookmarkEnd w:id="74"/>
      <w:bookmarkStart w:id="75" w:name="_Toc184312115"/>
      <w:bookmarkEnd w:id="75"/>
      <w:bookmarkStart w:id="76" w:name="_Toc184312077"/>
      <w:bookmarkEnd w:id="76"/>
      <w:bookmarkStart w:id="77" w:name="_Toc184314470"/>
      <w:bookmarkEnd w:id="77"/>
      <w:bookmarkStart w:id="78" w:name="_Toc184314466"/>
      <w:bookmarkEnd w:id="78"/>
      <w:bookmarkStart w:id="79" w:name="_Toc184313254"/>
      <w:bookmarkEnd w:id="79"/>
      <w:bookmarkStart w:id="80" w:name="_Toc184313265"/>
      <w:bookmarkEnd w:id="80"/>
      <w:bookmarkStart w:id="81" w:name="_Toc184308101"/>
      <w:bookmarkEnd w:id="81"/>
      <w:bookmarkStart w:id="82" w:name="_Toc184312078"/>
      <w:bookmarkEnd w:id="82"/>
      <w:bookmarkStart w:id="83" w:name="_Toc184313261"/>
      <w:bookmarkEnd w:id="83"/>
      <w:bookmarkStart w:id="84" w:name="_Toc184310274"/>
      <w:bookmarkEnd w:id="84"/>
      <w:bookmarkStart w:id="85" w:name="_Toc184314420"/>
      <w:bookmarkEnd w:id="85"/>
      <w:bookmarkStart w:id="86" w:name="_Toc184312125"/>
      <w:bookmarkEnd w:id="86"/>
      <w:bookmarkStart w:id="87" w:name="_Toc184312074"/>
      <w:bookmarkEnd w:id="87"/>
      <w:bookmarkStart w:id="88" w:name="_Toc184313291"/>
      <w:bookmarkEnd w:id="88"/>
      <w:bookmarkStart w:id="89" w:name="_Toc184310284"/>
      <w:bookmarkEnd w:id="89"/>
      <w:bookmarkStart w:id="90" w:name="_Toc184314426"/>
      <w:bookmarkEnd w:id="90"/>
      <w:bookmarkStart w:id="91" w:name="_Toc184308082"/>
      <w:bookmarkEnd w:id="91"/>
      <w:bookmarkStart w:id="92" w:name="_Toc184314416"/>
      <w:bookmarkEnd w:id="92"/>
      <w:bookmarkStart w:id="93" w:name="_Toc184308100"/>
      <w:bookmarkEnd w:id="93"/>
      <w:bookmarkStart w:id="94" w:name="_Toc184313273"/>
      <w:bookmarkEnd w:id="94"/>
      <w:bookmarkStart w:id="95" w:name="_Toc184308045"/>
      <w:bookmarkEnd w:id="95"/>
      <w:bookmarkStart w:id="96" w:name="_Toc184308077"/>
      <w:bookmarkEnd w:id="96"/>
      <w:bookmarkStart w:id="97" w:name="_Toc184312119"/>
      <w:bookmarkEnd w:id="97"/>
      <w:bookmarkStart w:id="98" w:name="_Toc184313277"/>
      <w:bookmarkEnd w:id="98"/>
      <w:bookmarkStart w:id="99" w:name="_Toc184310343"/>
      <w:bookmarkEnd w:id="99"/>
      <w:bookmarkStart w:id="100" w:name="_Toc184310310"/>
      <w:bookmarkEnd w:id="100"/>
      <w:bookmarkStart w:id="101" w:name="_Toc184312082"/>
      <w:bookmarkEnd w:id="101"/>
      <w:bookmarkStart w:id="102" w:name="_Toc184314469"/>
      <w:bookmarkEnd w:id="102"/>
      <w:bookmarkStart w:id="103" w:name="_Toc184310333"/>
      <w:bookmarkEnd w:id="103"/>
      <w:bookmarkStart w:id="104" w:name="_Toc184308074"/>
      <w:bookmarkEnd w:id="104"/>
      <w:bookmarkStart w:id="105" w:name="_Toc184308047"/>
      <w:bookmarkEnd w:id="105"/>
      <w:bookmarkStart w:id="106" w:name="_Toc184310322"/>
      <w:bookmarkEnd w:id="106"/>
      <w:bookmarkStart w:id="107" w:name="_Toc184314467"/>
      <w:bookmarkEnd w:id="107"/>
      <w:bookmarkStart w:id="108" w:name="_Toc184313240"/>
      <w:bookmarkEnd w:id="108"/>
      <w:bookmarkStart w:id="109" w:name="_Toc184310311"/>
      <w:bookmarkEnd w:id="109"/>
      <w:bookmarkStart w:id="110" w:name="_Toc184308038"/>
      <w:bookmarkEnd w:id="110"/>
      <w:bookmarkStart w:id="111" w:name="_Toc184310334"/>
      <w:bookmarkEnd w:id="111"/>
      <w:bookmarkStart w:id="112" w:name="_Toc184313293"/>
      <w:bookmarkEnd w:id="112"/>
      <w:bookmarkStart w:id="113" w:name="_Toc184313266"/>
      <w:bookmarkEnd w:id="113"/>
      <w:bookmarkStart w:id="114" w:name="_Toc184314452"/>
      <w:bookmarkEnd w:id="114"/>
      <w:bookmarkStart w:id="115" w:name="_Toc184308107"/>
      <w:bookmarkEnd w:id="115"/>
      <w:bookmarkStart w:id="116" w:name="_Toc184312097"/>
      <w:bookmarkEnd w:id="116"/>
      <w:bookmarkStart w:id="117" w:name="_Toc184308042"/>
      <w:bookmarkEnd w:id="117"/>
      <w:bookmarkStart w:id="118" w:name="_Toc184314454"/>
      <w:bookmarkEnd w:id="118"/>
      <w:bookmarkStart w:id="119" w:name="_Toc184308095"/>
      <w:bookmarkEnd w:id="119"/>
      <w:bookmarkStart w:id="120" w:name="_Toc184310301"/>
      <w:bookmarkEnd w:id="120"/>
      <w:bookmarkStart w:id="121" w:name="_Toc184310312"/>
      <w:bookmarkEnd w:id="121"/>
      <w:bookmarkStart w:id="122" w:name="_Toc184314427"/>
      <w:bookmarkEnd w:id="122"/>
      <w:bookmarkStart w:id="123" w:name="_Toc184313279"/>
      <w:bookmarkEnd w:id="123"/>
      <w:bookmarkStart w:id="124" w:name="_Toc184313238"/>
      <w:bookmarkEnd w:id="124"/>
      <w:bookmarkStart w:id="125" w:name="_Toc184308057"/>
      <w:bookmarkEnd w:id="125"/>
      <w:bookmarkStart w:id="126" w:name="_Toc184314471"/>
      <w:bookmarkEnd w:id="126"/>
      <w:bookmarkStart w:id="127" w:name="_Toc184308055"/>
      <w:bookmarkEnd w:id="127"/>
      <w:bookmarkStart w:id="128" w:name="_Toc184312109"/>
      <w:bookmarkEnd w:id="128"/>
      <w:bookmarkStart w:id="129" w:name="_Toc184314451"/>
      <w:bookmarkEnd w:id="129"/>
      <w:bookmarkStart w:id="130" w:name="_Toc184310280"/>
      <w:bookmarkEnd w:id="130"/>
      <w:bookmarkStart w:id="131" w:name="_Toc184312121"/>
      <w:bookmarkEnd w:id="131"/>
      <w:bookmarkStart w:id="132" w:name="_Toc184313305"/>
      <w:bookmarkEnd w:id="132"/>
      <w:bookmarkStart w:id="133" w:name="_Toc184313290"/>
      <w:bookmarkEnd w:id="133"/>
      <w:bookmarkStart w:id="134" w:name="_Toc184308102"/>
      <w:bookmarkEnd w:id="134"/>
      <w:bookmarkStart w:id="135" w:name="_Toc184310281"/>
      <w:bookmarkEnd w:id="135"/>
      <w:bookmarkStart w:id="136" w:name="_Toc184312068"/>
      <w:bookmarkEnd w:id="136"/>
      <w:bookmarkStart w:id="137" w:name="_Toc184310300"/>
      <w:bookmarkEnd w:id="137"/>
      <w:bookmarkStart w:id="138" w:name="_Toc184310307"/>
      <w:bookmarkEnd w:id="138"/>
      <w:bookmarkStart w:id="139" w:name="_Toc184310309"/>
      <w:bookmarkEnd w:id="139"/>
      <w:bookmarkStart w:id="140" w:name="_Toc184314468"/>
      <w:bookmarkEnd w:id="140"/>
      <w:bookmarkStart w:id="141" w:name="_Toc184310337"/>
      <w:bookmarkEnd w:id="141"/>
      <w:bookmarkStart w:id="142" w:name="_Toc184310329"/>
      <w:bookmarkEnd w:id="142"/>
      <w:bookmarkStart w:id="143" w:name="_Toc184312067"/>
      <w:bookmarkEnd w:id="143"/>
      <w:bookmarkStart w:id="144" w:name="_Toc184313275"/>
      <w:bookmarkEnd w:id="144"/>
      <w:bookmarkStart w:id="145" w:name="_Toc184313278"/>
      <w:bookmarkEnd w:id="145"/>
      <w:bookmarkStart w:id="146" w:name="_Toc184308090"/>
      <w:bookmarkEnd w:id="146"/>
      <w:bookmarkStart w:id="147" w:name="_Toc184310331"/>
      <w:bookmarkEnd w:id="147"/>
      <w:bookmarkStart w:id="148" w:name="_Toc184314439"/>
      <w:bookmarkEnd w:id="148"/>
      <w:bookmarkStart w:id="149" w:name="_Toc184310313"/>
      <w:bookmarkEnd w:id="149"/>
      <w:bookmarkStart w:id="150" w:name="_Toc184312104"/>
      <w:bookmarkEnd w:id="150"/>
      <w:bookmarkStart w:id="151" w:name="_Toc184314474"/>
      <w:bookmarkEnd w:id="151"/>
      <w:bookmarkStart w:id="152" w:name="_Toc184312126"/>
      <w:bookmarkEnd w:id="152"/>
      <w:bookmarkStart w:id="153" w:name="_Toc184310319"/>
      <w:bookmarkEnd w:id="153"/>
      <w:bookmarkStart w:id="154" w:name="_Toc184314435"/>
      <w:bookmarkEnd w:id="154"/>
      <w:bookmarkStart w:id="155" w:name="_Toc184308059"/>
      <w:bookmarkEnd w:id="155"/>
      <w:bookmarkStart w:id="156" w:name="_Toc184314481"/>
      <w:bookmarkEnd w:id="156"/>
      <w:bookmarkStart w:id="157" w:name="_Toc184308040"/>
      <w:bookmarkEnd w:id="157"/>
      <w:bookmarkStart w:id="158" w:name="_Toc184313245"/>
      <w:bookmarkEnd w:id="158"/>
      <w:bookmarkStart w:id="159" w:name="_Toc184308064"/>
      <w:bookmarkEnd w:id="159"/>
      <w:bookmarkStart w:id="160" w:name="_Toc184313296"/>
      <w:bookmarkEnd w:id="160"/>
      <w:bookmarkStart w:id="161" w:name="_Toc184308092"/>
      <w:bookmarkEnd w:id="161"/>
      <w:bookmarkStart w:id="162" w:name="_Toc184314442"/>
      <w:bookmarkEnd w:id="162"/>
      <w:bookmarkStart w:id="163" w:name="_Toc184310306"/>
      <w:bookmarkEnd w:id="163"/>
      <w:bookmarkStart w:id="164" w:name="_Toc184308105"/>
      <w:bookmarkEnd w:id="164"/>
      <w:bookmarkStart w:id="165" w:name="_Toc184313269"/>
      <w:bookmarkEnd w:id="165"/>
      <w:bookmarkStart w:id="166" w:name="_Toc184314459"/>
      <w:bookmarkEnd w:id="166"/>
      <w:bookmarkStart w:id="167" w:name="_Toc184313250"/>
      <w:bookmarkEnd w:id="167"/>
      <w:bookmarkStart w:id="168" w:name="_Toc184314417"/>
      <w:bookmarkEnd w:id="168"/>
      <w:bookmarkStart w:id="169" w:name="_Toc184313260"/>
      <w:bookmarkEnd w:id="169"/>
      <w:bookmarkStart w:id="170" w:name="_Toc184312080"/>
      <w:bookmarkEnd w:id="170"/>
      <w:bookmarkStart w:id="171" w:name="_Toc184312091"/>
      <w:bookmarkEnd w:id="171"/>
      <w:bookmarkStart w:id="172" w:name="_Toc184313241"/>
      <w:bookmarkEnd w:id="172"/>
      <w:bookmarkStart w:id="173" w:name="_Toc184308106"/>
      <w:bookmarkEnd w:id="173"/>
      <w:bookmarkStart w:id="174" w:name="_Toc184310316"/>
      <w:bookmarkEnd w:id="174"/>
      <w:bookmarkStart w:id="175" w:name="_Toc184314464"/>
      <w:bookmarkEnd w:id="175"/>
      <w:bookmarkStart w:id="176" w:name="_Toc184312135"/>
      <w:bookmarkEnd w:id="176"/>
      <w:bookmarkStart w:id="177" w:name="_Toc184312071"/>
      <w:bookmarkEnd w:id="177"/>
      <w:bookmarkStart w:id="178" w:name="_Toc184310286"/>
      <w:bookmarkEnd w:id="178"/>
      <w:bookmarkStart w:id="179" w:name="_Toc184310304"/>
      <w:bookmarkEnd w:id="179"/>
      <w:bookmarkStart w:id="180" w:name="_Toc184312069"/>
      <w:bookmarkEnd w:id="180"/>
      <w:bookmarkStart w:id="181" w:name="_Toc184308061"/>
      <w:bookmarkEnd w:id="181"/>
      <w:bookmarkStart w:id="182" w:name="_Toc184310336"/>
      <w:bookmarkEnd w:id="182"/>
      <w:bookmarkStart w:id="183" w:name="_Toc184314411"/>
      <w:bookmarkEnd w:id="183"/>
      <w:bookmarkStart w:id="184" w:name="_Toc184312117"/>
      <w:bookmarkEnd w:id="184"/>
      <w:bookmarkStart w:id="185" w:name="_Toc184312092"/>
      <w:bookmarkEnd w:id="185"/>
      <w:bookmarkStart w:id="186" w:name="_Toc184310294"/>
      <w:bookmarkEnd w:id="186"/>
      <w:bookmarkStart w:id="187" w:name="_Toc184313307"/>
      <w:bookmarkEnd w:id="187"/>
      <w:bookmarkStart w:id="188" w:name="_Toc184313294"/>
      <w:bookmarkEnd w:id="188"/>
      <w:bookmarkStart w:id="189" w:name="_Toc184310288"/>
      <w:bookmarkEnd w:id="189"/>
      <w:bookmarkStart w:id="190" w:name="_Toc184312087"/>
      <w:bookmarkEnd w:id="190"/>
      <w:bookmarkStart w:id="191" w:name="_Toc184313263"/>
      <w:bookmarkEnd w:id="191"/>
      <w:bookmarkStart w:id="192" w:name="_Toc184312093"/>
      <w:bookmarkEnd w:id="192"/>
      <w:bookmarkStart w:id="193" w:name="_Toc184312130"/>
      <w:bookmarkEnd w:id="193"/>
      <w:bookmarkStart w:id="194" w:name="_Toc184310323"/>
      <w:bookmarkEnd w:id="194"/>
      <w:bookmarkStart w:id="195" w:name="_Toc184312083"/>
      <w:bookmarkEnd w:id="195"/>
      <w:bookmarkStart w:id="196" w:name="_Toc184312072"/>
      <w:bookmarkEnd w:id="196"/>
      <w:bookmarkStart w:id="197" w:name="_Toc184312090"/>
      <w:bookmarkEnd w:id="197"/>
      <w:bookmarkStart w:id="198" w:name="_Toc184310275"/>
      <w:bookmarkEnd w:id="198"/>
      <w:bookmarkStart w:id="199" w:name="_Toc184313257"/>
      <w:bookmarkEnd w:id="199"/>
      <w:bookmarkStart w:id="200" w:name="_Toc184310335"/>
      <w:bookmarkEnd w:id="200"/>
      <w:bookmarkStart w:id="201" w:name="_Toc184308104"/>
      <w:bookmarkEnd w:id="201"/>
      <w:bookmarkStart w:id="202" w:name="_Toc184308043"/>
      <w:bookmarkEnd w:id="202"/>
      <w:bookmarkStart w:id="203" w:name="_Toc184314462"/>
      <w:bookmarkEnd w:id="203"/>
      <w:bookmarkStart w:id="204" w:name="_Toc184310302"/>
      <w:bookmarkEnd w:id="204"/>
      <w:bookmarkStart w:id="205" w:name="_Toc184313304"/>
      <w:bookmarkEnd w:id="205"/>
      <w:bookmarkStart w:id="206" w:name="_Toc184308073"/>
      <w:bookmarkEnd w:id="206"/>
      <w:bookmarkStart w:id="207" w:name="_Toc184312073"/>
      <w:bookmarkEnd w:id="207"/>
      <w:bookmarkStart w:id="208" w:name="_Toc184310287"/>
      <w:bookmarkEnd w:id="208"/>
      <w:bookmarkStart w:id="209" w:name="_Toc184313310"/>
      <w:bookmarkEnd w:id="209"/>
      <w:bookmarkStart w:id="210" w:name="_Toc184313272"/>
      <w:bookmarkEnd w:id="210"/>
      <w:bookmarkStart w:id="211" w:name="_Toc184314437"/>
      <w:bookmarkEnd w:id="211"/>
      <w:bookmarkStart w:id="212" w:name="_Toc184310296"/>
      <w:bookmarkEnd w:id="212"/>
      <w:bookmarkStart w:id="213" w:name="_Toc184310292"/>
      <w:bookmarkEnd w:id="213"/>
      <w:bookmarkStart w:id="214" w:name="_Toc184312095"/>
      <w:bookmarkEnd w:id="214"/>
      <w:bookmarkStart w:id="215" w:name="_Toc184308085"/>
      <w:bookmarkEnd w:id="215"/>
      <w:bookmarkStart w:id="216" w:name="_Toc184310299"/>
      <w:bookmarkEnd w:id="216"/>
      <w:bookmarkStart w:id="217" w:name="_Toc184313309"/>
      <w:bookmarkEnd w:id="217"/>
      <w:bookmarkStart w:id="218" w:name="_Toc184314434"/>
      <w:bookmarkEnd w:id="218"/>
      <w:bookmarkStart w:id="219" w:name="_Toc184312106"/>
      <w:bookmarkEnd w:id="219"/>
      <w:bookmarkStart w:id="220" w:name="_Toc184313283"/>
      <w:bookmarkEnd w:id="220"/>
      <w:bookmarkStart w:id="221" w:name="_Toc184310303"/>
      <w:bookmarkEnd w:id="221"/>
      <w:bookmarkStart w:id="222" w:name="_Toc184308067"/>
      <w:bookmarkEnd w:id="222"/>
      <w:bookmarkStart w:id="223" w:name="_Toc184313281"/>
      <w:bookmarkEnd w:id="223"/>
      <w:bookmarkStart w:id="224" w:name="_Toc184314463"/>
      <w:bookmarkEnd w:id="224"/>
      <w:bookmarkStart w:id="225" w:name="_Toc184314447"/>
      <w:bookmarkEnd w:id="225"/>
      <w:bookmarkStart w:id="226" w:name="_Toc184313288"/>
      <w:bookmarkEnd w:id="226"/>
      <w:bookmarkStart w:id="227" w:name="_Toc184310339"/>
      <w:bookmarkEnd w:id="227"/>
      <w:bookmarkStart w:id="228" w:name="_Toc184313259"/>
      <w:bookmarkEnd w:id="228"/>
      <w:bookmarkStart w:id="229" w:name="_Toc184308071"/>
      <w:bookmarkEnd w:id="229"/>
      <w:bookmarkStart w:id="230" w:name="_Toc184314453"/>
      <w:bookmarkEnd w:id="230"/>
      <w:bookmarkStart w:id="231" w:name="_Toc184314441"/>
      <w:bookmarkEnd w:id="231"/>
      <w:bookmarkStart w:id="232" w:name="_Toc184310272"/>
      <w:bookmarkEnd w:id="232"/>
      <w:bookmarkStart w:id="233" w:name="_Toc184314436"/>
      <w:bookmarkEnd w:id="233"/>
      <w:bookmarkStart w:id="234" w:name="_Toc184308044"/>
      <w:bookmarkEnd w:id="234"/>
      <w:bookmarkStart w:id="235" w:name="_Toc184308093"/>
      <w:bookmarkEnd w:id="235"/>
      <w:bookmarkStart w:id="236" w:name="_Toc184314410"/>
      <w:bookmarkEnd w:id="236"/>
      <w:bookmarkStart w:id="237" w:name="_Toc184312138"/>
      <w:bookmarkEnd w:id="237"/>
      <w:bookmarkStart w:id="238" w:name="_Toc184314425"/>
      <w:bookmarkEnd w:id="238"/>
      <w:bookmarkStart w:id="239" w:name="_Toc184310305"/>
      <w:bookmarkEnd w:id="239"/>
      <w:bookmarkStart w:id="240" w:name="_Toc184308084"/>
      <w:bookmarkEnd w:id="240"/>
      <w:bookmarkStart w:id="241" w:name="_Toc184308083"/>
      <w:bookmarkEnd w:id="241"/>
      <w:bookmarkStart w:id="242" w:name="_Toc184310327"/>
      <w:bookmarkEnd w:id="242"/>
      <w:bookmarkStart w:id="243" w:name="_Toc184308096"/>
      <w:bookmarkEnd w:id="243"/>
      <w:bookmarkStart w:id="244" w:name="_Toc184312137"/>
      <w:bookmarkEnd w:id="244"/>
      <w:bookmarkStart w:id="245" w:name="_Toc184314423"/>
      <w:bookmarkEnd w:id="245"/>
      <w:bookmarkStart w:id="246" w:name="_Toc184310283"/>
      <w:bookmarkEnd w:id="246"/>
      <w:bookmarkStart w:id="247" w:name="_Toc184313243"/>
      <w:bookmarkEnd w:id="247"/>
      <w:bookmarkStart w:id="248" w:name="_Toc184312103"/>
      <w:bookmarkEnd w:id="248"/>
      <w:bookmarkStart w:id="249" w:name="_Toc184314440"/>
      <w:bookmarkEnd w:id="249"/>
      <w:bookmarkStart w:id="250" w:name="_Toc184312075"/>
      <w:bookmarkEnd w:id="250"/>
      <w:bookmarkStart w:id="251" w:name="_Toc184312089"/>
      <w:bookmarkEnd w:id="251"/>
      <w:bookmarkStart w:id="252" w:name="_Toc184314458"/>
      <w:bookmarkEnd w:id="252"/>
      <w:bookmarkStart w:id="253" w:name="_Toc184310290"/>
      <w:bookmarkEnd w:id="253"/>
      <w:bookmarkStart w:id="254" w:name="_Toc184313271"/>
      <w:bookmarkEnd w:id="254"/>
      <w:bookmarkStart w:id="255" w:name="_Toc184310308"/>
      <w:bookmarkEnd w:id="255"/>
      <w:bookmarkStart w:id="256" w:name="_Toc184312129"/>
      <w:bookmarkEnd w:id="256"/>
      <w:bookmarkStart w:id="257" w:name="_Toc184310332"/>
      <w:bookmarkEnd w:id="257"/>
      <w:bookmarkStart w:id="258" w:name="_Toc184308046"/>
      <w:bookmarkEnd w:id="258"/>
      <w:bookmarkStart w:id="259" w:name="_Toc184310328"/>
      <w:bookmarkEnd w:id="259"/>
      <w:bookmarkStart w:id="260" w:name="_Toc184312101"/>
      <w:bookmarkEnd w:id="260"/>
      <w:bookmarkStart w:id="261" w:name="_Toc184314415"/>
      <w:bookmarkEnd w:id="261"/>
      <w:bookmarkStart w:id="262" w:name="_Toc184314461"/>
      <w:bookmarkEnd w:id="262"/>
      <w:bookmarkStart w:id="263" w:name="_Toc184310298"/>
      <w:bookmarkEnd w:id="263"/>
      <w:bookmarkStart w:id="264" w:name="_Toc184312113"/>
      <w:bookmarkEnd w:id="264"/>
      <w:bookmarkStart w:id="265" w:name="_Toc184313282"/>
      <w:bookmarkEnd w:id="265"/>
      <w:bookmarkStart w:id="266" w:name="_Toc184308087"/>
      <w:bookmarkEnd w:id="266"/>
      <w:bookmarkStart w:id="267" w:name="_Toc184312131"/>
      <w:bookmarkEnd w:id="267"/>
      <w:bookmarkStart w:id="268" w:name="_Toc184310318"/>
      <w:bookmarkEnd w:id="268"/>
      <w:bookmarkStart w:id="269" w:name="_Toc184312120"/>
      <w:bookmarkEnd w:id="269"/>
      <w:bookmarkStart w:id="270" w:name="_Toc184313299"/>
      <w:bookmarkEnd w:id="270"/>
      <w:bookmarkStart w:id="271" w:name="_Toc184308099"/>
      <w:bookmarkEnd w:id="271"/>
      <w:bookmarkStart w:id="272" w:name="_Toc184310344"/>
      <w:bookmarkEnd w:id="272"/>
      <w:bookmarkStart w:id="273" w:name="_Toc184312098"/>
      <w:bookmarkEnd w:id="273"/>
      <w:bookmarkStart w:id="274" w:name="_Toc184313298"/>
      <w:bookmarkEnd w:id="274"/>
      <w:bookmarkStart w:id="275" w:name="_Toc184308052"/>
      <w:bookmarkEnd w:id="275"/>
      <w:bookmarkStart w:id="276" w:name="_Toc184314450"/>
      <w:bookmarkEnd w:id="276"/>
      <w:bookmarkStart w:id="277" w:name="_Toc184310276"/>
      <w:bookmarkEnd w:id="277"/>
      <w:bookmarkStart w:id="278" w:name="_Toc184308065"/>
      <w:bookmarkEnd w:id="278"/>
      <w:bookmarkStart w:id="279" w:name="_Toc184313248"/>
      <w:bookmarkEnd w:id="279"/>
      <w:bookmarkStart w:id="280" w:name="_Toc184310291"/>
      <w:bookmarkEnd w:id="280"/>
      <w:bookmarkStart w:id="281" w:name="_Toc184314424"/>
      <w:bookmarkEnd w:id="281"/>
      <w:bookmarkStart w:id="282" w:name="_Toc184314412"/>
      <w:bookmarkEnd w:id="282"/>
      <w:bookmarkStart w:id="283" w:name="_Toc184313258"/>
      <w:bookmarkEnd w:id="283"/>
      <w:bookmarkStart w:id="284" w:name="_Toc184314429"/>
      <w:bookmarkEnd w:id="284"/>
      <w:bookmarkStart w:id="285" w:name="_Toc184312128"/>
      <w:bookmarkEnd w:id="285"/>
      <w:bookmarkStart w:id="286" w:name="_Toc184308070"/>
      <w:bookmarkEnd w:id="286"/>
      <w:bookmarkStart w:id="287" w:name="_Toc184308069"/>
      <w:bookmarkEnd w:id="287"/>
      <w:bookmarkStart w:id="288" w:name="_Toc184314449"/>
      <w:bookmarkEnd w:id="288"/>
      <w:bookmarkStart w:id="289" w:name="_Toc184310314"/>
      <w:bookmarkEnd w:id="289"/>
      <w:bookmarkStart w:id="290" w:name="_Toc184313295"/>
      <w:bookmarkEnd w:id="290"/>
      <w:bookmarkStart w:id="291" w:name="_Toc184310330"/>
      <w:bookmarkEnd w:id="291"/>
      <w:bookmarkStart w:id="292" w:name="_Toc184308048"/>
      <w:bookmarkEnd w:id="292"/>
      <w:bookmarkStart w:id="293" w:name="_Toc184312139"/>
      <w:bookmarkEnd w:id="293"/>
      <w:bookmarkStart w:id="294" w:name="_Toc184314460"/>
      <w:bookmarkEnd w:id="294"/>
      <w:bookmarkStart w:id="295" w:name="_Toc184314477"/>
      <w:bookmarkEnd w:id="295"/>
      <w:bookmarkStart w:id="296" w:name="_Toc184313276"/>
      <w:bookmarkEnd w:id="296"/>
      <w:bookmarkStart w:id="297" w:name="_Toc184308078"/>
      <w:bookmarkEnd w:id="297"/>
      <w:bookmarkStart w:id="298" w:name="_Toc184313280"/>
      <w:bookmarkEnd w:id="298"/>
      <w:bookmarkStart w:id="299" w:name="_Toc184312134"/>
      <w:bookmarkEnd w:id="299"/>
      <w:bookmarkStart w:id="300" w:name="_Toc184313287"/>
      <w:bookmarkEnd w:id="300"/>
      <w:bookmarkStart w:id="301" w:name="_Toc184312088"/>
      <w:bookmarkEnd w:id="301"/>
      <w:bookmarkStart w:id="302" w:name="_Toc184314473"/>
      <w:bookmarkEnd w:id="302"/>
      <w:bookmarkStart w:id="303" w:name="_Toc184313264"/>
      <w:bookmarkEnd w:id="303"/>
      <w:bookmarkStart w:id="304" w:name="_Toc184308041"/>
      <w:bookmarkEnd w:id="304"/>
      <w:bookmarkStart w:id="305" w:name="_Toc184310297"/>
      <w:bookmarkEnd w:id="305"/>
      <w:bookmarkStart w:id="306" w:name="_Toc184313300"/>
      <w:bookmarkEnd w:id="306"/>
      <w:bookmarkStart w:id="307" w:name="_Toc184314422"/>
      <w:bookmarkEnd w:id="307"/>
      <w:bookmarkStart w:id="308" w:name="_Toc184312124"/>
      <w:bookmarkEnd w:id="308"/>
      <w:bookmarkStart w:id="309" w:name="_Toc184312123"/>
      <w:bookmarkEnd w:id="309"/>
      <w:bookmarkStart w:id="310" w:name="_Toc184313268"/>
      <w:bookmarkEnd w:id="310"/>
      <w:bookmarkStart w:id="311" w:name="_Toc184308050"/>
      <w:bookmarkEnd w:id="311"/>
      <w:bookmarkStart w:id="312" w:name="_Toc184313256"/>
      <w:bookmarkEnd w:id="312"/>
      <w:bookmarkStart w:id="313" w:name="_Toc184310317"/>
      <w:bookmarkEnd w:id="313"/>
      <w:bookmarkStart w:id="314" w:name="_Toc184312107"/>
      <w:bookmarkEnd w:id="314"/>
      <w:bookmarkStart w:id="315" w:name="_Toc184310273"/>
      <w:bookmarkEnd w:id="315"/>
      <w:bookmarkStart w:id="316" w:name="_Toc184308068"/>
      <w:bookmarkEnd w:id="316"/>
      <w:bookmarkStart w:id="317" w:name="_Toc184308062"/>
      <w:bookmarkEnd w:id="317"/>
      <w:bookmarkStart w:id="318" w:name="_Toc184310324"/>
      <w:bookmarkEnd w:id="318"/>
      <w:bookmarkStart w:id="319" w:name="_Toc184308066"/>
      <w:bookmarkEnd w:id="319"/>
      <w:bookmarkStart w:id="320" w:name="_Toc184308098"/>
      <w:bookmarkEnd w:id="320"/>
      <w:bookmarkStart w:id="321" w:name="_Toc184313247"/>
      <w:bookmarkEnd w:id="321"/>
      <w:bookmarkStart w:id="322" w:name="_Toc184310278"/>
      <w:bookmarkEnd w:id="322"/>
      <w:bookmarkStart w:id="323" w:name="_Toc184308037"/>
      <w:bookmarkEnd w:id="323"/>
      <w:bookmarkStart w:id="324" w:name="_Toc184313244"/>
      <w:bookmarkEnd w:id="324"/>
      <w:bookmarkStart w:id="325" w:name="_Toc184310315"/>
      <w:bookmarkEnd w:id="325"/>
      <w:bookmarkStart w:id="326" w:name="_Toc184313302"/>
      <w:bookmarkEnd w:id="326"/>
      <w:bookmarkStart w:id="327" w:name="_Toc184312122"/>
      <w:bookmarkEnd w:id="327"/>
      <w:bookmarkStart w:id="328" w:name="_Toc184308091"/>
      <w:bookmarkEnd w:id="328"/>
      <w:bookmarkStart w:id="329" w:name="_Toc184308060"/>
      <w:bookmarkEnd w:id="329"/>
      <w:bookmarkStart w:id="330" w:name="_Toc184308053"/>
      <w:bookmarkEnd w:id="330"/>
      <w:bookmarkStart w:id="331" w:name="_Toc184310279"/>
      <w:bookmarkEnd w:id="331"/>
      <w:bookmarkStart w:id="332" w:name="_Toc184312096"/>
      <w:bookmarkEnd w:id="332"/>
      <w:bookmarkStart w:id="333" w:name="_Toc184312112"/>
      <w:bookmarkEnd w:id="333"/>
      <w:bookmarkStart w:id="334" w:name="_Toc184310321"/>
      <w:bookmarkEnd w:id="334"/>
      <w:bookmarkStart w:id="335" w:name="_Toc184314472"/>
      <w:bookmarkEnd w:id="335"/>
      <w:bookmarkStart w:id="336" w:name="_Toc184308051"/>
      <w:bookmarkEnd w:id="336"/>
      <w:bookmarkStart w:id="337" w:name="_Toc184313246"/>
      <w:bookmarkEnd w:id="337"/>
      <w:bookmarkStart w:id="338" w:name="_Toc184314446"/>
      <w:bookmarkEnd w:id="338"/>
      <w:bookmarkStart w:id="339" w:name="_Toc184312079"/>
      <w:bookmarkEnd w:id="339"/>
      <w:bookmarkStart w:id="340" w:name="_Toc184313297"/>
      <w:bookmarkEnd w:id="340"/>
      <w:bookmarkStart w:id="341" w:name="_Toc184314445"/>
      <w:bookmarkEnd w:id="341"/>
      <w:bookmarkStart w:id="342" w:name="_Toc184308080"/>
      <w:bookmarkEnd w:id="342"/>
      <w:bookmarkStart w:id="343" w:name="_Toc184313308"/>
      <w:bookmarkEnd w:id="343"/>
      <w:bookmarkStart w:id="344" w:name="_Toc184314465"/>
      <w:bookmarkEnd w:id="344"/>
      <w:bookmarkStart w:id="345" w:name="_Toc184313303"/>
      <w:bookmarkEnd w:id="345"/>
      <w:bookmarkStart w:id="346" w:name="_Toc184308088"/>
      <w:bookmarkEnd w:id="346"/>
      <w:bookmarkStart w:id="347" w:name="_Toc184314414"/>
      <w:bookmarkEnd w:id="347"/>
      <w:bookmarkStart w:id="348" w:name="_Toc184313267"/>
      <w:bookmarkEnd w:id="348"/>
      <w:bookmarkStart w:id="349" w:name="_Toc184308076"/>
      <w:bookmarkEnd w:id="349"/>
      <w:bookmarkStart w:id="350" w:name="_Toc184308039"/>
      <w:bookmarkEnd w:id="350"/>
      <w:bookmarkStart w:id="351" w:name="_Toc184314478"/>
      <w:bookmarkEnd w:id="351"/>
      <w:bookmarkStart w:id="352" w:name="_Toc184310282"/>
      <w:bookmarkEnd w:id="352"/>
      <w:bookmarkStart w:id="353" w:name="_Toc184308094"/>
      <w:bookmarkEnd w:id="353"/>
      <w:bookmarkStart w:id="354" w:name="_Toc184310293"/>
      <w:bookmarkEnd w:id="354"/>
      <w:bookmarkStart w:id="355" w:name="_Toc184314475"/>
      <w:bookmarkEnd w:id="355"/>
      <w:bookmarkStart w:id="356" w:name="_Toc184308049"/>
      <w:bookmarkEnd w:id="356"/>
      <w:bookmarkStart w:id="357" w:name="_Toc184313255"/>
      <w:bookmarkEnd w:id="357"/>
      <w:bookmarkStart w:id="358" w:name="_Toc184308056"/>
      <w:bookmarkEnd w:id="358"/>
      <w:bookmarkStart w:id="359" w:name="_Toc184308054"/>
      <w:bookmarkEnd w:id="359"/>
      <w:bookmarkStart w:id="360" w:name="_Toc184312118"/>
      <w:bookmarkEnd w:id="360"/>
      <w:bookmarkStart w:id="361" w:name="_Toc184310277"/>
      <w:bookmarkEnd w:id="361"/>
      <w:bookmarkStart w:id="362" w:name="_Toc184313239"/>
      <w:bookmarkEnd w:id="362"/>
      <w:bookmarkStart w:id="363" w:name="_Toc184312133"/>
      <w:bookmarkEnd w:id="363"/>
      <w:bookmarkStart w:id="364" w:name="_Toc184310289"/>
      <w:bookmarkEnd w:id="364"/>
      <w:bookmarkStart w:id="365" w:name="_Toc184310341"/>
      <w:bookmarkEnd w:id="365"/>
      <w:bookmarkStart w:id="366" w:name="_Toc184310340"/>
      <w:bookmarkEnd w:id="366"/>
      <w:bookmarkStart w:id="367" w:name="_Toc184312081"/>
      <w:bookmarkEnd w:id="367"/>
      <w:bookmarkStart w:id="368" w:name="_Toc184308081"/>
      <w:bookmarkEnd w:id="368"/>
      <w:bookmarkStart w:id="369" w:name="_Toc184314432"/>
      <w:bookmarkEnd w:id="369"/>
      <w:bookmarkStart w:id="370" w:name="_Toc184312108"/>
      <w:bookmarkEnd w:id="370"/>
      <w:bookmarkStart w:id="371" w:name="_Toc184308079"/>
      <w:bookmarkEnd w:id="371"/>
      <w:bookmarkStart w:id="372" w:name="_Toc184313285"/>
      <w:bookmarkEnd w:id="372"/>
      <w:bookmarkStart w:id="373" w:name="_Toc184313270"/>
      <w:bookmarkEnd w:id="373"/>
      <w:bookmarkStart w:id="374" w:name="_Toc184310295"/>
      <w:bookmarkEnd w:id="374"/>
      <w:bookmarkStart w:id="375" w:name="_Toc184312099"/>
      <w:bookmarkEnd w:id="375"/>
      <w:bookmarkStart w:id="376" w:name="_Toc184308036"/>
      <w:bookmarkEnd w:id="376"/>
      <w:bookmarkStart w:id="377" w:name="_Toc184314482"/>
      <w:bookmarkEnd w:id="377"/>
      <w:bookmarkStart w:id="378" w:name="_Toc184314418"/>
      <w:bookmarkEnd w:id="378"/>
      <w:bookmarkStart w:id="379" w:name="_Toc184313289"/>
      <w:bookmarkEnd w:id="379"/>
      <w:bookmarkStart w:id="380" w:name="_Toc184314476"/>
      <w:bookmarkEnd w:id="380"/>
      <w:bookmarkStart w:id="381" w:name="_Toc184312100"/>
      <w:bookmarkEnd w:id="381"/>
      <w:bookmarkStart w:id="382" w:name="_Toc184312110"/>
      <w:bookmarkEnd w:id="382"/>
      <w:bookmarkStart w:id="383" w:name="_Toc184313242"/>
      <w:bookmarkEnd w:id="383"/>
      <w:bookmarkStart w:id="384" w:name="_Toc184312114"/>
      <w:bookmarkEnd w:id="384"/>
      <w:r>
        <w:rPr>
          <w:rFonts w:hint="eastAsia" w:cs="仿宋" w:asciiTheme="minorEastAsia" w:hAnsiTheme="minorEastAsia"/>
          <w:b/>
          <w:color w:val="auto"/>
          <w:sz w:val="36"/>
          <w:szCs w:val="36"/>
          <w:highlight w:val="none"/>
        </w:rPr>
        <w:t>评审方法</w:t>
      </w:r>
    </w:p>
    <w:p>
      <w:pPr>
        <w:adjustRightInd w:val="0"/>
        <w:snapToGrid w:val="0"/>
        <w:spacing w:line="460" w:lineRule="exact"/>
        <w:ind w:firstLine="480" w:firstLineChars="200"/>
        <w:rPr>
          <w:rFonts w:cs="仿宋" w:asciiTheme="minorEastAsia" w:hAnsiTheme="minorEastAsia"/>
          <w:color w:val="auto"/>
          <w:sz w:val="24"/>
          <w:highlight w:val="none"/>
        </w:rPr>
      </w:pP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J.响应文件不满足询价采购文件的其它实质性要求的；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K.法律、法规、规章（适用本市的）及省级以上规范性文件（适用本市的）规定的其他无效情形。</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L在采购人规定的截止时间以后送达的响应文件；</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M未按要求缴纳询价保证金的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rPr>
        <w:t>。</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经办人编写评审过程情况详细说明，记录包括采购项目基本情况（如采购人名称、项目名称、项目编号、采购内容、采购限价、采购方式、发布公告时间、公告发布网站、采购响应截止时间、响应单位情况等）、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1.评审办法：询价评审小组应当从质量和服务均能满足询价采购文件实质性响应要求的供应商中，按照报价由低到高的顺序推荐成交候选人。</w:t>
      </w:r>
    </w:p>
    <w:p>
      <w:pPr>
        <w:pStyle w:val="7"/>
        <w:ind w:firstLine="480" w:firstLineChars="200"/>
        <w:rPr>
          <w:color w:val="auto"/>
          <w:highlight w:val="none"/>
        </w:rPr>
      </w:pPr>
      <w:r>
        <w:rPr>
          <w:color w:val="auto"/>
          <w:highlight w:val="none"/>
          <w:lang w:val="en-US"/>
        </w:rPr>
        <w:t>1.1</w:t>
      </w:r>
      <w:r>
        <w:rPr>
          <w:rFonts w:hint="eastAsia"/>
          <w:color w:val="auto"/>
          <w:highlight w:val="none"/>
        </w:rPr>
        <w:t>若出现税率不一致的情况，以除税总金额相对比。</w:t>
      </w:r>
    </w:p>
    <w:p>
      <w:pPr>
        <w:pStyle w:val="7"/>
        <w:ind w:firstLine="480" w:firstLineChars="200"/>
        <w:rPr>
          <w:color w:val="auto"/>
          <w:highlight w:val="none"/>
        </w:rPr>
      </w:pPr>
      <w:r>
        <w:rPr>
          <w:color w:val="auto"/>
          <w:highlight w:val="none"/>
          <w:lang w:val="en-US"/>
        </w:rPr>
        <w:t>1.2</w:t>
      </w:r>
      <w:r>
        <w:rPr>
          <w:rFonts w:hint="eastAsia"/>
          <w:color w:val="auto"/>
          <w:highlight w:val="none"/>
          <w:lang w:val="en-US"/>
        </w:rPr>
        <w:t>若</w:t>
      </w:r>
      <w:r>
        <w:rPr>
          <w:rFonts w:hint="eastAsia"/>
          <w:color w:val="auto"/>
          <w:highlight w:val="none"/>
        </w:rPr>
        <w:t>出现相同总金额最低报价情况时，总金额最低报价相同的供应商再进行一轮报价</w:t>
      </w:r>
      <w:r>
        <w:rPr>
          <w:rFonts w:hint="eastAsia"/>
          <w:b/>
          <w:bCs/>
          <w:color w:val="auto"/>
          <w:highlight w:val="none"/>
        </w:rPr>
        <w:t>。如报价再相同，则由采购工作人员</w:t>
      </w:r>
      <w:r>
        <w:rPr>
          <w:rFonts w:hint="eastAsia"/>
          <w:b/>
          <w:bCs/>
          <w:color w:val="auto"/>
          <w:highlight w:val="none"/>
          <w:lang w:val="en-US"/>
        </w:rPr>
        <w:t>组织询价评审小组成员与供应商分别</w:t>
      </w:r>
      <w:r>
        <w:rPr>
          <w:rFonts w:hint="eastAsia"/>
          <w:b/>
          <w:bCs/>
          <w:color w:val="auto"/>
          <w:highlight w:val="none"/>
        </w:rPr>
        <w:t>再进行一轮报价，以此类推。</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color w:val="auto"/>
          <w:highlight w:val="none"/>
          <w:lang w:val="en-US"/>
        </w:rPr>
      </w:pPr>
    </w:p>
    <w:p>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cols w:space="720" w:num="1"/>
          <w:docGrid w:type="lines" w:linePitch="312" w:charSpace="0"/>
        </w:sectPr>
      </w:pPr>
    </w:p>
    <w:p>
      <w:p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第五部分 拟签订的合同文本</w:t>
      </w:r>
    </w:p>
    <w:p>
      <w:pPr>
        <w:pStyle w:val="9"/>
        <w:rPr>
          <w:rFonts w:cs="仿宋" w:asciiTheme="minorEastAsia" w:hAnsiTheme="minorEastAsia"/>
          <w:color w:val="auto"/>
          <w:highlight w:val="none"/>
        </w:rPr>
      </w:pPr>
    </w:p>
    <w:p>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LJGS-2023-          </w:t>
      </w:r>
    </w:p>
    <w:p>
      <w:pPr>
        <w:spacing w:line="480" w:lineRule="auto"/>
        <w:jc w:val="center"/>
        <w:rPr>
          <w:rFonts w:ascii="宋体" w:hAnsi="宋体" w:cs="宋体"/>
          <w:b/>
          <w:color w:val="auto"/>
          <w:sz w:val="28"/>
          <w:szCs w:val="28"/>
          <w:highlight w:val="none"/>
        </w:rPr>
      </w:pPr>
    </w:p>
    <w:p>
      <w:pPr>
        <w:spacing w:line="480" w:lineRule="auto"/>
        <w:jc w:val="center"/>
        <w:rPr>
          <w:rFonts w:ascii="宋体" w:hAnsi="宋体" w:cs="宋体"/>
          <w:b/>
          <w:color w:val="auto"/>
          <w:sz w:val="24"/>
          <w:highlight w:val="none"/>
        </w:rPr>
      </w:pPr>
    </w:p>
    <w:p>
      <w:pPr>
        <w:spacing w:line="480" w:lineRule="auto"/>
        <w:jc w:val="center"/>
        <w:rPr>
          <w:rFonts w:ascii="宋体" w:hAnsi="宋体" w:cs="宋体"/>
          <w:b/>
          <w:color w:val="auto"/>
          <w:sz w:val="24"/>
          <w:highlight w:val="none"/>
        </w:rPr>
      </w:pPr>
    </w:p>
    <w:p>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服务类采购合同</w:t>
      </w:r>
    </w:p>
    <w:p>
      <w:pPr>
        <w:spacing w:before="120" w:line="22" w:lineRule="atLeast"/>
        <w:rPr>
          <w:rFonts w:ascii="宋体" w:hAnsi="宋体" w:cs="宋体"/>
          <w:color w:val="auto"/>
          <w:sz w:val="24"/>
          <w:highlight w:val="none"/>
        </w:rPr>
      </w:pPr>
    </w:p>
    <w:p>
      <w:pPr>
        <w:pStyle w:val="4"/>
        <w:tabs>
          <w:tab w:val="left" w:pos="432"/>
        </w:tabs>
        <w:spacing w:line="360" w:lineRule="auto"/>
        <w:rPr>
          <w:color w:val="auto"/>
          <w:highlight w:val="none"/>
        </w:rPr>
      </w:pPr>
    </w:p>
    <w:p>
      <w:pPr>
        <w:spacing w:before="120" w:line="360" w:lineRule="auto"/>
        <w:ind w:left="2160" w:leftChars="457" w:hanging="1200" w:hangingChars="50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2024年临江公司110kV升压站电力数据网络运行维护委外服务采购</w:t>
      </w:r>
      <w:r>
        <w:rPr>
          <w:rFonts w:hint="eastAsia" w:ascii="宋体" w:hAnsi="宋体" w:cs="宋体"/>
          <w:color w:val="auto"/>
          <w:sz w:val="24"/>
          <w:highlight w:val="none"/>
          <w:u w:val="single"/>
        </w:rPr>
        <w:t xml:space="preserve">项目                                 </w:t>
      </w:r>
    </w:p>
    <w:p>
      <w:pPr>
        <w:rPr>
          <w:rFonts w:ascii="宋体" w:hAnsi="宋体" w:cs="宋体"/>
          <w:color w:val="auto"/>
          <w:sz w:val="24"/>
          <w:highlight w:val="none"/>
        </w:rPr>
      </w:pPr>
    </w:p>
    <w:p>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杭州临江环境能源有限公司              </w:t>
      </w:r>
    </w:p>
    <w:p>
      <w:pPr>
        <w:spacing w:before="120" w:line="22" w:lineRule="atLeast"/>
        <w:rPr>
          <w:rFonts w:ascii="宋体" w:hAnsi="宋体" w:cs="宋体"/>
          <w:color w:val="auto"/>
          <w:sz w:val="24"/>
          <w:highlight w:val="none"/>
        </w:rPr>
      </w:pPr>
    </w:p>
    <w:p>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pPr>
        <w:spacing w:before="120" w:line="22" w:lineRule="atLeast"/>
        <w:rPr>
          <w:rFonts w:ascii="宋体" w:hAnsi="宋体" w:cs="宋体"/>
          <w:color w:val="auto"/>
          <w:sz w:val="24"/>
          <w:highlight w:val="none"/>
        </w:rPr>
      </w:pPr>
    </w:p>
    <w:p>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浙江省杭州市钱塘区                  </w:t>
      </w:r>
    </w:p>
    <w:p>
      <w:pPr>
        <w:spacing w:before="120" w:line="22" w:lineRule="atLeast"/>
        <w:rPr>
          <w:rFonts w:ascii="宋体" w:hAnsi="宋体" w:cs="宋体"/>
          <w:color w:val="auto"/>
          <w:sz w:val="24"/>
          <w:highlight w:val="none"/>
        </w:rPr>
      </w:pPr>
    </w:p>
    <w:p>
      <w:pPr>
        <w:spacing w:before="120" w:line="22" w:lineRule="atLeast"/>
        <w:ind w:firstLine="960" w:firstLineChars="400"/>
        <w:rPr>
          <w:rFonts w:ascii="宋体" w:hAnsi="宋体" w:cs="宋体"/>
          <w:color w:val="auto"/>
          <w:kern w:val="0"/>
          <w:sz w:val="24"/>
          <w:highlight w:val="none"/>
        </w:rPr>
        <w:sectPr>
          <w:pgSz w:w="11907" w:h="16840"/>
          <w:pgMar w:top="1474" w:right="1814" w:bottom="1474" w:left="1814" w:header="851" w:footer="851" w:gutter="0"/>
          <w:cols w:space="720" w:num="1"/>
        </w:sect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8"/>
        <w:jc w:val="center"/>
        <w:rPr>
          <w:b/>
          <w:bCs/>
          <w:color w:val="auto"/>
          <w:highlight w:val="none"/>
        </w:rPr>
      </w:pPr>
    </w:p>
    <w:p>
      <w:pPr>
        <w:pStyle w:val="8"/>
        <w:jc w:val="center"/>
        <w:rPr>
          <w:b/>
          <w:bCs/>
          <w:color w:val="auto"/>
          <w:highlight w:val="none"/>
        </w:rPr>
      </w:pPr>
    </w:p>
    <w:p>
      <w:pPr>
        <w:pStyle w:val="24"/>
        <w:ind w:left="0" w:leftChars="0" w:firstLine="0" w:firstLineChars="0"/>
        <w:jc w:val="center"/>
        <w:rPr>
          <w:rFonts w:ascii="宋体" w:hAnsi="宋体"/>
          <w:color w:val="auto"/>
          <w:highlight w:val="none"/>
          <w:u w:val="single"/>
          <w:lang w:val="zh-CN"/>
        </w:rPr>
      </w:pPr>
      <w:r>
        <w:rPr>
          <w:rFonts w:hint="eastAsia" w:ascii="宋体" w:hAnsi="宋体" w:cs="宋体"/>
          <w:b/>
          <w:color w:val="auto"/>
          <w:szCs w:val="24"/>
          <w:highlight w:val="none"/>
        </w:rPr>
        <w:t>第一章 合同书</w:t>
      </w:r>
    </w:p>
    <w:p>
      <w:pPr>
        <w:spacing w:line="360" w:lineRule="auto"/>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杭州临江环境能源有限公司</w:t>
      </w:r>
      <w:r>
        <w:rPr>
          <w:rFonts w:hint="eastAsia" w:ascii="宋体" w:hAnsi="宋体"/>
          <w:color w:val="auto"/>
          <w:sz w:val="24"/>
          <w:highlight w:val="none"/>
        </w:rPr>
        <w:t>以</w:t>
      </w:r>
      <w:r>
        <w:rPr>
          <w:rFonts w:ascii="宋体" w:hAnsi="宋体"/>
          <w:color w:val="auto"/>
          <w:sz w:val="24"/>
          <w:highlight w:val="none"/>
          <w:u w:val="single"/>
        </w:rPr>
        <w:t xml:space="preserve">  </w:t>
      </w:r>
      <w:r>
        <w:rPr>
          <w:rFonts w:hint="eastAsia" w:ascii="宋体" w:hAnsi="宋体"/>
          <w:color w:val="auto"/>
          <w:sz w:val="24"/>
          <w:highlight w:val="none"/>
          <w:u w:val="single"/>
        </w:rPr>
        <w:t>询价</w:t>
      </w:r>
      <w:r>
        <w:rPr>
          <w:rFonts w:hint="eastAsia" w:ascii="宋体" w:hAnsi="宋体"/>
          <w:color w:val="auto"/>
          <w:sz w:val="24"/>
          <w:highlight w:val="none"/>
        </w:rPr>
        <w:t>形式对</w:t>
      </w:r>
      <w:r>
        <w:rPr>
          <w:rFonts w:ascii="宋体" w:hAnsi="宋体"/>
          <w:color w:val="auto"/>
          <w:sz w:val="24"/>
          <w:highlight w:val="none"/>
          <w:u w:val="single"/>
        </w:rPr>
        <w:t xml:space="preserve">  </w:t>
      </w:r>
      <w:r>
        <w:rPr>
          <w:rFonts w:hint="eastAsia" w:ascii="宋体" w:hAnsi="宋体" w:cs="宋体"/>
          <w:color w:val="auto"/>
          <w:sz w:val="24"/>
          <w:highlight w:val="none"/>
          <w:u w:val="single"/>
        </w:rPr>
        <w:t xml:space="preserve">（项目名称）  </w:t>
      </w:r>
      <w:r>
        <w:rPr>
          <w:rFonts w:ascii="宋体" w:hAnsi="宋体"/>
          <w:color w:val="auto"/>
          <w:sz w:val="24"/>
          <w:highlight w:val="none"/>
          <w:u w:val="single"/>
        </w:rPr>
        <w:t xml:space="preserve">  </w:t>
      </w:r>
      <w:r>
        <w:rPr>
          <w:rFonts w:hint="eastAsia" w:ascii="宋体" w:hAnsi="宋体"/>
          <w:color w:val="auto"/>
          <w:sz w:val="24"/>
          <w:highlight w:val="none"/>
        </w:rPr>
        <w:t>项目进行了采购。经</w:t>
      </w:r>
      <w:r>
        <w:rPr>
          <w:rFonts w:ascii="宋体" w:hAnsi="宋体"/>
          <w:color w:val="auto"/>
          <w:sz w:val="24"/>
          <w:highlight w:val="none"/>
          <w:u w:val="single"/>
        </w:rPr>
        <w:t xml:space="preserve">   </w:t>
      </w:r>
      <w:r>
        <w:rPr>
          <w:rFonts w:hint="eastAsia" w:ascii="宋体" w:hAnsi="宋体"/>
          <w:color w:val="auto"/>
          <w:sz w:val="24"/>
          <w:highlight w:val="none"/>
          <w:u w:val="single"/>
        </w:rPr>
        <w:t>政采云评标专家/评标小组</w:t>
      </w:r>
      <w:r>
        <w:rPr>
          <w:rFonts w:ascii="宋体" w:hAnsi="宋体"/>
          <w:color w:val="auto"/>
          <w:sz w:val="24"/>
          <w:highlight w:val="none"/>
          <w:u w:val="single"/>
        </w:rPr>
        <w:t xml:space="preserve">  </w:t>
      </w:r>
      <w:r>
        <w:rPr>
          <w:rFonts w:hint="eastAsia" w:ascii="宋体" w:hAnsi="宋体"/>
          <w:color w:val="auto"/>
          <w:sz w:val="24"/>
          <w:highlight w:val="none"/>
        </w:rPr>
        <w:t>评定，</w:t>
      </w:r>
      <w:r>
        <w:rPr>
          <w:rFonts w:ascii="宋体" w:hAnsi="宋体"/>
          <w:color w:val="auto"/>
          <w:sz w:val="24"/>
          <w:highlight w:val="none"/>
          <w:u w:val="single"/>
        </w:rPr>
        <w:t xml:space="preserve">   （中标</w:t>
      </w:r>
      <w:r>
        <w:rPr>
          <w:rFonts w:hint="eastAsia" w:ascii="宋体" w:hAnsi="宋体"/>
          <w:color w:val="auto"/>
          <w:sz w:val="24"/>
          <w:highlight w:val="none"/>
          <w:u w:val="single"/>
        </w:rPr>
        <w:t>或者成交</w:t>
      </w:r>
      <w:r>
        <w:rPr>
          <w:rFonts w:ascii="宋体" w:hAnsi="宋体"/>
          <w:color w:val="auto"/>
          <w:sz w:val="24"/>
          <w:highlight w:val="none"/>
          <w:u w:val="single"/>
        </w:rPr>
        <w:t xml:space="preserve">供应商名称） </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发出之日起30个日内，按照采购文件确定的事项签订本合同。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根据《中华人民共和国民法典》等相关法律法规之规定，按照平等、自愿、公平和诚实信用的原则，经</w:t>
      </w:r>
      <w:r>
        <w:rPr>
          <w:rFonts w:ascii="宋体" w:hAnsi="宋体"/>
          <w:color w:val="auto"/>
          <w:sz w:val="24"/>
          <w:highlight w:val="none"/>
          <w:u w:val="single"/>
        </w:rPr>
        <w:t xml:space="preserve">   </w:t>
      </w:r>
      <w:r>
        <w:rPr>
          <w:rFonts w:hint="eastAsia" w:ascii="宋体" w:hAnsi="宋体"/>
          <w:color w:val="auto"/>
          <w:sz w:val="24"/>
          <w:highlight w:val="none"/>
          <w:u w:val="single"/>
        </w:rPr>
        <w:t>杭州临江环境能源有限公司</w:t>
      </w:r>
      <w:r>
        <w:rPr>
          <w:rFonts w:ascii="宋体" w:hAnsi="宋体"/>
          <w:color w:val="auto"/>
          <w:sz w:val="24"/>
          <w:highlight w:val="none"/>
          <w:u w:val="single"/>
        </w:rPr>
        <w:t xml:space="preserve">   </w:t>
      </w:r>
      <w:r>
        <w:rPr>
          <w:rFonts w:ascii="宋体" w:hAnsi="宋体"/>
          <w:color w:val="auto"/>
          <w:sz w:val="24"/>
          <w:highlight w:val="none"/>
          <w:lang w:val="zh-CN"/>
        </w:rPr>
        <w:t>(以下简称：甲方)和</w:t>
      </w:r>
      <w:r>
        <w:rPr>
          <w:rFonts w:ascii="宋体" w:hAnsi="宋体"/>
          <w:color w:val="auto"/>
          <w:sz w:val="24"/>
          <w:highlight w:val="none"/>
          <w:u w:val="single"/>
        </w:rPr>
        <w:t xml:space="preserve">   （中</w:t>
      </w:r>
      <w:r>
        <w:rPr>
          <w:rFonts w:hint="eastAsia" w:ascii="宋体" w:hAnsi="宋体"/>
          <w:color w:val="auto"/>
          <w:sz w:val="24"/>
          <w:highlight w:val="none"/>
          <w:u w:val="single"/>
        </w:rPr>
        <w:t>或者成交</w:t>
      </w:r>
      <w:r>
        <w:rPr>
          <w:rFonts w:ascii="宋体" w:hAnsi="宋体"/>
          <w:color w:val="auto"/>
          <w:sz w:val="24"/>
          <w:highlight w:val="none"/>
          <w:u w:val="single"/>
        </w:rPr>
        <w:t xml:space="preserve">标供应商名称）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pPr>
        <w:spacing w:line="360" w:lineRule="auto"/>
        <w:ind w:firstLine="482" w:firstLineChars="200"/>
        <w:outlineLvl w:val="0"/>
        <w:rPr>
          <w:rFonts w:ascii="宋体" w:hAnsi="宋体"/>
          <w:color w:val="auto"/>
          <w:sz w:val="24"/>
          <w:highlight w:val="none"/>
        </w:rPr>
      </w:pPr>
      <w:bookmarkStart w:id="385" w:name="_Toc22967"/>
      <w:bookmarkStart w:id="386" w:name="_Toc15367"/>
      <w:bookmarkStart w:id="387" w:name="_Toc28855"/>
      <w:bookmarkStart w:id="388" w:name="_Toc20421"/>
      <w:bookmarkStart w:id="389" w:name="_Toc19273"/>
      <w:r>
        <w:rPr>
          <w:rFonts w:hint="eastAsia" w:ascii="宋体" w:hAnsi="宋体"/>
          <w:b/>
          <w:color w:val="auto"/>
          <w:sz w:val="24"/>
          <w:highlight w:val="none"/>
        </w:rPr>
        <w:t>一、</w:t>
      </w:r>
      <w:r>
        <w:rPr>
          <w:rFonts w:ascii="宋体" w:hAnsi="宋体"/>
          <w:b/>
          <w:color w:val="auto"/>
          <w:sz w:val="24"/>
          <w:highlight w:val="none"/>
        </w:rPr>
        <w:t xml:space="preserve"> </w:t>
      </w:r>
      <w:r>
        <w:rPr>
          <w:rFonts w:hint="eastAsia" w:ascii="宋体" w:hAnsi="宋体"/>
          <w:b/>
          <w:color w:val="auto"/>
          <w:sz w:val="24"/>
          <w:highlight w:val="none"/>
        </w:rPr>
        <w:t>合同组成部分</w:t>
      </w:r>
      <w:bookmarkEnd w:id="385"/>
      <w:bookmarkEnd w:id="386"/>
      <w:bookmarkEnd w:id="387"/>
      <w:bookmarkEnd w:id="388"/>
      <w:bookmarkEnd w:id="389"/>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本合同及其补充合同、变更协议；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2.中标或者成交通知书；</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3.投标或者响应文件（含澄清或者说明文件）；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4.采购文件（含澄清或者修改文件）；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5.其他相关采购文件。</w:t>
      </w:r>
    </w:p>
    <w:p>
      <w:pPr>
        <w:spacing w:line="360" w:lineRule="auto"/>
        <w:ind w:firstLine="482" w:firstLineChars="200"/>
        <w:outlineLvl w:val="0"/>
        <w:rPr>
          <w:rFonts w:ascii="宋体" w:hAnsi="宋体"/>
          <w:b/>
          <w:color w:val="auto"/>
          <w:sz w:val="24"/>
          <w:highlight w:val="none"/>
        </w:rPr>
      </w:pPr>
      <w:bookmarkStart w:id="390" w:name="_Toc6773"/>
      <w:bookmarkStart w:id="391" w:name="_Toc18585"/>
      <w:bookmarkStart w:id="392" w:name="_Toc2918"/>
      <w:bookmarkStart w:id="393" w:name="_Toc22185"/>
      <w:bookmarkStart w:id="394" w:name="_Toc6311"/>
      <w:r>
        <w:rPr>
          <w:rFonts w:hint="eastAsia" w:ascii="宋体" w:hAnsi="宋体"/>
          <w:b/>
          <w:color w:val="auto"/>
          <w:sz w:val="24"/>
          <w:highlight w:val="none"/>
        </w:rPr>
        <w:t>二、合同标的</w:t>
      </w:r>
      <w:bookmarkEnd w:id="390"/>
      <w:bookmarkEnd w:id="391"/>
      <w:bookmarkEnd w:id="392"/>
      <w:bookmarkEnd w:id="393"/>
      <w:bookmarkEnd w:id="394"/>
      <w:r>
        <w:rPr>
          <w:rFonts w:hint="eastAsia" w:ascii="宋体" w:hAnsi="宋体"/>
          <w:b/>
          <w:color w:val="auto"/>
          <w:sz w:val="24"/>
          <w:highlight w:val="none"/>
        </w:rPr>
        <w:t>及价款</w:t>
      </w:r>
    </w:p>
    <w:p>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元人民币），其中服务费￥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%；货物</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w:t>
      </w:r>
      <w:r>
        <w:rPr>
          <w:rFonts w:hint="eastAsia" w:ascii="宋体" w:hAnsi="宋体"/>
          <w:color w:val="auto"/>
          <w:sz w:val="24"/>
          <w:highlight w:val="non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1.服务内容</w:t>
      </w:r>
      <w:r>
        <w:rPr>
          <w:rFonts w:ascii="宋体" w:hAnsi="宋体"/>
          <w:color w:val="auto"/>
          <w:sz w:val="24"/>
          <w:highlight w:val="none"/>
        </w:rPr>
        <w:t>：</w:t>
      </w:r>
      <w:r>
        <w:rPr>
          <w:rFonts w:hint="eastAsia" w:ascii="宋体" w:hAnsi="宋体"/>
          <w:color w:val="auto"/>
          <w:sz w:val="24"/>
          <w:highlight w:val="none"/>
        </w:rPr>
        <w:t>对杭州临江环境能源有限公司110kV升压站通信线路及设备进行运维，具体内容如下：</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（1）临能电厂110kV升压站通信设备SDH 1套、接入设备PCM 2套、综合配线架1台、录音电话2台、电力调制解调器2台及相配套电缆；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（2）临能电厂110kV升压站调度数据网二套，含路由器 2台、交换机4台、纵向加密装置4台；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（3）临能电厂110kV升压站三区数据网一套，含路由器 1台、交换机1台、防火墙 1台；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（4）临能电厂110kV升压站安防设备一套，含入侵检测装置1台、防病毒服务器2台、防火墙 2台；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（5）临能电厂110kV升压站红线内的引入光缆2条(从红线至光纤配线架)；</w:t>
      </w:r>
    </w:p>
    <w:p>
      <w:pPr>
        <w:spacing w:line="360" w:lineRule="auto"/>
        <w:ind w:firstLine="480" w:firstLineChars="200"/>
        <w:rPr>
          <w:color w:val="auto"/>
          <w:highlight w:val="none"/>
        </w:rPr>
      </w:pPr>
      <w:r>
        <w:rPr>
          <w:rFonts w:hint="eastAsia" w:ascii="宋体" w:hAnsi="宋体"/>
          <w:color w:val="auto"/>
          <w:sz w:val="24"/>
          <w:highlight w:val="none"/>
        </w:rPr>
        <w:t>（6）对以上五类设备、线路及所有与电力数据网络相关设备的日常维护、故障抢修及设备故障件的免费维修、免费提供应急备件</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甲方</w:t>
      </w:r>
      <w:r>
        <w:rPr>
          <w:rFonts w:hint="eastAsia"/>
          <w:color w:val="auto"/>
          <w:highlight w:val="none"/>
          <w:lang w:val="en-US" w:eastAsia="zh-CN"/>
        </w:rPr>
        <w:t>完成备件采购后由乙方免费替换</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color w:val="auto"/>
          <w:highlight w:val="none"/>
        </w:rPr>
        <w:t>对接、协调电力相关部门</w:t>
      </w:r>
      <w:r>
        <w:rPr>
          <w:rFonts w:hint="eastAsia" w:ascii="宋体" w:hAnsi="宋体"/>
          <w:color w:val="auto"/>
          <w:sz w:val="24"/>
          <w:highlight w:val="none"/>
        </w:rPr>
        <w:t>等服务。</w:t>
      </w:r>
      <w:r>
        <w:rPr>
          <w:rFonts w:ascii="宋体" w:hAnsi="宋体"/>
          <w:color w:val="auto"/>
          <w:sz w:val="24"/>
          <w:highlight w:val="none"/>
        </w:rPr>
        <w:t xml:space="preserve"> </w:t>
      </w:r>
    </w:p>
    <w:p>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2.服务费采用以下第</w:t>
      </w:r>
      <w:r>
        <w:rPr>
          <w:rFonts w:hint="eastAsia" w:ascii="宋体" w:hAnsi="宋体" w:cs="宋体"/>
          <w:color w:val="auto"/>
          <w:sz w:val="24"/>
          <w:highlight w:val="none"/>
          <w:u w:val="single"/>
        </w:rPr>
        <w:t xml:space="preserve">  （1）  </w:t>
      </w:r>
      <w:r>
        <w:rPr>
          <w:rFonts w:hint="eastAsia" w:ascii="宋体" w:hAnsi="宋体" w:cs="宋体"/>
          <w:color w:val="auto"/>
          <w:sz w:val="24"/>
          <w:highlight w:val="none"/>
        </w:rPr>
        <w:t>条款规定的计价方式计价。</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元人民币），税率为</w:t>
      </w:r>
      <w:r>
        <w:rPr>
          <w:rFonts w:hint="eastAsia" w:ascii="宋体" w:hAnsi="宋体"/>
          <w:color w:val="auto"/>
          <w:sz w:val="24"/>
          <w:highlight w:val="none"/>
          <w:u w:val="single"/>
        </w:rPr>
        <w:t xml:space="preserve">  </w:t>
      </w:r>
      <w:r>
        <w:rPr>
          <w:rFonts w:hint="eastAsia" w:ascii="宋体" w:hAnsi="宋体"/>
          <w:b/>
          <w:b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s="宋体"/>
          <w:color w:val="auto"/>
          <w:sz w:val="24"/>
          <w:highlight w:val="none"/>
        </w:rPr>
        <w:t>单价和总价中均包括了服务类、运费、安装调试费、人工费、服务费、税率、杂费等所有费用，</w:t>
      </w:r>
      <w:r>
        <w:rPr>
          <w:rFonts w:ascii="宋体" w:hAnsi="宋体" w:cs="宋体"/>
          <w:color w:val="auto"/>
          <w:sz w:val="24"/>
          <w:highlight w:val="none"/>
        </w:rPr>
        <w:t>该价格已包含甲方为履行本合同所需的全部费用，未列名的分项视为优惠,</w:t>
      </w:r>
      <w:r>
        <w:rPr>
          <w:rFonts w:hint="eastAsia" w:ascii="宋体" w:hAnsi="宋体" w:cs="宋体"/>
          <w:color w:val="auto"/>
          <w:sz w:val="24"/>
          <w:highlight w:val="none"/>
        </w:rPr>
        <w:t>本合同履行中，甲方不再另行支付任何费用。</w:t>
      </w:r>
    </w:p>
    <w:p>
      <w:pPr>
        <w:spacing w:line="360" w:lineRule="auto"/>
        <w:ind w:firstLine="480" w:firstLineChars="200"/>
        <w:rPr>
          <w:rFonts w:ascii="宋体" w:hAnsi="宋体"/>
          <w:color w:val="auto"/>
          <w:sz w:val="24"/>
          <w:highlight w:val="none"/>
        </w:rPr>
      </w:pPr>
      <w:r>
        <w:rPr>
          <w:rFonts w:hint="eastAsia" w:ascii="宋体" w:hAnsi="宋体"/>
          <w:bCs/>
          <w:color w:val="auto"/>
          <w:sz w:val="24"/>
          <w:highlight w:val="none"/>
        </w:rPr>
        <w:t>（2）单价合同，</w:t>
      </w:r>
      <w:r>
        <w:rPr>
          <w:rFonts w:hint="eastAsia" w:ascii="宋体" w:hAnsi="宋体"/>
          <w:color w:val="auto"/>
          <w:sz w:val="24"/>
          <w:highlight w:val="none"/>
        </w:rPr>
        <w:t>在合同履行期间内，根据实际完成的工作量据实按分项单价结算，但结算总价上限不得超过预算金额或者双方确定的金额￥</w:t>
      </w:r>
      <w:r>
        <w:rPr>
          <w:rFonts w:ascii="宋体" w:hAnsi="宋体"/>
          <w:color w:val="auto"/>
          <w:sz w:val="24"/>
          <w:highlight w:val="none"/>
          <w:u w:val="single"/>
        </w:rPr>
        <w:t xml:space="preserve">   </w:t>
      </w:r>
      <w:r>
        <w:rPr>
          <w:rFonts w:hint="eastAsia" w:ascii="宋体" w:hAnsi="宋体"/>
          <w:color w:val="auto"/>
          <w:sz w:val="24"/>
          <w:highlight w:val="none"/>
          <w:u w:val="singl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元人民币）该分项价格已包含甲方为履行本合同所需的全部费用，未列名的分项视为优惠,本合同履行中，甲方不再另行支付任何费用。</w:t>
      </w:r>
    </w:p>
    <w:p>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（3）分项清单如下：</w:t>
      </w:r>
      <w:r>
        <w:rPr>
          <w:rFonts w:hint="eastAsia" w:ascii="宋体" w:hAnsi="宋体" w:cs="宋体"/>
          <w:color w:val="auto"/>
          <w:sz w:val="24"/>
          <w:highlight w:val="none"/>
        </w:rPr>
        <w:t xml:space="preserve"> </w:t>
      </w:r>
    </w:p>
    <w:tbl>
      <w:tblPr>
        <w:tblStyle w:val="15"/>
        <w:tblW w:w="8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99"/>
        <w:gridCol w:w="1650"/>
        <w:gridCol w:w="2119"/>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5" w:type="dxa"/>
            <w:vAlign w:val="center"/>
          </w:tcPr>
          <w:p>
            <w:pPr>
              <w:pStyle w:val="26"/>
              <w:spacing w:line="560" w:lineRule="exact"/>
              <w:jc w:val="center"/>
              <w:rPr>
                <w:rFonts w:hAnsi="宋体"/>
                <w:color w:val="auto"/>
                <w:sz w:val="24"/>
                <w:szCs w:val="24"/>
                <w:highlight w:val="none"/>
              </w:rPr>
            </w:pPr>
            <w:r>
              <w:rPr>
                <w:rFonts w:hAnsi="宋体"/>
                <w:color w:val="auto"/>
                <w:sz w:val="24"/>
                <w:szCs w:val="24"/>
                <w:highlight w:val="none"/>
              </w:rPr>
              <w:t>序号</w:t>
            </w:r>
          </w:p>
        </w:tc>
        <w:tc>
          <w:tcPr>
            <w:tcW w:w="2599" w:type="dxa"/>
            <w:vAlign w:val="center"/>
          </w:tcPr>
          <w:p>
            <w:pPr>
              <w:pStyle w:val="26"/>
              <w:spacing w:line="560" w:lineRule="exact"/>
              <w:ind w:firstLine="200"/>
              <w:jc w:val="center"/>
              <w:rPr>
                <w:rFonts w:hAnsi="宋体"/>
                <w:color w:val="auto"/>
                <w:sz w:val="24"/>
                <w:szCs w:val="24"/>
                <w:highlight w:val="none"/>
              </w:rPr>
            </w:pPr>
            <w:r>
              <w:rPr>
                <w:rFonts w:hint="eastAsia" w:hAnsi="宋体"/>
                <w:color w:val="auto"/>
                <w:sz w:val="24"/>
                <w:szCs w:val="24"/>
                <w:highlight w:val="none"/>
              </w:rPr>
              <w:t>分项名称</w:t>
            </w:r>
          </w:p>
        </w:tc>
        <w:tc>
          <w:tcPr>
            <w:tcW w:w="1650" w:type="dxa"/>
            <w:vAlign w:val="center"/>
          </w:tcPr>
          <w:p>
            <w:pPr>
              <w:pStyle w:val="26"/>
              <w:spacing w:line="560" w:lineRule="exact"/>
              <w:jc w:val="center"/>
              <w:rPr>
                <w:rFonts w:hAnsi="宋体"/>
                <w:color w:val="auto"/>
                <w:sz w:val="24"/>
                <w:szCs w:val="24"/>
                <w:highlight w:val="none"/>
              </w:rPr>
            </w:pPr>
            <w:r>
              <w:rPr>
                <w:rFonts w:hint="eastAsia" w:hAnsi="宋体"/>
                <w:color w:val="auto"/>
                <w:sz w:val="24"/>
                <w:szCs w:val="24"/>
                <w:highlight w:val="none"/>
              </w:rPr>
              <w:t>分项数量</w:t>
            </w:r>
          </w:p>
        </w:tc>
        <w:tc>
          <w:tcPr>
            <w:tcW w:w="2119" w:type="dxa"/>
            <w:vAlign w:val="center"/>
          </w:tcPr>
          <w:p>
            <w:pPr>
              <w:pStyle w:val="26"/>
              <w:spacing w:line="560" w:lineRule="exact"/>
              <w:jc w:val="center"/>
              <w:rPr>
                <w:rFonts w:hAnsi="宋体"/>
                <w:color w:val="auto"/>
                <w:sz w:val="24"/>
                <w:szCs w:val="24"/>
                <w:highlight w:val="none"/>
              </w:rPr>
            </w:pPr>
            <w:r>
              <w:rPr>
                <w:rFonts w:hAnsi="宋体"/>
                <w:color w:val="auto"/>
                <w:sz w:val="24"/>
                <w:szCs w:val="24"/>
                <w:highlight w:val="none"/>
              </w:rPr>
              <w:t>分项价格</w:t>
            </w:r>
          </w:p>
        </w:tc>
        <w:tc>
          <w:tcPr>
            <w:tcW w:w="1744" w:type="dxa"/>
            <w:vAlign w:val="center"/>
          </w:tcPr>
          <w:p>
            <w:pPr>
              <w:pStyle w:val="26"/>
              <w:spacing w:line="560" w:lineRule="exact"/>
              <w:jc w:val="center"/>
              <w:rPr>
                <w:rFonts w:hAnsi="宋体"/>
                <w:color w:val="auto"/>
                <w:sz w:val="24"/>
                <w:szCs w:val="24"/>
                <w:highlight w:val="none"/>
              </w:rPr>
            </w:pPr>
            <w:r>
              <w:rPr>
                <w:rFonts w:hint="eastAsia" w:hAnsi="宋体"/>
                <w:color w:val="auto"/>
                <w:sz w:val="24"/>
                <w:szCs w:val="24"/>
                <w:highlight w:val="none"/>
              </w:rPr>
              <w:t>分项金额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5" w:type="dxa"/>
            <w:vAlign w:val="center"/>
          </w:tcPr>
          <w:p>
            <w:pPr>
              <w:pStyle w:val="26"/>
              <w:spacing w:line="560" w:lineRule="exact"/>
              <w:ind w:firstLine="200"/>
              <w:jc w:val="center"/>
              <w:rPr>
                <w:rFonts w:hAnsi="宋体"/>
                <w:color w:val="auto"/>
                <w:sz w:val="24"/>
                <w:szCs w:val="24"/>
                <w:highlight w:val="none"/>
              </w:rPr>
            </w:pPr>
            <w:r>
              <w:rPr>
                <w:rFonts w:hint="eastAsia" w:hAnsi="宋体"/>
                <w:color w:val="auto"/>
                <w:sz w:val="24"/>
                <w:szCs w:val="24"/>
                <w:highlight w:val="none"/>
              </w:rPr>
              <w:t>1</w:t>
            </w:r>
          </w:p>
        </w:tc>
        <w:tc>
          <w:tcPr>
            <w:tcW w:w="2599" w:type="dxa"/>
            <w:vAlign w:val="center"/>
          </w:tcPr>
          <w:p>
            <w:pPr>
              <w:pStyle w:val="26"/>
              <w:spacing w:line="560" w:lineRule="exact"/>
              <w:ind w:firstLine="200"/>
              <w:jc w:val="center"/>
              <w:rPr>
                <w:rFonts w:hAnsi="宋体"/>
                <w:color w:val="auto"/>
                <w:sz w:val="24"/>
                <w:szCs w:val="24"/>
                <w:highlight w:val="none"/>
              </w:rPr>
            </w:pPr>
            <w:r>
              <w:rPr>
                <w:rFonts w:hint="eastAsia" w:hAnsi="宋体"/>
                <w:color w:val="auto"/>
                <w:sz w:val="24"/>
                <w:szCs w:val="24"/>
                <w:highlight w:val="none"/>
              </w:rPr>
              <w:t>/</w:t>
            </w:r>
          </w:p>
        </w:tc>
        <w:tc>
          <w:tcPr>
            <w:tcW w:w="1650" w:type="dxa"/>
            <w:vAlign w:val="center"/>
          </w:tcPr>
          <w:p>
            <w:pPr>
              <w:pStyle w:val="26"/>
              <w:spacing w:line="560" w:lineRule="exact"/>
              <w:ind w:firstLine="200"/>
              <w:jc w:val="center"/>
              <w:rPr>
                <w:rFonts w:hAnsi="宋体"/>
                <w:color w:val="auto"/>
                <w:sz w:val="24"/>
                <w:szCs w:val="24"/>
                <w:highlight w:val="none"/>
              </w:rPr>
            </w:pPr>
            <w:r>
              <w:rPr>
                <w:rFonts w:hint="eastAsia" w:hAnsi="宋体"/>
                <w:color w:val="auto"/>
                <w:sz w:val="24"/>
                <w:szCs w:val="24"/>
                <w:highlight w:val="none"/>
              </w:rPr>
              <w:t>/</w:t>
            </w:r>
          </w:p>
        </w:tc>
        <w:tc>
          <w:tcPr>
            <w:tcW w:w="2119" w:type="dxa"/>
            <w:vAlign w:val="center"/>
          </w:tcPr>
          <w:p>
            <w:pPr>
              <w:pStyle w:val="26"/>
              <w:spacing w:line="560" w:lineRule="exact"/>
              <w:ind w:firstLine="200"/>
              <w:jc w:val="center"/>
              <w:rPr>
                <w:rFonts w:hAnsi="宋体"/>
                <w:color w:val="auto"/>
                <w:sz w:val="24"/>
                <w:szCs w:val="24"/>
                <w:highlight w:val="none"/>
              </w:rPr>
            </w:pPr>
            <w:r>
              <w:rPr>
                <w:rFonts w:hint="eastAsia" w:hAnsi="宋体"/>
                <w:color w:val="auto"/>
                <w:sz w:val="24"/>
                <w:szCs w:val="24"/>
                <w:highlight w:val="none"/>
              </w:rPr>
              <w:t>/</w:t>
            </w:r>
          </w:p>
        </w:tc>
        <w:tc>
          <w:tcPr>
            <w:tcW w:w="1744" w:type="dxa"/>
            <w:vAlign w:val="center"/>
          </w:tcPr>
          <w:p>
            <w:pPr>
              <w:pStyle w:val="26"/>
              <w:spacing w:line="560" w:lineRule="exact"/>
              <w:ind w:firstLine="200"/>
              <w:jc w:val="center"/>
              <w:rPr>
                <w:rFonts w:hAnsi="宋体"/>
                <w:color w:val="auto"/>
                <w:sz w:val="24"/>
                <w:szCs w:val="24"/>
                <w:highlight w:val="none"/>
              </w:rPr>
            </w:pPr>
            <w:r>
              <w:rPr>
                <w:rFonts w:hint="eastAsia" w:hAnsi="宋体"/>
                <w:color w:val="auto"/>
                <w:sz w:val="24"/>
                <w:szCs w:val="24"/>
                <w:highlight w:val="none"/>
              </w:rPr>
              <w:t>/</w:t>
            </w:r>
          </w:p>
        </w:tc>
      </w:tr>
    </w:tbl>
    <w:p>
      <w:pPr>
        <w:pStyle w:val="4"/>
        <w:tabs>
          <w:tab w:val="left" w:pos="432"/>
        </w:tabs>
        <w:ind w:firstLine="240" w:firstLineChars="100"/>
        <w:rPr>
          <w:rFonts w:ascii="宋体" w:hAnsi="宋体" w:eastAsia="宋体" w:cs="宋体"/>
          <w:b w:val="0"/>
          <w:bCs w:val="0"/>
          <w:color w:val="auto"/>
          <w:sz w:val="24"/>
          <w:szCs w:val="24"/>
          <w:highlight w:val="none"/>
        </w:rPr>
      </w:pPr>
      <w:r>
        <w:rPr>
          <w:rFonts w:hint="eastAsia" w:ascii="宋体" w:hAnsi="宋体" w:eastAsia="宋体"/>
          <w:b w:val="0"/>
          <w:bCs w:val="0"/>
          <w:color w:val="auto"/>
          <w:sz w:val="24"/>
          <w:szCs w:val="24"/>
          <w:highlight w:val="none"/>
        </w:rPr>
        <w:t xml:space="preserve">（4）其他计价方式： </w:t>
      </w:r>
      <w:r>
        <w:rPr>
          <w:rFonts w:hint="eastAsia" w:ascii="宋体" w:hAnsi="宋体" w:eastAsia="宋体"/>
          <w:b w:val="0"/>
          <w:bCs w:val="0"/>
          <w:color w:val="auto"/>
          <w:sz w:val="24"/>
          <w:szCs w:val="24"/>
          <w:highlight w:val="none"/>
          <w:u w:val="single"/>
        </w:rPr>
        <w:t xml:space="preserve">                  。</w:t>
      </w:r>
    </w:p>
    <w:p>
      <w:pPr>
        <w:pStyle w:val="25"/>
        <w:spacing w:before="0" w:beforeAutospacing="0" w:after="0" w:afterAutospacing="0" w:line="360" w:lineRule="auto"/>
        <w:ind w:firstLine="480"/>
        <w:rPr>
          <w:color w:val="auto"/>
          <w:highlight w:val="none"/>
        </w:rPr>
      </w:pPr>
      <w:r>
        <w:rPr>
          <w:rFonts w:hint="eastAsia"/>
          <w:color w:val="auto"/>
          <w:highlight w:val="none"/>
        </w:rPr>
        <w:t>3.合同</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否</w:t>
      </w:r>
      <w:r>
        <w:rPr>
          <w:color w:val="auto"/>
          <w:highlight w:val="none"/>
          <w:u w:val="single"/>
        </w:rPr>
        <w:t xml:space="preserve">  </w:t>
      </w:r>
      <w:r>
        <w:rPr>
          <w:rFonts w:hint="eastAsia"/>
          <w:color w:val="auto"/>
          <w:highlight w:val="none"/>
        </w:rPr>
        <w:t>涉及货物。若涉及货物的的，</w:t>
      </w:r>
      <w:r>
        <w:rPr>
          <w:rFonts w:hint="eastAsia" w:cs="Times New Roman"/>
          <w:color w:val="auto"/>
          <w:kern w:val="2"/>
          <w:highlight w:val="none"/>
        </w:rPr>
        <w:t xml:space="preserve">货物采用以下第 </w:t>
      </w:r>
      <w:r>
        <w:rPr>
          <w:rFonts w:hint="eastAsia" w:cs="Times New Roman"/>
          <w:color w:val="auto"/>
          <w:kern w:val="2"/>
          <w:highlight w:val="none"/>
          <w:u w:val="single"/>
        </w:rPr>
        <w:t xml:space="preserve">  /   </w:t>
      </w:r>
      <w:r>
        <w:rPr>
          <w:rFonts w:hint="eastAsia" w:cs="Times New Roman"/>
          <w:color w:val="auto"/>
          <w:kern w:val="2"/>
          <w:highlight w:val="none"/>
        </w:rPr>
        <w:t>条款规定的计价方式计价。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olor w:val="auto"/>
          <w:sz w:val="24"/>
          <w:highlight w:val="none"/>
        </w:rPr>
        <w:t>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元人民币），税率为</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cs="宋体"/>
          <w:color w:val="auto"/>
          <w:sz w:val="24"/>
          <w:highlight w:val="none"/>
        </w:rPr>
        <w:t>单价和总价中均包括了服务类、运费、安装调试费、人工费、服务费、税率、杂费等所有费用，该价格已包含甲方为履行本合同所需的全部费用，未列名的分项视为优惠,本合同履行中，甲方不再另行支付任何费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（2）单价合同，</w:t>
      </w:r>
      <w:r>
        <w:rPr>
          <w:rFonts w:hint="eastAsia" w:ascii="宋体" w:hAnsi="宋体" w:cs="宋体"/>
          <w:color w:val="auto"/>
          <w:sz w:val="24"/>
          <w:highlight w:val="none"/>
          <w:u w:val="single"/>
        </w:rPr>
        <w:t>/</w:t>
      </w:r>
      <w:r>
        <w:rPr>
          <w:rFonts w:hint="eastAsia" w:ascii="宋体" w:hAnsi="宋体" w:cs="宋体"/>
          <w:color w:val="auto"/>
          <w:sz w:val="24"/>
          <w:highlight w:val="none"/>
        </w:rPr>
        <w:t>。合同清单内货物价格为综合价格，含货款、税金、安装调试费、车辆费、工具费等所有费用。</w:t>
      </w:r>
    </w:p>
    <w:p>
      <w:pPr>
        <w:spacing w:line="360" w:lineRule="auto"/>
        <w:ind w:firstLine="480" w:firstLineChars="200"/>
        <w:rPr>
          <w:color w:val="auto"/>
          <w:highlight w:val="none"/>
        </w:rPr>
      </w:pPr>
      <w:r>
        <w:rPr>
          <w:rFonts w:hint="eastAsia" w:ascii="宋体" w:hAnsi="宋体" w:cs="宋体"/>
          <w:color w:val="auto"/>
          <w:sz w:val="24"/>
          <w:highlight w:val="none"/>
        </w:rPr>
        <w:t>（3）</w:t>
      </w:r>
      <w:r>
        <w:rPr>
          <w:rFonts w:ascii="宋体" w:hAnsi="宋体"/>
          <w:color w:val="auto"/>
          <w:sz w:val="24"/>
          <w:highlight w:val="none"/>
        </w:rPr>
        <w:t>分项价格</w:t>
      </w:r>
      <w:r>
        <w:rPr>
          <w:rFonts w:hint="eastAsia" w:ascii="宋体" w:hAnsi="宋体" w:cs="宋体"/>
          <w:color w:val="auto"/>
          <w:sz w:val="24"/>
          <w:highlight w:val="none"/>
        </w:rPr>
        <w:t>如下：</w:t>
      </w:r>
    </w:p>
    <w:tbl>
      <w:tblPr>
        <w:tblStyle w:val="15"/>
        <w:tblW w:w="8795"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921"/>
        <w:gridCol w:w="1629"/>
        <w:gridCol w:w="1632"/>
        <w:gridCol w:w="859"/>
        <w:gridCol w:w="745"/>
        <w:gridCol w:w="1178"/>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 w:type="dxa"/>
            <w:shd w:val="clear" w:color="auto" w:fill="auto"/>
            <w:vAlign w:val="center"/>
          </w:tcPr>
          <w:p>
            <w:pPr>
              <w:pStyle w:val="4"/>
              <w:tabs>
                <w:tab w:val="left" w:pos="432"/>
              </w:tabs>
              <w:jc w:val="center"/>
              <w:rPr>
                <w:rFonts w:ascii="宋体" w:hAnsi="宋体" w:eastAsia="宋体"/>
                <w:b w:val="0"/>
                <w:color w:val="auto"/>
                <w:sz w:val="24"/>
                <w:szCs w:val="24"/>
                <w:highlight w:val="none"/>
              </w:rPr>
            </w:pPr>
            <w:bookmarkStart w:id="395" w:name="_Toc5635"/>
            <w:bookmarkStart w:id="396" w:name="_Toc21124"/>
            <w:bookmarkStart w:id="397" w:name="_Toc4929"/>
            <w:bookmarkStart w:id="398" w:name="_Toc13918"/>
            <w:bookmarkStart w:id="399" w:name="_Toc1386"/>
            <w:r>
              <w:rPr>
                <w:rFonts w:hint="eastAsia" w:ascii="宋体" w:hAnsi="宋体" w:eastAsia="宋体"/>
                <w:b w:val="0"/>
                <w:color w:val="auto"/>
                <w:sz w:val="24"/>
                <w:szCs w:val="24"/>
                <w:highlight w:val="none"/>
              </w:rPr>
              <w:t>序号</w:t>
            </w:r>
          </w:p>
        </w:tc>
        <w:tc>
          <w:tcPr>
            <w:tcW w:w="921" w:type="dxa"/>
            <w:shd w:val="clear" w:color="auto" w:fill="auto"/>
            <w:vAlign w:val="center"/>
          </w:tcPr>
          <w:p>
            <w:pPr>
              <w:pStyle w:val="4"/>
              <w:tabs>
                <w:tab w:val="left" w:pos="432"/>
              </w:tabs>
              <w:jc w:val="center"/>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货物名称</w:t>
            </w:r>
          </w:p>
        </w:tc>
        <w:tc>
          <w:tcPr>
            <w:tcW w:w="1629" w:type="dxa"/>
            <w:shd w:val="clear" w:color="auto" w:fill="auto"/>
            <w:vAlign w:val="center"/>
          </w:tcPr>
          <w:p>
            <w:pPr>
              <w:pStyle w:val="4"/>
              <w:tabs>
                <w:tab w:val="left" w:pos="432"/>
              </w:tabs>
              <w:jc w:val="center"/>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规格型号/技术要求</w:t>
            </w:r>
          </w:p>
        </w:tc>
        <w:tc>
          <w:tcPr>
            <w:tcW w:w="1632" w:type="dxa"/>
            <w:shd w:val="clear" w:color="auto" w:fill="auto"/>
            <w:vAlign w:val="center"/>
          </w:tcPr>
          <w:p>
            <w:pPr>
              <w:pStyle w:val="4"/>
              <w:tabs>
                <w:tab w:val="left" w:pos="432"/>
              </w:tabs>
              <w:jc w:val="center"/>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品牌/制造商</w:t>
            </w:r>
          </w:p>
        </w:tc>
        <w:tc>
          <w:tcPr>
            <w:tcW w:w="859" w:type="dxa"/>
            <w:shd w:val="clear" w:color="auto" w:fill="auto"/>
            <w:vAlign w:val="center"/>
          </w:tcPr>
          <w:p>
            <w:pPr>
              <w:pStyle w:val="4"/>
              <w:tabs>
                <w:tab w:val="left" w:pos="432"/>
              </w:tabs>
              <w:jc w:val="center"/>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暂定数量</w:t>
            </w:r>
          </w:p>
        </w:tc>
        <w:tc>
          <w:tcPr>
            <w:tcW w:w="745" w:type="dxa"/>
            <w:shd w:val="clear" w:color="auto" w:fill="auto"/>
            <w:vAlign w:val="center"/>
          </w:tcPr>
          <w:p>
            <w:pPr>
              <w:pStyle w:val="4"/>
              <w:tabs>
                <w:tab w:val="left" w:pos="432"/>
              </w:tabs>
              <w:jc w:val="center"/>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单价</w:t>
            </w:r>
          </w:p>
        </w:tc>
        <w:tc>
          <w:tcPr>
            <w:tcW w:w="1178" w:type="dxa"/>
            <w:shd w:val="clear" w:color="auto" w:fill="auto"/>
            <w:vAlign w:val="center"/>
          </w:tcPr>
          <w:p>
            <w:pPr>
              <w:pStyle w:val="4"/>
              <w:tabs>
                <w:tab w:val="left" w:pos="432"/>
              </w:tabs>
              <w:jc w:val="center"/>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金额</w:t>
            </w:r>
          </w:p>
        </w:tc>
        <w:tc>
          <w:tcPr>
            <w:tcW w:w="1145" w:type="dxa"/>
            <w:shd w:val="clear" w:color="auto" w:fill="auto"/>
            <w:vAlign w:val="center"/>
          </w:tcPr>
          <w:p>
            <w:pPr>
              <w:pStyle w:val="4"/>
              <w:tabs>
                <w:tab w:val="left" w:pos="432"/>
              </w:tabs>
              <w:jc w:val="center"/>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6" w:type="dxa"/>
            <w:shd w:val="clear" w:color="auto" w:fill="auto"/>
            <w:vAlign w:val="center"/>
          </w:tcPr>
          <w:p>
            <w:pPr>
              <w:pStyle w:val="4"/>
              <w:tabs>
                <w:tab w:val="left" w:pos="432"/>
              </w:tabs>
              <w:jc w:val="center"/>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1</w:t>
            </w:r>
          </w:p>
        </w:tc>
        <w:tc>
          <w:tcPr>
            <w:tcW w:w="921" w:type="dxa"/>
            <w:shd w:val="clear" w:color="auto" w:fill="auto"/>
            <w:vAlign w:val="center"/>
          </w:tcPr>
          <w:p>
            <w:pPr>
              <w:pStyle w:val="4"/>
              <w:tabs>
                <w:tab w:val="left" w:pos="432"/>
              </w:tabs>
              <w:jc w:val="center"/>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w:t>
            </w:r>
          </w:p>
        </w:tc>
        <w:tc>
          <w:tcPr>
            <w:tcW w:w="1629" w:type="dxa"/>
            <w:shd w:val="clear" w:color="auto" w:fill="auto"/>
            <w:vAlign w:val="center"/>
          </w:tcPr>
          <w:p>
            <w:pPr>
              <w:pStyle w:val="4"/>
              <w:tabs>
                <w:tab w:val="left" w:pos="432"/>
              </w:tabs>
              <w:jc w:val="center"/>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w:t>
            </w:r>
          </w:p>
        </w:tc>
        <w:tc>
          <w:tcPr>
            <w:tcW w:w="1632" w:type="dxa"/>
            <w:shd w:val="clear" w:color="auto" w:fill="auto"/>
            <w:vAlign w:val="center"/>
          </w:tcPr>
          <w:p>
            <w:pPr>
              <w:pStyle w:val="4"/>
              <w:tabs>
                <w:tab w:val="left" w:pos="432"/>
              </w:tabs>
              <w:jc w:val="center"/>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w:t>
            </w:r>
          </w:p>
        </w:tc>
        <w:tc>
          <w:tcPr>
            <w:tcW w:w="859" w:type="dxa"/>
            <w:shd w:val="clear" w:color="auto" w:fill="auto"/>
            <w:vAlign w:val="center"/>
          </w:tcPr>
          <w:p>
            <w:pPr>
              <w:pStyle w:val="4"/>
              <w:tabs>
                <w:tab w:val="left" w:pos="432"/>
              </w:tabs>
              <w:jc w:val="center"/>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w:t>
            </w:r>
          </w:p>
        </w:tc>
        <w:tc>
          <w:tcPr>
            <w:tcW w:w="745" w:type="dxa"/>
            <w:shd w:val="clear" w:color="auto" w:fill="auto"/>
            <w:vAlign w:val="center"/>
          </w:tcPr>
          <w:p>
            <w:pPr>
              <w:pStyle w:val="4"/>
              <w:tabs>
                <w:tab w:val="left" w:pos="432"/>
              </w:tabs>
              <w:jc w:val="center"/>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w:t>
            </w:r>
          </w:p>
        </w:tc>
        <w:tc>
          <w:tcPr>
            <w:tcW w:w="1178" w:type="dxa"/>
            <w:shd w:val="clear" w:color="auto" w:fill="auto"/>
            <w:vAlign w:val="center"/>
          </w:tcPr>
          <w:p>
            <w:pPr>
              <w:pStyle w:val="4"/>
              <w:tabs>
                <w:tab w:val="left" w:pos="432"/>
              </w:tabs>
              <w:jc w:val="center"/>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w:t>
            </w:r>
          </w:p>
        </w:tc>
        <w:tc>
          <w:tcPr>
            <w:tcW w:w="1145" w:type="dxa"/>
            <w:shd w:val="clear" w:color="auto" w:fill="auto"/>
            <w:vAlign w:val="center"/>
          </w:tcPr>
          <w:p>
            <w:pPr>
              <w:pStyle w:val="4"/>
              <w:tabs>
                <w:tab w:val="left" w:pos="432"/>
              </w:tabs>
              <w:jc w:val="center"/>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w:t>
            </w:r>
          </w:p>
        </w:tc>
      </w:tr>
    </w:tbl>
    <w:p>
      <w:pPr>
        <w:spacing w:line="360" w:lineRule="auto"/>
        <w:ind w:firstLine="480" w:firstLineChars="200"/>
        <w:rPr>
          <w:rFonts w:ascii="宋体" w:hAnsi="宋体" w:cs="宋体"/>
          <w:color w:val="auto"/>
          <w:sz w:val="24"/>
          <w:highlight w:val="none"/>
          <w:u w:val="single"/>
        </w:rPr>
      </w:pPr>
      <w:r>
        <w:rPr>
          <w:rFonts w:hint="eastAsia" w:ascii="仿宋" w:hAnsi="仿宋" w:eastAsia="仿宋" w:cs="仿宋"/>
          <w:color w:val="auto"/>
          <w:sz w:val="24"/>
          <w:highlight w:val="none"/>
        </w:rPr>
        <w:t>①</w:t>
      </w:r>
      <w:r>
        <w:rPr>
          <w:rFonts w:hint="eastAsia" w:ascii="宋体" w:hAnsi="宋体" w:cs="宋体"/>
          <w:color w:val="auto"/>
          <w:sz w:val="24"/>
          <w:highlight w:val="none"/>
        </w:rPr>
        <w:t>货物名称、品牌、规格型号：</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仿宋" w:hAnsi="仿宋" w:eastAsia="仿宋" w:cs="仿宋"/>
          <w:color w:val="auto"/>
          <w:sz w:val="24"/>
          <w:highlight w:val="none"/>
        </w:rPr>
        <w:t>②</w:t>
      </w:r>
      <w:r>
        <w:rPr>
          <w:rFonts w:hint="eastAsia" w:ascii="宋体" w:hAnsi="宋体" w:cs="宋体"/>
          <w:color w:val="auto"/>
          <w:sz w:val="24"/>
          <w:highlight w:val="none"/>
        </w:rPr>
        <w:t>货物税率：</w:t>
      </w:r>
      <w:r>
        <w:rPr>
          <w:rFonts w:hint="eastAsia" w:ascii="宋体" w:hAnsi="宋体" w:cs="宋体"/>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u w:val="single"/>
        </w:rPr>
      </w:pPr>
      <w:r>
        <w:rPr>
          <w:rFonts w:hint="eastAsia" w:ascii="仿宋" w:hAnsi="仿宋" w:eastAsia="仿宋" w:cs="仿宋"/>
          <w:color w:val="auto"/>
          <w:sz w:val="24"/>
          <w:highlight w:val="none"/>
        </w:rPr>
        <w:t>③</w:t>
      </w:r>
      <w:r>
        <w:rPr>
          <w:rFonts w:hint="eastAsia" w:ascii="宋体" w:hAnsi="宋体" w:cs="宋体"/>
          <w:color w:val="auto"/>
          <w:sz w:val="24"/>
          <w:highlight w:val="none"/>
        </w:rPr>
        <w:t>货物数量：</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u w:val="single"/>
        </w:rPr>
      </w:pPr>
      <w:r>
        <w:rPr>
          <w:rFonts w:hint="eastAsia" w:ascii="仿宋" w:hAnsi="仿宋" w:eastAsia="仿宋" w:cs="仿宋"/>
          <w:color w:val="auto"/>
          <w:sz w:val="24"/>
          <w:highlight w:val="none"/>
        </w:rPr>
        <w:t>④</w:t>
      </w:r>
      <w:r>
        <w:rPr>
          <w:rFonts w:hint="eastAsia" w:ascii="宋体" w:hAnsi="宋体" w:cs="宋体"/>
          <w:color w:val="auto"/>
          <w:sz w:val="24"/>
          <w:highlight w:val="none"/>
        </w:rPr>
        <w:t>货物质量要求：</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bookmarkEnd w:id="395"/>
    <w:bookmarkEnd w:id="396"/>
    <w:bookmarkEnd w:id="397"/>
    <w:bookmarkEnd w:id="398"/>
    <w:bookmarkEnd w:id="399"/>
    <w:p>
      <w:pPr>
        <w:spacing w:line="360" w:lineRule="auto"/>
        <w:ind w:firstLine="482" w:firstLineChars="200"/>
        <w:outlineLvl w:val="0"/>
        <w:rPr>
          <w:rFonts w:ascii="宋体" w:hAnsi="宋体"/>
          <w:b/>
          <w:color w:val="auto"/>
          <w:sz w:val="24"/>
          <w:highlight w:val="none"/>
        </w:rPr>
      </w:pPr>
      <w:bookmarkStart w:id="400" w:name="_Toc22618"/>
      <w:bookmarkStart w:id="401" w:name="_Toc1814"/>
      <w:bookmarkStart w:id="402" w:name="_Toc10340"/>
      <w:bookmarkStart w:id="403" w:name="_Toc4760"/>
      <w:bookmarkStart w:id="404" w:name="_Toc11108"/>
      <w:bookmarkStart w:id="405" w:name="_Toc31421"/>
      <w:bookmarkStart w:id="406" w:name="_Toc3625"/>
      <w:bookmarkStart w:id="407" w:name="_Toc8772"/>
      <w:r>
        <w:rPr>
          <w:rFonts w:hint="eastAsia" w:ascii="宋体" w:hAnsi="宋体"/>
          <w:b/>
          <w:color w:val="auto"/>
          <w:sz w:val="24"/>
          <w:highlight w:val="none"/>
        </w:rPr>
        <w:t>三、</w:t>
      </w:r>
      <w:r>
        <w:rPr>
          <w:rFonts w:ascii="宋体" w:hAnsi="宋体"/>
          <w:b/>
          <w:color w:val="auto"/>
          <w:sz w:val="24"/>
          <w:highlight w:val="none"/>
        </w:rPr>
        <w:t>履行期限</w:t>
      </w:r>
      <w:r>
        <w:rPr>
          <w:rFonts w:hint="eastAsia" w:ascii="宋体" w:hAnsi="宋体"/>
          <w:b/>
          <w:color w:val="auto"/>
          <w:sz w:val="24"/>
          <w:highlight w:val="none"/>
        </w:rPr>
        <w:t>、地点、联系方式、交付方式</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1.服务交付（实施）的时间（期限）</w:t>
      </w:r>
      <w:r>
        <w:rPr>
          <w:rFonts w:ascii="宋体" w:hAnsi="宋体"/>
          <w:color w:val="auto"/>
          <w:sz w:val="24"/>
          <w:highlight w:val="none"/>
        </w:rPr>
        <w:t>：</w:t>
      </w:r>
      <w:r>
        <w:rPr>
          <w:rFonts w:hint="eastAsia" w:ascii="宋体" w:hAnsi="宋体"/>
          <w:color w:val="auto"/>
          <w:sz w:val="24"/>
          <w:highlight w:val="none"/>
          <w:u w:val="single"/>
        </w:rPr>
        <w:t xml:space="preserve"> 自合同签订后</w:t>
      </w:r>
      <w:r>
        <w:rPr>
          <w:rFonts w:hint="eastAsia" w:ascii="宋体" w:hAnsi="宋体"/>
          <w:b/>
          <w:bCs/>
          <w:color w:val="auto"/>
          <w:sz w:val="24"/>
          <w:highlight w:val="none"/>
          <w:u w:val="single"/>
        </w:rPr>
        <w:t>12个月</w:t>
      </w:r>
      <w:r>
        <w:rPr>
          <w:rFonts w:hint="eastAsia" w:ascii="宋体" w:hAnsi="宋体" w:cs="宋体"/>
          <w:color w:val="auto"/>
          <w:sz w:val="24"/>
          <w:highlight w:val="none"/>
          <w:u w:val="single"/>
        </w:rPr>
        <w:t xml:space="preserve"> </w:t>
      </w:r>
      <w:r>
        <w:rPr>
          <w:rFonts w:hint="eastAsia" w:ascii="宋体" w:hAnsi="宋体"/>
          <w:b/>
          <w:bCs/>
          <w:color w:val="auto"/>
          <w:sz w:val="24"/>
          <w:highlight w:val="none"/>
          <w:u w:val="single"/>
        </w:rPr>
        <w:t xml:space="preserve"> </w:t>
      </w:r>
      <w:r>
        <w:rPr>
          <w:rFonts w:hint="eastAsia" w:ascii="宋体" w:hAnsi="宋体"/>
          <w:color w:val="auto"/>
          <w:sz w:val="24"/>
          <w:highlight w:val="non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2.服</w:t>
      </w:r>
      <w:r>
        <w:rPr>
          <w:rFonts w:hint="eastAsia" w:ascii="宋体" w:hAnsi="宋体" w:cs="宋体"/>
          <w:color w:val="auto"/>
          <w:sz w:val="24"/>
          <w:highlight w:val="none"/>
        </w:rPr>
        <w:t>务交付（实施）的地点（地域范围）：</w:t>
      </w:r>
      <w:r>
        <w:rPr>
          <w:rFonts w:hint="eastAsia" w:ascii="宋体" w:hAnsi="宋体"/>
          <w:b/>
          <w:i/>
          <w:color w:val="auto"/>
          <w:sz w:val="24"/>
          <w:highlight w:val="none"/>
          <w:u w:val="single"/>
        </w:rPr>
        <w:t xml:space="preserve"> </w:t>
      </w:r>
      <w:r>
        <w:rPr>
          <w:rFonts w:hint="eastAsia" w:ascii="宋体" w:hAnsi="宋体"/>
          <w:b/>
          <w:iCs/>
          <w:color w:val="auto"/>
          <w:sz w:val="24"/>
          <w:highlight w:val="none"/>
          <w:u w:val="single"/>
        </w:rPr>
        <w:t xml:space="preserve">浙江省杭州市钱塘区临江街道红十五路10388-123号，杭州临江环境能源有限公司厂区内 </w:t>
      </w:r>
      <w:r>
        <w:rPr>
          <w:rFonts w:hint="eastAsia" w:ascii="宋体" w:hAnsi="宋体"/>
          <w:iCs/>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3.服务交付（实施）的方式：</w:t>
      </w:r>
      <w:r>
        <w:rPr>
          <w:rFonts w:hint="eastAsia" w:ascii="宋体" w:hAnsi="宋体"/>
          <w:b/>
          <w:i/>
          <w:color w:val="auto"/>
          <w:sz w:val="24"/>
          <w:highlight w:val="none"/>
          <w:u w:val="single"/>
        </w:rPr>
        <w:t xml:space="preserve"> </w:t>
      </w:r>
      <w:r>
        <w:rPr>
          <w:rFonts w:hint="eastAsia" w:ascii="宋体" w:hAnsi="宋体"/>
          <w:bCs/>
          <w:iCs/>
          <w:color w:val="auto"/>
          <w:sz w:val="24"/>
          <w:highlight w:val="none"/>
          <w:u w:val="single"/>
        </w:rPr>
        <w:t xml:space="preserve">每季度的巡视、维护及检修书面报告；紧急情况的处理，现场设备完成恢复 </w:t>
      </w:r>
      <w:r>
        <w:rPr>
          <w:rFonts w:hint="eastAsia" w:ascii="宋体" w:hAnsi="宋体"/>
          <w:b/>
          <w:i/>
          <w:color w:val="auto"/>
          <w:sz w:val="24"/>
          <w:highlight w:val="none"/>
          <w:u w:val="single"/>
        </w:rPr>
        <w:t xml:space="preserve">   </w:t>
      </w:r>
      <w:r>
        <w:rPr>
          <w:rFonts w:hint="eastAsia" w:ascii="宋体" w:hAnsi="宋体"/>
          <w:color w:val="auto"/>
          <w:sz w:val="24"/>
          <w:highlight w:val="none"/>
        </w:rPr>
        <w:t>。</w:t>
      </w:r>
    </w:p>
    <w:p>
      <w:pPr>
        <w:spacing w:line="360" w:lineRule="auto"/>
        <w:ind w:firstLine="480" w:firstLineChars="200"/>
        <w:outlineLvl w:val="0"/>
        <w:rPr>
          <w:rFonts w:ascii="宋体" w:hAnsi="宋体" w:cs="宋体"/>
          <w:color w:val="auto"/>
          <w:sz w:val="24"/>
          <w:highlight w:val="none"/>
          <w:u w:val="single"/>
        </w:rPr>
      </w:pPr>
      <w:r>
        <w:rPr>
          <w:rFonts w:hint="eastAsia" w:ascii="宋体" w:hAnsi="宋体"/>
          <w:bCs/>
          <w:color w:val="auto"/>
          <w:sz w:val="24"/>
          <w:highlight w:val="none"/>
        </w:rPr>
        <w:t>4.</w:t>
      </w:r>
      <w:r>
        <w:rPr>
          <w:rFonts w:hint="eastAsia" w:ascii="宋体" w:hAnsi="宋体" w:cs="宋体"/>
          <w:color w:val="auto"/>
          <w:sz w:val="24"/>
          <w:highlight w:val="none"/>
        </w:rPr>
        <w:t>交付甲方联系人及联系方式：</w:t>
      </w:r>
      <w:r>
        <w:rPr>
          <w:rFonts w:hint="eastAsia" w:ascii="宋体" w:hAnsi="宋体" w:cs="宋体"/>
          <w:color w:val="auto"/>
          <w:sz w:val="24"/>
          <w:highlight w:val="none"/>
          <w:u w:val="single"/>
        </w:rPr>
        <w:t xml:space="preserve">    王亮，15988832859           ；</w:t>
      </w:r>
    </w:p>
    <w:p>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pPr>
        <w:spacing w:line="360" w:lineRule="auto"/>
        <w:ind w:firstLine="480" w:firstLineChars="200"/>
        <w:outlineLvl w:val="0"/>
        <w:rPr>
          <w:rFonts w:ascii="宋体" w:hAnsi="宋体"/>
          <w:bCs/>
          <w:color w:val="auto"/>
          <w:sz w:val="24"/>
          <w:highlight w:val="none"/>
        </w:rPr>
      </w:pPr>
      <w:r>
        <w:rPr>
          <w:rFonts w:hint="eastAsia" w:ascii="宋体" w:hAnsi="宋体"/>
          <w:bCs/>
          <w:color w:val="auto"/>
          <w:sz w:val="24"/>
          <w:highlight w:val="none"/>
        </w:rPr>
        <w:t>6.若服务</w:t>
      </w:r>
      <w:r>
        <w:rPr>
          <w:rFonts w:hint="eastAsia"/>
          <w:bCs/>
          <w:color w:val="auto"/>
          <w:sz w:val="24"/>
          <w:highlight w:val="none"/>
        </w:rPr>
        <w:t>涉及货物的，则货物的：</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（1）交付期限：</w:t>
      </w:r>
      <w:r>
        <w:rPr>
          <w:rFonts w:hint="eastAsia" w:ascii="宋体" w:hAnsi="宋体" w:cs="宋体"/>
          <w:b/>
          <w:i/>
          <w:color w:val="auto"/>
          <w:sz w:val="24"/>
          <w:highlight w:val="none"/>
          <w:u w:val="single"/>
        </w:rPr>
        <w:t xml:space="preserve">    /     </w:t>
      </w:r>
      <w:r>
        <w:rPr>
          <w:rFonts w:hint="eastAsia" w:ascii="宋体" w:hAnsi="宋体" w:cs="宋体"/>
          <w:color w:val="auto"/>
          <w:sz w:val="24"/>
          <w:highlight w:val="none"/>
        </w:rPr>
        <w:t>；</w:t>
      </w:r>
    </w:p>
    <w:p>
      <w:pPr>
        <w:spacing w:line="360" w:lineRule="auto"/>
        <w:ind w:firstLine="480" w:firstLineChars="200"/>
        <w:rPr>
          <w:rFonts w:ascii="宋体" w:hAnsi="宋体" w:cs="宋体"/>
          <w:iCs/>
          <w:color w:val="auto"/>
          <w:sz w:val="24"/>
          <w:highlight w:val="none"/>
        </w:rPr>
      </w:pPr>
      <w:r>
        <w:rPr>
          <w:rFonts w:hint="eastAsia" w:ascii="宋体" w:hAnsi="宋体" w:cs="宋体"/>
          <w:color w:val="auto"/>
          <w:sz w:val="24"/>
          <w:highlight w:val="none"/>
        </w:rPr>
        <w:t>（2）交付地点：</w:t>
      </w:r>
      <w:r>
        <w:rPr>
          <w:rFonts w:hint="eastAsia" w:ascii="宋体" w:hAnsi="宋体" w:cs="宋体"/>
          <w:b/>
          <w:iCs/>
          <w:color w:val="auto"/>
          <w:sz w:val="24"/>
          <w:highlight w:val="none"/>
          <w:u w:val="single"/>
        </w:rPr>
        <w:t xml:space="preserve">/    </w:t>
      </w:r>
      <w:r>
        <w:rPr>
          <w:rFonts w:hint="eastAsia" w:ascii="宋体" w:hAnsi="宋体" w:cs="宋体"/>
          <w:iCs/>
          <w:color w:val="auto"/>
          <w:sz w:val="24"/>
          <w:highlight w:val="none"/>
        </w:rPr>
        <w:t>；</w:t>
      </w:r>
    </w:p>
    <w:p>
      <w:pPr>
        <w:spacing w:line="360" w:lineRule="auto"/>
        <w:ind w:firstLine="480" w:firstLineChars="200"/>
        <w:rPr>
          <w:rFonts w:ascii="宋体" w:hAnsi="宋体" w:cs="宋体"/>
          <w:iCs/>
          <w:color w:val="auto"/>
          <w:sz w:val="24"/>
          <w:highlight w:val="none"/>
        </w:rPr>
      </w:pPr>
      <w:r>
        <w:rPr>
          <w:rFonts w:hint="eastAsia" w:ascii="宋体" w:hAnsi="宋体" w:cs="宋体"/>
          <w:iCs/>
          <w:color w:val="auto"/>
          <w:sz w:val="24"/>
          <w:highlight w:val="none"/>
        </w:rPr>
        <w:t>（3） 交付方式：</w:t>
      </w:r>
      <w:r>
        <w:rPr>
          <w:rFonts w:hint="eastAsia" w:ascii="宋体" w:hAnsi="宋体" w:cs="宋体"/>
          <w:b/>
          <w:iCs/>
          <w:color w:val="auto"/>
          <w:sz w:val="24"/>
          <w:highlight w:val="none"/>
          <w:u w:val="single"/>
        </w:rPr>
        <w:t xml:space="preserve">   /    </w:t>
      </w:r>
      <w:r>
        <w:rPr>
          <w:rFonts w:hint="eastAsia" w:ascii="宋体" w:hAnsi="宋体" w:cs="宋体"/>
          <w:iCs/>
          <w:color w:val="auto"/>
          <w:sz w:val="24"/>
          <w:highlight w:val="none"/>
        </w:rPr>
        <w:t>。</w:t>
      </w:r>
    </w:p>
    <w:p>
      <w:pPr>
        <w:spacing w:line="360" w:lineRule="auto"/>
        <w:ind w:firstLine="482" w:firstLineChars="200"/>
        <w:outlineLvl w:val="0"/>
        <w:rPr>
          <w:rFonts w:ascii="宋体" w:hAnsi="宋体" w:cs="宋体"/>
          <w:b/>
          <w:color w:val="auto"/>
          <w:kern w:val="0"/>
          <w:sz w:val="24"/>
          <w:highlight w:val="none"/>
        </w:rPr>
      </w:pPr>
      <w:r>
        <w:rPr>
          <w:rFonts w:hint="eastAsia" w:ascii="宋体" w:hAnsi="宋体" w:cs="宋体"/>
          <w:b/>
          <w:color w:val="auto"/>
          <w:kern w:val="0"/>
          <w:sz w:val="24"/>
          <w:highlight w:val="none"/>
        </w:rPr>
        <w:t>四、质量和服务要求</w:t>
      </w:r>
    </w:p>
    <w:p>
      <w:pPr>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1.根据甲方要求按时、按质、按量完成服务，履行合同义务。</w:t>
      </w:r>
    </w:p>
    <w:p>
      <w:pPr>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 xml:space="preserve">2.乙方所供货物应满足合同约定要求，有国家、地方、行业标准、规范（含强制适用标准、规范和推荐适用标准、规范）的，按相应标准、规范执行（不同标准、规范之间要求不一的，按要求较高者执行）；若为非标件的货物应以满足甲方要求为基本质量标准。 </w:t>
      </w:r>
    </w:p>
    <w:p>
      <w:pPr>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3.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4.甲方不再对任何售后服务进行付费，乙方的派遣人员产生的一切费用由供应商承担。</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5.乙方每季度巡视一次，全年共四次，并出具巡视、维护及检修书面报告。</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6.乙方专业巡视结束后，巡视记录应巡视后交付给甲方。乙方对巡视中发现的设备和光缆线路上可能危及通信网络安全运行等危险点提出具体预防措施。</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7.负责甲方相关设备和线路发生故障后的事故抢修，并确保在接到乙方的故障保修电话及时响应。对于网络双通道中断故障，应立即赶赴现场；网络单通道中断故障，应在12小时内到达现场进行抢修并向甲方提供具体抢修方案。</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8. 根据设备和线路实际运行状况，及时向甲方提交大修计划。</w:t>
      </w:r>
    </w:p>
    <w:p>
      <w:pPr>
        <w:pStyle w:val="7"/>
        <w:ind w:firstLine="480" w:firstLineChars="200"/>
        <w:rPr>
          <w:color w:val="auto"/>
          <w:highlight w:val="none"/>
        </w:rPr>
      </w:pPr>
      <w:r>
        <w:rPr>
          <w:rFonts w:hint="eastAsia"/>
          <w:color w:val="auto"/>
          <w:highlight w:val="none"/>
          <w:lang w:val="en-US"/>
        </w:rPr>
        <w:t>9.乙方</w:t>
      </w:r>
      <w:r>
        <w:rPr>
          <w:rFonts w:hint="eastAsia"/>
          <w:color w:val="auto"/>
          <w:highlight w:val="none"/>
        </w:rPr>
        <w:t>负责技术服务过程中的机械及人员的安全，加强对技术服务人员的安全教育及防范措施，</w:t>
      </w:r>
      <w:r>
        <w:rPr>
          <w:rFonts w:hint="eastAsia"/>
          <w:color w:val="auto"/>
          <w:highlight w:val="none"/>
          <w:lang w:val="en-US"/>
        </w:rPr>
        <w:t>乙方</w:t>
      </w:r>
      <w:r>
        <w:rPr>
          <w:rFonts w:hint="eastAsia"/>
          <w:color w:val="auto"/>
          <w:highlight w:val="none"/>
        </w:rPr>
        <w:t>技术服务过程中发生的任何质量、安全责任事故及工伤事故等，责任均由</w:t>
      </w:r>
      <w:r>
        <w:rPr>
          <w:rFonts w:hint="eastAsia"/>
          <w:color w:val="auto"/>
          <w:highlight w:val="none"/>
          <w:lang w:val="en-US"/>
        </w:rPr>
        <w:t>乙方</w:t>
      </w:r>
      <w:r>
        <w:rPr>
          <w:rFonts w:hint="eastAsia"/>
          <w:color w:val="auto"/>
          <w:highlight w:val="none"/>
        </w:rPr>
        <w:t>承担。</w:t>
      </w:r>
    </w:p>
    <w:p>
      <w:pPr>
        <w:spacing w:line="360" w:lineRule="auto"/>
        <w:ind w:firstLine="482" w:firstLineChars="200"/>
        <w:outlineLvl w:val="0"/>
        <w:rPr>
          <w:rFonts w:ascii="宋体" w:hAnsi="宋体" w:cs="宋体"/>
          <w:b/>
          <w:color w:val="auto"/>
          <w:sz w:val="24"/>
          <w:highlight w:val="none"/>
        </w:rPr>
      </w:pPr>
      <w:bookmarkStart w:id="408" w:name="_Toc6596"/>
      <w:bookmarkStart w:id="409" w:name="_Toc14563"/>
      <w:bookmarkStart w:id="410" w:name="_Toc1125"/>
      <w:r>
        <w:rPr>
          <w:rFonts w:hint="eastAsia" w:ascii="宋体" w:hAnsi="宋体" w:cs="宋体"/>
          <w:b/>
          <w:color w:val="auto"/>
          <w:sz w:val="24"/>
          <w:highlight w:val="none"/>
        </w:rPr>
        <w:t>五、检验和验收</w:t>
      </w:r>
      <w:bookmarkEnd w:id="408"/>
      <w:bookmarkEnd w:id="409"/>
      <w:bookmarkEnd w:id="410"/>
    </w:p>
    <w:p>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1.乙方按照合同的约定，完成合同约定的工作内容，甲方按照合同的约定要求进行验收。</w:t>
      </w:r>
      <w:r>
        <w:rPr>
          <w:rFonts w:hint="eastAsia" w:ascii="宋体" w:hAnsi="宋体" w:cs="宋体"/>
          <w:color w:val="auto"/>
          <w:sz w:val="24"/>
          <w:highlight w:val="none"/>
        </w:rPr>
        <w:t>若甲方认为有必要可依法邀请相关方参加。</w:t>
      </w:r>
      <w:r>
        <w:rPr>
          <w:rFonts w:hint="eastAsia" w:ascii="宋体" w:hAnsi="宋体" w:cs="宋体"/>
          <w:b/>
          <w:bCs/>
          <w:color w:val="auto"/>
          <w:sz w:val="24"/>
          <w:highlight w:val="none"/>
        </w:rPr>
        <w:t>若有验收特别约定的，按特别约定条款执行。</w:t>
      </w:r>
    </w:p>
    <w:p>
      <w:pPr>
        <w:tabs>
          <w:tab w:val="left" w:pos="360"/>
          <w:tab w:val="left" w:pos="540"/>
          <w:tab w:val="left" w:pos="108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color w:val="auto"/>
          <w:sz w:val="24"/>
          <w:highlight w:val="none"/>
        </w:rPr>
        <w:t>验收单或者验收报告</w:t>
      </w:r>
      <w:r>
        <w:rPr>
          <w:rFonts w:hint="eastAsia" w:ascii="宋体" w:hAnsi="宋体"/>
          <w:color w:val="auto"/>
          <w:sz w:val="24"/>
          <w:highlight w:val="none"/>
        </w:rPr>
        <w:t>。</w:t>
      </w:r>
    </w:p>
    <w:p>
      <w:pPr>
        <w:pStyle w:val="7"/>
        <w:ind w:firstLine="482" w:firstLineChars="200"/>
        <w:rPr>
          <w:rFonts w:hAnsi="宋体"/>
          <w:b/>
          <w:color w:val="auto"/>
          <w:highlight w:val="none"/>
        </w:rPr>
      </w:pPr>
      <w:r>
        <w:rPr>
          <w:rFonts w:hint="eastAsia" w:hAnsi="宋体"/>
          <w:b/>
          <w:color w:val="auto"/>
          <w:highlight w:val="none"/>
        </w:rPr>
        <w:t>六、验收特别约定条款</w:t>
      </w:r>
    </w:p>
    <w:p>
      <w:pPr>
        <w:tabs>
          <w:tab w:val="left" w:pos="360"/>
          <w:tab w:val="left" w:pos="540"/>
          <w:tab w:val="left" w:pos="1080"/>
        </w:tabs>
        <w:spacing w:line="360" w:lineRule="auto"/>
        <w:ind w:firstLine="480" w:firstLineChars="200"/>
        <w:rPr>
          <w:rFonts w:ascii="宋体" w:hAnsi="宋体" w:cs="宋体"/>
          <w:color w:val="auto"/>
          <w:sz w:val="24"/>
          <w:highlight w:val="none"/>
          <w:u w:val="single"/>
        </w:rPr>
      </w:pPr>
      <w:r>
        <w:rPr>
          <w:rFonts w:ascii="宋体" w:hAnsi="宋体" w:cs="宋体"/>
          <w:color w:val="auto"/>
          <w:sz w:val="24"/>
          <w:highlight w:val="none"/>
        </w:rPr>
        <w:t>1.</w:t>
      </w:r>
      <w:r>
        <w:rPr>
          <w:rFonts w:hint="eastAsia" w:ascii="宋体" w:hAnsi="宋体" w:cs="宋体"/>
          <w:color w:val="auto"/>
          <w:sz w:val="24"/>
          <w:highlight w:val="none"/>
          <w:u w:val="single"/>
        </w:rPr>
        <w:t xml:space="preserve"> 依据相关标准规范及杭州地区电力行业文件，保质保量完成本项目的维护工作，保障至省调、地调的通信、调度数据网通道的畅通，对接、协调电力相关部门的工作    ；</w:t>
      </w:r>
    </w:p>
    <w:p>
      <w:pPr>
        <w:pStyle w:val="25"/>
        <w:spacing w:before="0" w:beforeAutospacing="0" w:after="0" w:afterAutospacing="0" w:line="360" w:lineRule="auto"/>
        <w:ind w:firstLine="480"/>
        <w:rPr>
          <w:b/>
          <w:color w:val="auto"/>
          <w:highlight w:val="none"/>
        </w:rPr>
      </w:pPr>
      <w:r>
        <w:rPr>
          <w:rFonts w:hint="eastAsia"/>
          <w:b/>
          <w:color w:val="auto"/>
          <w:highlight w:val="none"/>
        </w:rPr>
        <w:t>七、履约保证金</w:t>
      </w:r>
    </w:p>
    <w:p>
      <w:pPr>
        <w:pStyle w:val="25"/>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i/>
          <w:i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2.履约保证金支付时间：乙方应于本合同签订前按招标文件和本合同约定的支付履约保证金；</w:t>
      </w:r>
    </w:p>
    <w:p>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3.履约保证金支付方式：</w:t>
      </w:r>
      <w:r>
        <w:rPr>
          <w:rFonts w:hint="eastAsia" w:ascii="宋体" w:hAnsi="宋体" w:cs="宋体"/>
          <w:color w:val="auto"/>
          <w:kern w:val="0"/>
          <w:sz w:val="24"/>
          <w:highlight w:val="none"/>
          <w:u w:val="single"/>
        </w:rPr>
        <w:t xml:space="preserve"> 电汇/转账 ；</w:t>
      </w:r>
      <w:r>
        <w:rPr>
          <w:rFonts w:hint="eastAsia" w:ascii="宋体" w:hAnsi="宋体" w:cs="宋体"/>
          <w:color w:val="auto"/>
          <w:kern w:val="0"/>
          <w:sz w:val="24"/>
          <w:highlight w:val="none"/>
        </w:rPr>
        <w:t>账户信息如下：</w:t>
      </w:r>
    </w:p>
    <w:p>
      <w:pPr>
        <w:spacing w:line="360" w:lineRule="auto"/>
        <w:ind w:firstLine="480" w:firstLineChars="200"/>
        <w:outlineLvl w:val="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 xml:space="preserve">名称：杭州临江环境能源有限公司   </w:t>
      </w:r>
    </w:p>
    <w:p>
      <w:pPr>
        <w:spacing w:line="360" w:lineRule="auto"/>
        <w:ind w:firstLine="480" w:firstLineChars="200"/>
        <w:outlineLvl w:val="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税号：91330100MA2B02NX2L</w:t>
      </w:r>
    </w:p>
    <w:p>
      <w:pPr>
        <w:spacing w:line="360" w:lineRule="auto"/>
        <w:ind w:firstLine="480" w:firstLineChars="200"/>
        <w:outlineLvl w:val="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地址电话：浙江省杭州市钱塘区临江街道红十五路10388-123号 0571-81997919</w:t>
      </w:r>
    </w:p>
    <w:p>
      <w:pPr>
        <w:spacing w:line="360" w:lineRule="auto"/>
        <w:ind w:firstLine="480" w:firstLineChars="200"/>
        <w:outlineLvl w:val="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开户行及账号：杭州银行大江东支行 3301040160008775754</w:t>
      </w:r>
    </w:p>
    <w:p>
      <w:pPr>
        <w:pStyle w:val="4"/>
        <w:tabs>
          <w:tab w:val="left" w:pos="0"/>
          <w:tab w:val="left" w:pos="432"/>
        </w:tabs>
        <w:ind w:firstLine="480" w:firstLineChars="200"/>
        <w:rPr>
          <w:color w:val="auto"/>
          <w:highlight w:val="none"/>
        </w:rPr>
      </w:pPr>
      <w:r>
        <w:rPr>
          <w:rFonts w:hint="eastAsia" w:ascii="宋体" w:hAnsi="宋体" w:eastAsia="宋体" w:cs="宋体"/>
          <w:b w:val="0"/>
          <w:bCs w:val="0"/>
          <w:color w:val="auto"/>
          <w:kern w:val="0"/>
          <w:sz w:val="24"/>
          <w:szCs w:val="24"/>
          <w:highlight w:val="none"/>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5.甲方在项目验收结束后及时退还履约保证金。甲方在项目通过验收之日起   30  个工作日内将履约保证金无息退还乙方。</w:t>
      </w:r>
    </w:p>
    <w:p>
      <w:pPr>
        <w:spacing w:line="360" w:lineRule="auto"/>
        <w:ind w:firstLine="480" w:firstLineChars="200"/>
        <w:outlineLvl w:val="0"/>
        <w:rPr>
          <w:color w:val="auto"/>
          <w:highlight w:val="none"/>
        </w:rPr>
      </w:pPr>
      <w:r>
        <w:rPr>
          <w:rFonts w:hint="eastAsia" w:ascii="宋体" w:hAnsi="宋体" w:cs="宋体"/>
          <w:color w:val="auto"/>
          <w:kern w:val="0"/>
          <w:sz w:val="24"/>
          <w:highlight w:val="none"/>
        </w:rPr>
        <w:t>6.乙方提前完成合同约定内容且无任何遗留问题，双方可提前终止合同（按第二章合同一般条款中的合同中止、终止条款执行），甲方应在终止合同之后提前退还乙方履约保证金。</w:t>
      </w:r>
    </w:p>
    <w:bookmarkEnd w:id="400"/>
    <w:bookmarkEnd w:id="401"/>
    <w:bookmarkEnd w:id="402"/>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八、预付款</w:t>
      </w:r>
    </w:p>
    <w:p>
      <w:pPr>
        <w:pStyle w:val="25"/>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pPr>
        <w:pStyle w:val="25"/>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pPr>
        <w:pStyle w:val="25"/>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pPr>
        <w:pStyle w:val="25"/>
        <w:spacing w:before="0" w:beforeAutospacing="0" w:after="0" w:afterAutospacing="0" w:line="360" w:lineRule="auto"/>
        <w:ind w:firstLine="480"/>
        <w:rPr>
          <w:b/>
          <w:bCs/>
          <w:color w:val="auto"/>
          <w:highlight w:val="none"/>
        </w:rPr>
      </w:pPr>
      <w:r>
        <w:rPr>
          <w:rFonts w:hint="eastAsia"/>
          <w:b/>
          <w:bCs/>
          <w:color w:val="auto"/>
          <w:highlight w:val="none"/>
        </w:rPr>
        <w:t>九、资金支付</w:t>
      </w:r>
    </w:p>
    <w:p>
      <w:pPr>
        <w:pStyle w:val="25"/>
        <w:spacing w:before="0" w:beforeAutospacing="0" w:after="0" w:afterAutospacing="0" w:line="360" w:lineRule="auto"/>
        <w:ind w:firstLine="480"/>
        <w:rPr>
          <w:color w:val="auto"/>
          <w:highlight w:val="none"/>
        </w:rPr>
      </w:pPr>
      <w:r>
        <w:rPr>
          <w:rFonts w:hint="eastAsia"/>
          <w:color w:val="auto"/>
          <w:highlight w:val="none"/>
        </w:rPr>
        <w:t>1.甲方应严格履行合同，及时组织验收，验收合格后及时将合同款支付完毕。对于满足合同约定支付条件的，甲方自收到合格发票后</w:t>
      </w:r>
      <w:r>
        <w:rPr>
          <w:rFonts w:hint="eastAsia"/>
          <w:b/>
          <w:bCs/>
          <w:color w:val="auto"/>
          <w:highlight w:val="none"/>
          <w:u w:val="single"/>
        </w:rPr>
        <w:t>30</w:t>
      </w:r>
      <w:r>
        <w:rPr>
          <w:rFonts w:hint="eastAsia"/>
          <w:color w:val="auto"/>
          <w:highlight w:val="none"/>
        </w:rPr>
        <w:t>个工作日内将资金支付到合同约定的乙方账户。</w:t>
      </w:r>
    </w:p>
    <w:p>
      <w:pPr>
        <w:pStyle w:val="25"/>
        <w:spacing w:before="0" w:beforeAutospacing="0" w:after="0" w:afterAutospacing="0" w:line="360" w:lineRule="auto"/>
        <w:ind w:firstLine="480"/>
        <w:rPr>
          <w:color w:val="auto"/>
          <w:highlight w:val="none"/>
        </w:rPr>
      </w:pPr>
      <w:r>
        <w:rPr>
          <w:rFonts w:hint="eastAsia"/>
          <w:color w:val="auto"/>
          <w:highlight w:val="none"/>
        </w:rPr>
        <w:t xml:space="preserve">2.本合同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（1）质保期限：</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pPr>
        <w:pStyle w:val="25"/>
        <w:spacing w:before="0" w:beforeAutospacing="0" w:after="0" w:afterAutospacing="0" w:line="360" w:lineRule="auto"/>
        <w:ind w:firstLine="480"/>
        <w:rPr>
          <w:color w:val="auto"/>
          <w:highlight w:val="none"/>
        </w:rPr>
      </w:pPr>
      <w:r>
        <w:rPr>
          <w:rFonts w:hint="eastAsia"/>
          <w:color w:val="auto"/>
          <w:highlight w:val="none"/>
        </w:rPr>
        <w:t>（2）质保金的比例为合同金额的</w:t>
      </w:r>
      <w:r>
        <w:rPr>
          <w:rFonts w:hint="eastAsia"/>
          <w:color w:val="auto"/>
          <w:highlight w:val="none"/>
          <w:u w:val="single"/>
        </w:rPr>
        <w:t xml:space="preserve"> / </w:t>
      </w:r>
      <w:r>
        <w:rPr>
          <w:rFonts w:hint="eastAsia"/>
          <w:color w:val="auto"/>
          <w:highlight w:val="none"/>
        </w:rPr>
        <w:t>%；</w:t>
      </w:r>
    </w:p>
    <w:p>
      <w:pPr>
        <w:pStyle w:val="25"/>
        <w:spacing w:before="0" w:beforeAutospacing="0" w:after="0" w:afterAutospacing="0" w:line="360" w:lineRule="auto"/>
        <w:ind w:firstLine="480"/>
        <w:rPr>
          <w:color w:val="auto"/>
          <w:highlight w:val="none"/>
        </w:rPr>
      </w:pPr>
      <w:r>
        <w:rPr>
          <w:rFonts w:hint="eastAsia"/>
          <w:color w:val="auto"/>
          <w:highlight w:val="none"/>
        </w:rPr>
        <w:t>（3）质保金支付条件：</w:t>
      </w:r>
      <w:r>
        <w:rPr>
          <w:rFonts w:hint="eastAsia"/>
          <w:color w:val="auto"/>
          <w:highlight w:val="none"/>
          <w:u w:val="single"/>
        </w:rPr>
        <w:t>质保期内无任何质量问题，双方无任何遗留问题 ，质保期结束后30天内甲方无息支付</w:t>
      </w:r>
      <w:r>
        <w:rPr>
          <w:rFonts w:hint="eastAsia"/>
          <w:color w:val="auto"/>
          <w:highlight w:val="none"/>
        </w:rPr>
        <w:t>。</w:t>
      </w:r>
    </w:p>
    <w:p>
      <w:pPr>
        <w:pStyle w:val="25"/>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eastAsia="zh-CN"/>
        </w:rPr>
        <w:t>（</w:t>
      </w:r>
      <w:r>
        <w:rPr>
          <w:rFonts w:hint="eastAsia"/>
          <w:color w:val="auto"/>
          <w:highlight w:val="none"/>
          <w:u w:val="single"/>
          <w:lang w:val="en-US" w:eastAsia="zh-CN"/>
        </w:rPr>
        <w:t>2</w:t>
      </w:r>
      <w:r>
        <w:rPr>
          <w:rFonts w:hint="eastAsia"/>
          <w:color w:val="auto"/>
          <w:highlight w:val="none"/>
          <w:u w:val="single"/>
          <w:lang w:eastAsia="zh-CN"/>
        </w:rPr>
        <w:t>）</w:t>
      </w:r>
      <w:r>
        <w:rPr>
          <w:rFonts w:hint="eastAsia"/>
          <w:color w:val="auto"/>
          <w:highlight w:val="none"/>
          <w:u w:val="single"/>
        </w:rPr>
        <w:t xml:space="preserve"> </w:t>
      </w:r>
      <w:r>
        <w:rPr>
          <w:rFonts w:hint="eastAsia"/>
          <w:color w:val="auto"/>
          <w:highlight w:val="none"/>
        </w:rPr>
        <w:t>条款规定：</w:t>
      </w:r>
    </w:p>
    <w:p>
      <w:pPr>
        <w:pStyle w:val="25"/>
        <w:spacing w:before="0" w:beforeAutospacing="0" w:after="0" w:afterAutospacing="0" w:line="360" w:lineRule="auto"/>
        <w:ind w:firstLine="480"/>
        <w:rPr>
          <w:color w:val="auto"/>
          <w:highlight w:val="none"/>
          <w:u w:val="single"/>
        </w:rPr>
      </w:pPr>
      <w:r>
        <w:rPr>
          <w:rFonts w:hint="eastAsia"/>
          <w:color w:val="auto"/>
          <w:highlight w:val="none"/>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color w:val="auto"/>
          <w:highlight w:val="none"/>
        </w:rPr>
        <w:t>按验收特别约定条款、甲方制度规定（以要求较高者为准）执行，如前述条款/规定无考核要求、标准的，乙方于次月1</w:t>
      </w:r>
      <w:r>
        <w:rPr>
          <w:b/>
          <w:bCs/>
          <w:color w:val="auto"/>
          <w:highlight w:val="none"/>
        </w:rPr>
        <w:t>5</w:t>
      </w:r>
      <w:r>
        <w:rPr>
          <w:rFonts w:hint="eastAsia"/>
          <w:b/>
          <w:bCs/>
          <w:color w:val="auto"/>
          <w:highlight w:val="none"/>
        </w:rPr>
        <w:t>日前向甲方提供增值税专用发票，</w:t>
      </w:r>
      <w:r>
        <w:rPr>
          <w:rFonts w:hint="eastAsia"/>
          <w:color w:val="auto"/>
          <w:highlight w:val="none"/>
          <w:u w:val="single"/>
        </w:rPr>
        <w:t>甲方收到乙方提供的增值税专用发票后，甲方在本合同约定时间内完成支付；</w:t>
      </w:r>
    </w:p>
    <w:p>
      <w:pPr>
        <w:pStyle w:val="25"/>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（2）按季度支付，甲方每季度对乙方上季度服务质量进行考核，经考核合格的，甲方收到乙方提供的25%合同总价款的增值税专用发票后，甲方在本合同约定时间内完成支付 ；经考核不合格的，按本合同约定的考核标准扣除相应费用；考核要求、标准</w:t>
      </w:r>
      <w:r>
        <w:rPr>
          <w:rFonts w:hint="eastAsia"/>
          <w:b/>
          <w:bCs/>
          <w:color w:val="auto"/>
          <w:highlight w:val="none"/>
        </w:rPr>
        <w:t>按验收特别约定条款、甲方制度规定（以要求较高者为准）执行，如前述条款/规定无考核要求、标准的，乙方于下一季度开始后</w:t>
      </w:r>
      <w:r>
        <w:rPr>
          <w:b/>
          <w:bCs/>
          <w:color w:val="auto"/>
          <w:highlight w:val="none"/>
        </w:rPr>
        <w:t>30</w:t>
      </w:r>
      <w:r>
        <w:rPr>
          <w:rFonts w:hint="eastAsia"/>
          <w:b/>
          <w:bCs/>
          <w:color w:val="auto"/>
          <w:highlight w:val="none"/>
        </w:rPr>
        <w:t>日内向甲方提供增值税专用发票，</w:t>
      </w:r>
      <w:r>
        <w:rPr>
          <w:rFonts w:hint="eastAsia"/>
          <w:color w:val="auto"/>
          <w:highlight w:val="none"/>
          <w:u w:val="single"/>
        </w:rPr>
        <w:t>甲方收到乙方提供的增值税专用发票后，甲方在本合同约定时间内完成支付；</w:t>
      </w:r>
    </w:p>
    <w:p>
      <w:pPr>
        <w:pStyle w:val="25"/>
        <w:spacing w:before="0" w:beforeAutospacing="0" w:after="0" w:afterAutospacing="0" w:line="360" w:lineRule="auto"/>
        <w:ind w:firstLine="480" w:firstLineChars="200"/>
        <w:rPr>
          <w:color w:val="auto"/>
          <w:highlight w:val="none"/>
        </w:rPr>
      </w:pPr>
      <w:r>
        <w:rPr>
          <w:rFonts w:hint="eastAsia"/>
          <w:color w:val="auto"/>
          <w:highlight w:val="none"/>
          <w:u w:val="single"/>
        </w:rPr>
        <w:t>（3）一次性付款，经甲方验收合格后，甲方收到乙方提供的增值税专用发票后，甲方在本合同约定时间内完成支付。</w:t>
      </w:r>
      <w:r>
        <w:rPr>
          <w:rFonts w:hint="eastAsia"/>
          <w:color w:val="auto"/>
          <w:highlight w:val="none"/>
        </w:rPr>
        <w:t xml:space="preserve">     </w:t>
      </w:r>
    </w:p>
    <w:p>
      <w:pPr>
        <w:pStyle w:val="25"/>
        <w:spacing w:before="0" w:beforeAutospacing="0" w:after="0" w:afterAutospacing="0" w:line="360" w:lineRule="auto"/>
        <w:ind w:firstLine="480" w:firstLineChars="200"/>
        <w:rPr>
          <w:color w:val="auto"/>
          <w:highlight w:val="none"/>
        </w:rPr>
      </w:pPr>
      <w:r>
        <w:rPr>
          <w:rFonts w:hint="eastAsia"/>
          <w:color w:val="auto"/>
          <w:highlight w:val="none"/>
        </w:rPr>
        <w:t>（4）</w:t>
      </w:r>
      <w:r>
        <w:rPr>
          <w:rFonts w:hint="eastAsia"/>
          <w:color w:val="auto"/>
          <w:highlight w:val="none"/>
          <w:u w:val="single"/>
        </w:rPr>
        <w:t xml:space="preserve">其他付款方式：    /         </w:t>
      </w:r>
      <w:r>
        <w:rPr>
          <w:rFonts w:hint="eastAsia"/>
          <w:color w:val="auto"/>
          <w:highlight w:val="none"/>
        </w:rPr>
        <w:t>。</w:t>
      </w:r>
    </w:p>
    <w:p>
      <w:pPr>
        <w:spacing w:line="360" w:lineRule="auto"/>
        <w:ind w:firstLine="482" w:firstLineChars="200"/>
        <w:rPr>
          <w:rFonts w:ascii="宋体" w:hAnsi="宋体"/>
          <w:color w:val="auto"/>
          <w:sz w:val="24"/>
          <w:highlight w:val="none"/>
          <w:u w:val="single"/>
        </w:rPr>
      </w:pPr>
      <w:r>
        <w:rPr>
          <w:rFonts w:hint="eastAsia" w:ascii="宋体" w:hAnsi="宋体"/>
          <w:b/>
          <w:color w:val="auto"/>
          <w:sz w:val="24"/>
          <w:highlight w:val="none"/>
        </w:rPr>
        <w:t>十、</w:t>
      </w:r>
      <w:bookmarkEnd w:id="403"/>
      <w:bookmarkEnd w:id="404"/>
      <w:bookmarkEnd w:id="405"/>
      <w:bookmarkEnd w:id="406"/>
      <w:bookmarkEnd w:id="407"/>
      <w:bookmarkStart w:id="411" w:name="_Toc3079"/>
      <w:bookmarkStart w:id="412" w:name="_Toc5698"/>
      <w:bookmarkStart w:id="413" w:name="_Toc8586"/>
      <w:bookmarkStart w:id="414" w:name="_Toc24662"/>
      <w:bookmarkStart w:id="415" w:name="_Toc2375"/>
      <w:r>
        <w:rPr>
          <w:rFonts w:hint="eastAsia" w:ascii="宋体" w:hAnsi="宋体"/>
          <w:b/>
          <w:color w:val="auto"/>
          <w:sz w:val="24"/>
          <w:highlight w:val="none"/>
        </w:rPr>
        <w:t>违约责任</w:t>
      </w:r>
      <w:bookmarkEnd w:id="411"/>
      <w:bookmarkEnd w:id="412"/>
      <w:bookmarkEnd w:id="413"/>
      <w:bookmarkEnd w:id="414"/>
      <w:bookmarkEnd w:id="415"/>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违约金每迟延</w:t>
      </w:r>
      <w:r>
        <w:rPr>
          <w:rFonts w:hint="eastAsia" w:ascii="宋体" w:hAnsi="宋体"/>
          <w:color w:val="auto"/>
          <w:sz w:val="24"/>
          <w:highlight w:val="none"/>
        </w:rPr>
        <w:t>履行</w:t>
      </w:r>
      <w:r>
        <w:rPr>
          <w:rFonts w:ascii="宋体" w:hAnsi="宋体"/>
          <w:color w:val="auto"/>
          <w:sz w:val="24"/>
          <w:highlight w:val="none"/>
        </w:rPr>
        <w:t>一日</w:t>
      </w:r>
      <w:r>
        <w:rPr>
          <w:rFonts w:hint="eastAsia" w:ascii="宋体" w:hAnsi="宋体"/>
          <w:color w:val="auto"/>
          <w:sz w:val="24"/>
          <w:highlight w:val="none"/>
        </w:rPr>
        <w:t>按本合同总价</w:t>
      </w:r>
      <w:r>
        <w:rPr>
          <w:rFonts w:ascii="宋体" w:hAnsi="宋体"/>
          <w:color w:val="auto"/>
          <w:sz w:val="24"/>
          <w:highlight w:val="none"/>
        </w:rPr>
        <w:t>的</w:t>
      </w:r>
      <w:r>
        <w:rPr>
          <w:rFonts w:hint="eastAsia" w:ascii="宋体" w:hAnsi="宋体"/>
          <w:b/>
          <w:bCs/>
          <w:color w:val="auto"/>
          <w:sz w:val="24"/>
          <w:highlight w:val="none"/>
          <w:u w:val="single"/>
        </w:rPr>
        <w:t>0.1</w:t>
      </w:r>
      <w:r>
        <w:rPr>
          <w:rFonts w:ascii="宋体" w:hAnsi="宋体"/>
          <w:b/>
          <w:bCs/>
          <w:color w:val="auto"/>
          <w:sz w:val="24"/>
          <w:highlight w:val="none"/>
        </w:rPr>
        <w:t>%</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履行达到15天</w:t>
      </w:r>
      <w:r>
        <w:rPr>
          <w:rFonts w:ascii="宋体" w:hAnsi="宋体"/>
          <w:color w:val="auto"/>
          <w:sz w:val="24"/>
          <w:highlight w:val="none"/>
        </w:rPr>
        <w:t>的</w:t>
      </w:r>
      <w:r>
        <w:rPr>
          <w:rFonts w:hint="eastAsia" w:ascii="宋体" w:hAnsi="宋体"/>
          <w:color w:val="auto"/>
          <w:sz w:val="24"/>
          <w:highlight w:val="none"/>
        </w:rPr>
        <w:t>，</w:t>
      </w:r>
      <w:r>
        <w:rPr>
          <w:rFonts w:ascii="宋体" w:hAnsi="宋体"/>
          <w:color w:val="auto"/>
          <w:sz w:val="24"/>
          <w:highlight w:val="none"/>
        </w:rPr>
        <w:t>甲方有权</w:t>
      </w:r>
      <w:r>
        <w:rPr>
          <w:rFonts w:hint="eastAsia" w:ascii="宋体" w:hAnsi="宋体"/>
          <w:color w:val="auto"/>
          <w:sz w:val="24"/>
          <w:highlight w:val="none"/>
        </w:rPr>
        <w:t>单方</w:t>
      </w:r>
      <w:r>
        <w:rPr>
          <w:rFonts w:ascii="宋体" w:hAnsi="宋体"/>
          <w:color w:val="auto"/>
          <w:sz w:val="24"/>
          <w:highlight w:val="none"/>
        </w:rPr>
        <w:t>解除本合同</w:t>
      </w:r>
      <w:r>
        <w:rPr>
          <w:rFonts w:hint="eastAsia" w:ascii="宋体" w:hAnsi="宋体"/>
          <w:color w:val="auto"/>
          <w:sz w:val="24"/>
          <w:highlight w:val="none"/>
        </w:rPr>
        <w:t>，并要求乙方一次性承担（□本合同累计已发生金额/☑合同约定总金额）</w:t>
      </w:r>
      <w:r>
        <w:rPr>
          <w:rFonts w:ascii="宋体" w:hAnsi="宋体"/>
          <w:color w:val="auto"/>
          <w:sz w:val="24"/>
          <w:highlight w:val="none"/>
        </w:rPr>
        <w:t xml:space="preserve"> 30%</w:t>
      </w:r>
      <w:r>
        <w:rPr>
          <w:rFonts w:hint="eastAsia" w:ascii="宋体" w:hAnsi="宋体"/>
          <w:color w:val="auto"/>
          <w:sz w:val="24"/>
          <w:highlight w:val="none"/>
        </w:rPr>
        <w:t>的违约金；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2.服务中涉及的货物，除不可抗力外，如果乙方没有按照本合同约定的期限、地点和方式交付货物，那么甲方可要求乙方支付违约金，迟延履行</w:t>
      </w:r>
      <w:r>
        <w:rPr>
          <w:rFonts w:ascii="宋体" w:hAnsi="宋体"/>
          <w:color w:val="auto"/>
          <w:sz w:val="24"/>
          <w:highlight w:val="none"/>
        </w:rPr>
        <w:t>违约金每迟延</w:t>
      </w:r>
      <w:r>
        <w:rPr>
          <w:rFonts w:hint="eastAsia" w:ascii="宋体" w:hAnsi="宋体"/>
          <w:color w:val="auto"/>
          <w:sz w:val="24"/>
          <w:highlight w:val="none"/>
        </w:rPr>
        <w:t>履行</w:t>
      </w:r>
      <w:r>
        <w:rPr>
          <w:rFonts w:ascii="宋体" w:hAnsi="宋体"/>
          <w:color w:val="auto"/>
          <w:sz w:val="24"/>
          <w:highlight w:val="none"/>
        </w:rPr>
        <w:t>一日</w:t>
      </w:r>
      <w:r>
        <w:rPr>
          <w:rFonts w:hint="eastAsia" w:ascii="宋体" w:hAnsi="宋体"/>
          <w:color w:val="auto"/>
          <w:sz w:val="24"/>
          <w:highlight w:val="none"/>
        </w:rPr>
        <w:t>按本合同总价</w:t>
      </w:r>
      <w:r>
        <w:rPr>
          <w:rFonts w:ascii="宋体" w:hAnsi="宋体"/>
          <w:color w:val="auto"/>
          <w:sz w:val="24"/>
          <w:highlight w:val="none"/>
        </w:rPr>
        <w:t>的</w:t>
      </w:r>
      <w:r>
        <w:rPr>
          <w:rFonts w:hint="eastAsia" w:ascii="宋体" w:hAnsi="宋体"/>
          <w:b/>
          <w:bCs/>
          <w:color w:val="auto"/>
          <w:sz w:val="24"/>
          <w:highlight w:val="none"/>
          <w:u w:val="single"/>
        </w:rPr>
        <w:t>0.1</w:t>
      </w:r>
      <w:r>
        <w:rPr>
          <w:rFonts w:ascii="宋体" w:hAnsi="宋体"/>
          <w:b/>
          <w:bCs/>
          <w:color w:val="auto"/>
          <w:sz w:val="24"/>
          <w:highlight w:val="none"/>
        </w:rPr>
        <w:t>%</w:t>
      </w:r>
      <w:r>
        <w:rPr>
          <w:rFonts w:ascii="宋体" w:hAnsi="宋体"/>
          <w:color w:val="auto"/>
          <w:sz w:val="24"/>
          <w:highlight w:val="none"/>
        </w:rPr>
        <w:t>计算</w:t>
      </w:r>
      <w:r>
        <w:rPr>
          <w:rFonts w:hint="eastAsia" w:ascii="宋体" w:hAnsi="宋体"/>
          <w:color w:val="auto"/>
          <w:sz w:val="24"/>
          <w:highlight w:val="none"/>
        </w:rPr>
        <w:t>，迟延交付达到15天的，甲方有权单方解除本合同，并要求乙方一次性承担（□本合同累计已发生金额/☑合同约定总金额）</w:t>
      </w:r>
      <w:r>
        <w:rPr>
          <w:rFonts w:ascii="宋体" w:hAnsi="宋体"/>
          <w:color w:val="auto"/>
          <w:sz w:val="24"/>
          <w:highlight w:val="none"/>
        </w:rPr>
        <w:t xml:space="preserve"> 30%</w:t>
      </w:r>
      <w:r>
        <w:rPr>
          <w:rFonts w:hint="eastAsia" w:ascii="宋体" w:hAnsi="宋体"/>
          <w:color w:val="auto"/>
          <w:sz w:val="24"/>
          <w:highlight w:val="none"/>
        </w:rPr>
        <w:t>的违约金；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3.除不可抗力外，如果甲方没有按照本合同约定的付款</w:t>
      </w:r>
      <w:r>
        <w:rPr>
          <w:rFonts w:hint="eastAsia" w:ascii="宋体" w:hAnsi="宋体" w:cs="宋体"/>
          <w:color w:val="auto"/>
          <w:sz w:val="24"/>
          <w:highlight w:val="none"/>
        </w:rPr>
        <w:t>方式付款，那么乙方可要求甲方支付违约金，违约金按每迟延付款一日的应付而未付款的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0.05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%计算，迟延付款达到</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天</w:t>
      </w:r>
      <w:r>
        <w:rPr>
          <w:rFonts w:hint="eastAsia" w:ascii="宋体" w:hAnsi="宋体" w:cs="宋体"/>
          <w:color w:val="auto"/>
          <w:sz w:val="24"/>
          <w:highlight w:val="none"/>
        </w:rPr>
        <w:t>的，乙方有权在要求甲方支付违约金的同时，书面通知甲方解除本合同</w:t>
      </w:r>
      <w:r>
        <w:rPr>
          <w:rFonts w:hint="eastAsia" w:ascii="宋体" w:hAnsi="宋体"/>
          <w:color w:val="auto"/>
          <w:sz w:val="24"/>
          <w:highlight w:val="none"/>
        </w:rPr>
        <w:t>；</w:t>
      </w:r>
    </w:p>
    <w:p>
      <w:pPr>
        <w:spacing w:line="360" w:lineRule="auto"/>
        <w:ind w:firstLine="480" w:firstLineChars="200"/>
        <w:rPr>
          <w:rFonts w:ascii="宋体" w:hAnsi="宋体" w:cs="宋体"/>
          <w:color w:val="auto"/>
          <w:sz w:val="24"/>
          <w:highlight w:val="none"/>
        </w:rPr>
      </w:pPr>
      <w:bookmarkStart w:id="416" w:name="_Toc9497"/>
      <w:bookmarkStart w:id="417" w:name="_Toc32454"/>
      <w:bookmarkStart w:id="418" w:name="_Toc18683"/>
      <w:bookmarkStart w:id="419" w:name="_Toc30329"/>
      <w:bookmarkStart w:id="420" w:name="_Toc26807"/>
      <w:r>
        <w:rPr>
          <w:rFonts w:hint="eastAsia" w:ascii="宋体" w:hAnsi="宋体" w:cs="宋体"/>
          <w:color w:val="auto"/>
          <w:sz w:val="24"/>
          <w:highlight w:val="none"/>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7.违约责任另有约定的，从其约定，具体如下：</w:t>
      </w:r>
    </w:p>
    <w:p>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（3）甲方无故拒收成果交付，乙方有权要求甲方按照合同原价支付费用  。</w:t>
      </w:r>
    </w:p>
    <w:p>
      <w:pPr>
        <w:spacing w:line="360" w:lineRule="auto"/>
        <w:ind w:right="-420" w:rightChars="-200" w:firstLine="480" w:firstLineChars="200"/>
        <w:rPr>
          <w:rFonts w:ascii="宋体" w:hAnsi="宋体" w:cs="宋体"/>
          <w:color w:val="auto"/>
          <w:highlight w:val="none"/>
          <w:u w:val="single"/>
        </w:rPr>
      </w:pPr>
      <w:r>
        <w:rPr>
          <w:rFonts w:hint="eastAsia" w:ascii="宋体" w:hAnsi="宋体" w:cs="宋体"/>
          <w:color w:val="auto"/>
          <w:sz w:val="24"/>
          <w:highlight w:val="none"/>
          <w:u w:val="single"/>
        </w:rPr>
        <w:t>（4）若质保期内出现质量问题，甲方有权从质保金中扣除违约金，同时乙方应免费维修或更换。</w:t>
      </w:r>
    </w:p>
    <w:bookmarkEnd w:id="416"/>
    <w:bookmarkEnd w:id="417"/>
    <w:bookmarkEnd w:id="418"/>
    <w:bookmarkEnd w:id="419"/>
    <w:bookmarkEnd w:id="420"/>
    <w:p>
      <w:pPr>
        <w:spacing w:line="360" w:lineRule="auto"/>
        <w:ind w:firstLine="482" w:firstLineChars="200"/>
        <w:outlineLvl w:val="0"/>
        <w:rPr>
          <w:rFonts w:ascii="宋体" w:hAnsi="宋体" w:cs="宋体"/>
          <w:b/>
          <w:color w:val="auto"/>
          <w:sz w:val="24"/>
          <w:highlight w:val="none"/>
        </w:rPr>
      </w:pPr>
      <w:bookmarkStart w:id="421" w:name="_Toc16021"/>
      <w:bookmarkStart w:id="422" w:name="_Toc15583"/>
      <w:bookmarkStart w:id="423" w:name="_Toc28375"/>
      <w:r>
        <w:rPr>
          <w:rFonts w:hint="eastAsia" w:ascii="宋体" w:hAnsi="宋体" w:cs="宋体"/>
          <w:b/>
          <w:color w:val="auto"/>
          <w:sz w:val="24"/>
          <w:highlight w:val="none"/>
        </w:rPr>
        <w:t>十一、合同争议的解决</w:t>
      </w:r>
      <w:bookmarkEnd w:id="421"/>
      <w:bookmarkEnd w:id="422"/>
      <w:bookmarkEnd w:id="423"/>
    </w:p>
    <w:p>
      <w:pPr>
        <w:spacing w:line="360" w:lineRule="auto"/>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color w:val="auto"/>
          <w:sz w:val="24"/>
          <w:highlight w:val="none"/>
          <w:u w:val="single"/>
        </w:rPr>
        <w:t xml:space="preserve">  2    </w:t>
      </w:r>
      <w:r>
        <w:rPr>
          <w:rFonts w:hint="eastAsia" w:ascii="宋体" w:hAnsi="宋体" w:cs="宋体"/>
          <w:color w:val="auto"/>
          <w:sz w:val="24"/>
          <w:highlight w:val="none"/>
        </w:rPr>
        <w:t>条款规定的方式解决：</w:t>
      </w:r>
    </w:p>
    <w:p>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1.将争议提交</w:t>
      </w:r>
      <w:r>
        <w:rPr>
          <w:rFonts w:hint="eastAsia" w:ascii="宋体" w:hAnsi="宋体" w:cs="宋体"/>
          <w:b/>
          <w:color w:val="auto"/>
          <w:sz w:val="24"/>
          <w:highlight w:val="none"/>
          <w:u w:val="single"/>
        </w:rPr>
        <w:t>甲方所在地</w:t>
      </w:r>
      <w:r>
        <w:rPr>
          <w:rFonts w:hint="eastAsia" w:ascii="宋体" w:hAnsi="宋体" w:cs="宋体"/>
          <w:color w:val="auto"/>
          <w:sz w:val="24"/>
          <w:highlight w:val="none"/>
        </w:rPr>
        <w:t>仲裁委员会依申请仲裁时其现行有效的仲裁规则裁决；</w:t>
      </w:r>
    </w:p>
    <w:p>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2.向</w:t>
      </w:r>
      <w:r>
        <w:rPr>
          <w:rFonts w:hint="eastAsia" w:ascii="宋体" w:hAnsi="宋体" w:cs="宋体"/>
          <w:b/>
          <w:color w:val="auto"/>
          <w:sz w:val="24"/>
          <w:highlight w:val="none"/>
          <w:u w:val="single"/>
        </w:rPr>
        <w:t>甲方所在地</w:t>
      </w:r>
      <w:r>
        <w:rPr>
          <w:rFonts w:hint="eastAsia" w:ascii="宋体" w:hAnsi="宋体" w:cs="宋体"/>
          <w:color w:val="auto"/>
          <w:sz w:val="24"/>
          <w:highlight w:val="none"/>
        </w:rPr>
        <w:t>人民法院起诉。</w:t>
      </w:r>
    </w:p>
    <w:p>
      <w:pPr>
        <w:spacing w:line="360" w:lineRule="auto"/>
        <w:ind w:firstLine="482" w:firstLineChars="200"/>
        <w:outlineLvl w:val="0"/>
        <w:rPr>
          <w:rFonts w:ascii="宋体" w:hAnsi="宋体" w:cs="宋体"/>
          <w:b/>
          <w:color w:val="auto"/>
          <w:sz w:val="24"/>
          <w:highlight w:val="none"/>
        </w:rPr>
      </w:pPr>
      <w:bookmarkStart w:id="424" w:name="_Toc15322"/>
      <w:bookmarkStart w:id="425" w:name="_Toc7245"/>
      <w:bookmarkStart w:id="426" w:name="_Toc11173"/>
      <w:r>
        <w:rPr>
          <w:rFonts w:hint="eastAsia" w:ascii="宋体" w:hAnsi="宋体" w:cs="宋体"/>
          <w:b/>
          <w:color w:val="auto"/>
          <w:sz w:val="24"/>
          <w:highlight w:val="none"/>
        </w:rPr>
        <w:t>十二、合同生效</w:t>
      </w:r>
      <w:bookmarkEnd w:id="424"/>
      <w:bookmarkEnd w:id="425"/>
      <w:bookmarkEnd w:id="426"/>
    </w:p>
    <w:p>
      <w:pPr>
        <w:pStyle w:val="24"/>
        <w:ind w:left="0" w:leftChars="0"/>
        <w:jc w:val="left"/>
        <w:rPr>
          <w:rFonts w:ascii="宋体" w:hAnsi="宋体"/>
          <w:color w:val="auto"/>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、第三章安全协议、第四章廉洁协议为本合同不可分割的一部分，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pPr>
        <w:spacing w:line="360" w:lineRule="auto"/>
        <w:ind w:firstLine="480" w:firstLineChars="200"/>
        <w:rPr>
          <w:rFonts w:ascii="宋体" w:hAnsi="宋体" w:cs="宋体"/>
          <w:color w:val="auto"/>
          <w:sz w:val="24"/>
          <w:highlight w:val="none"/>
        </w:rPr>
      </w:pPr>
    </w:p>
    <w:p>
      <w:pPr>
        <w:pStyle w:val="24"/>
        <w:ind w:left="0" w:leftChars="0" w:firstLine="0" w:firstLineChars="0"/>
        <w:jc w:val="center"/>
        <w:rPr>
          <w:rFonts w:ascii="宋体" w:hAnsi="宋体"/>
          <w:b/>
          <w:color w:val="auto"/>
          <w:szCs w:val="24"/>
          <w:highlight w:val="none"/>
        </w:rPr>
      </w:pPr>
    </w:p>
    <w:p>
      <w:pPr>
        <w:pStyle w:val="24"/>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第二章</w:t>
      </w:r>
      <w:r>
        <w:rPr>
          <w:rFonts w:ascii="宋体" w:hAnsi="宋体"/>
          <w:b/>
          <w:color w:val="auto"/>
          <w:szCs w:val="24"/>
          <w:highlight w:val="none"/>
        </w:rPr>
        <w:t xml:space="preserve"> </w:t>
      </w:r>
      <w:r>
        <w:rPr>
          <w:rFonts w:hint="eastAsia" w:ascii="宋体" w:hAnsi="宋体"/>
          <w:b/>
          <w:color w:val="auto"/>
          <w:szCs w:val="24"/>
          <w:highlight w:val="none"/>
        </w:rPr>
        <w:t>合同一般条款</w:t>
      </w:r>
    </w:p>
    <w:p>
      <w:pPr>
        <w:spacing w:line="360" w:lineRule="auto"/>
        <w:ind w:firstLine="482" w:firstLineChars="200"/>
        <w:outlineLvl w:val="0"/>
        <w:rPr>
          <w:rFonts w:ascii="宋体" w:hAnsi="宋体"/>
          <w:b/>
          <w:color w:val="auto"/>
          <w:sz w:val="24"/>
          <w:highlight w:val="none"/>
        </w:rPr>
      </w:pPr>
      <w:bookmarkStart w:id="427" w:name="_Toc25079"/>
      <w:bookmarkStart w:id="428" w:name="_Toc31297"/>
      <w:bookmarkStart w:id="429" w:name="_Toc19680"/>
      <w:bookmarkStart w:id="430" w:name="_Toc14021"/>
      <w:bookmarkStart w:id="431" w:name="_Toc5228"/>
      <w:r>
        <w:rPr>
          <w:rFonts w:hint="eastAsia" w:ascii="宋体" w:hAnsi="宋体"/>
          <w:b/>
          <w:color w:val="auto"/>
          <w:sz w:val="24"/>
          <w:highlight w:val="none"/>
        </w:rPr>
        <w:t>一、</w:t>
      </w:r>
      <w:r>
        <w:rPr>
          <w:rFonts w:ascii="宋体" w:hAnsi="宋体"/>
          <w:b/>
          <w:color w:val="auto"/>
          <w:sz w:val="24"/>
          <w:highlight w:val="none"/>
        </w:rPr>
        <w:t>定义</w:t>
      </w:r>
      <w:bookmarkEnd w:id="427"/>
      <w:bookmarkEnd w:id="428"/>
      <w:bookmarkEnd w:id="429"/>
      <w:bookmarkEnd w:id="430"/>
      <w:bookmarkEnd w:id="431"/>
    </w:p>
    <w:p>
      <w:pPr>
        <w:spacing w:line="360" w:lineRule="auto"/>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 xml:space="preserve">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“现场”系指合同约定提供服务的地点。</w:t>
      </w:r>
    </w:p>
    <w:p>
      <w:pPr>
        <w:spacing w:line="360" w:lineRule="auto"/>
        <w:ind w:firstLine="482" w:firstLineChars="200"/>
        <w:outlineLvl w:val="0"/>
        <w:rPr>
          <w:rFonts w:ascii="宋体" w:hAnsi="宋体"/>
          <w:b/>
          <w:color w:val="auto"/>
          <w:sz w:val="24"/>
          <w:highlight w:val="none"/>
        </w:rPr>
      </w:pPr>
      <w:bookmarkStart w:id="432" w:name="_Toc16752"/>
      <w:bookmarkStart w:id="433" w:name="_Toc23289"/>
      <w:bookmarkStart w:id="434" w:name="_Toc19539"/>
      <w:bookmarkStart w:id="435" w:name="_Toc3769"/>
      <w:bookmarkStart w:id="436" w:name="_Toc31402"/>
      <w:r>
        <w:rPr>
          <w:rFonts w:hint="eastAsia" w:ascii="宋体" w:hAnsi="宋体"/>
          <w:b/>
          <w:color w:val="auto"/>
          <w:sz w:val="24"/>
          <w:highlight w:val="none"/>
        </w:rPr>
        <w:t>二、</w:t>
      </w:r>
      <w:r>
        <w:rPr>
          <w:rFonts w:ascii="宋体" w:hAnsi="宋体"/>
          <w:b/>
          <w:color w:val="auto"/>
          <w:sz w:val="24"/>
          <w:highlight w:val="none"/>
        </w:rPr>
        <w:t xml:space="preserve"> 技术规范</w:t>
      </w:r>
      <w:bookmarkEnd w:id="432"/>
      <w:bookmarkEnd w:id="433"/>
      <w:bookmarkEnd w:id="434"/>
      <w:bookmarkEnd w:id="435"/>
      <w:bookmarkEnd w:id="436"/>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w:t>
      </w:r>
      <w:r>
        <w:rPr>
          <w:rFonts w:ascii="宋体" w:hAnsi="宋体"/>
          <w:i/>
          <w:iCs/>
          <w:color w:val="auto"/>
          <w:sz w:val="24"/>
          <w:highlight w:val="none"/>
          <w:u w:val="single"/>
        </w:rPr>
        <w:t>(</w:t>
      </w:r>
      <w:r>
        <w:rPr>
          <w:rFonts w:ascii="宋体" w:hAnsi="宋体"/>
          <w:b/>
          <w:bCs/>
          <w:i/>
          <w:iCs/>
          <w:color w:val="auto"/>
          <w:sz w:val="24"/>
          <w:highlight w:val="none"/>
          <w:u w:val="single"/>
        </w:rPr>
        <w:t>如果有的话</w:t>
      </w:r>
      <w:r>
        <w:rPr>
          <w:rFonts w:ascii="宋体" w:hAnsi="宋体"/>
          <w:i/>
          <w:iCs/>
          <w:color w:val="auto"/>
          <w:sz w:val="24"/>
          <w:highlight w:val="none"/>
          <w:u w:val="single"/>
        </w:rPr>
        <w:t>)</w:t>
      </w:r>
      <w:r>
        <w:rPr>
          <w:rFonts w:ascii="宋体" w:hAnsi="宋体"/>
          <w:color w:val="auto"/>
          <w:sz w:val="24"/>
          <w:highlight w:val="none"/>
        </w:rPr>
        <w:t>及其技术规范偏差表</w:t>
      </w:r>
      <w:r>
        <w:rPr>
          <w:rFonts w:ascii="宋体" w:hAnsi="宋体"/>
          <w:b/>
          <w:bCs/>
          <w:i/>
          <w:iCs/>
          <w:color w:val="auto"/>
          <w:sz w:val="24"/>
          <w:highlight w:val="none"/>
          <w:u w:val="single"/>
        </w:rPr>
        <w:t>(如果被甲方接受的话)</w:t>
      </w:r>
      <w:r>
        <w:rPr>
          <w:rFonts w:ascii="宋体" w:hAnsi="宋体"/>
          <w:color w:val="auto"/>
          <w:sz w:val="24"/>
          <w:highlight w:val="none"/>
        </w:rPr>
        <w:t>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pPr>
        <w:spacing w:line="360" w:lineRule="auto"/>
        <w:ind w:firstLine="482" w:firstLineChars="200"/>
        <w:outlineLvl w:val="0"/>
        <w:rPr>
          <w:rFonts w:ascii="宋体" w:hAnsi="宋体"/>
          <w:b/>
          <w:color w:val="auto"/>
          <w:sz w:val="24"/>
          <w:highlight w:val="none"/>
        </w:rPr>
      </w:pPr>
      <w:bookmarkStart w:id="437" w:name="_Toc12412"/>
      <w:bookmarkStart w:id="438" w:name="_Toc13673"/>
      <w:bookmarkStart w:id="439" w:name="_Toc4133"/>
      <w:bookmarkStart w:id="440" w:name="_Toc9161"/>
      <w:bookmarkStart w:id="441" w:name="_Toc27945"/>
      <w:r>
        <w:rPr>
          <w:rFonts w:hint="eastAsia" w:ascii="宋体" w:hAnsi="宋体"/>
          <w:b/>
          <w:color w:val="auto"/>
          <w:sz w:val="24"/>
          <w:highlight w:val="none"/>
        </w:rPr>
        <w:t>三、</w:t>
      </w:r>
      <w:r>
        <w:rPr>
          <w:rFonts w:ascii="宋体" w:hAnsi="宋体"/>
          <w:b/>
          <w:color w:val="auto"/>
          <w:sz w:val="24"/>
          <w:highlight w:val="none"/>
        </w:rPr>
        <w:t xml:space="preserve"> 知识产权</w:t>
      </w:r>
      <w:bookmarkEnd w:id="437"/>
      <w:bookmarkEnd w:id="438"/>
      <w:bookmarkEnd w:id="439"/>
      <w:bookmarkEnd w:id="440"/>
      <w:bookmarkEnd w:id="441"/>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2.合同涉及技术成果的归属和收益的分成办法的，双方另行商定签订协议</w:t>
      </w:r>
      <w:r>
        <w:rPr>
          <w:rFonts w:ascii="宋体" w:hAnsi="宋体"/>
          <w:color w:val="auto"/>
          <w:sz w:val="24"/>
          <w:highlight w:val="none"/>
        </w:rPr>
        <w:t>。</w:t>
      </w:r>
      <w:r>
        <w:rPr>
          <w:rFonts w:hint="eastAsia" w:ascii="宋体" w:hAnsi="宋体"/>
          <w:color w:val="auto"/>
          <w:sz w:val="24"/>
          <w:highlight w:val="none"/>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四、履约检查和问题反馈</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color w:val="auto"/>
          <w:sz w:val="24"/>
          <w:highlight w:val="none"/>
        </w:rPr>
      </w:pPr>
      <w:bookmarkStart w:id="442" w:name="_Toc26555"/>
      <w:bookmarkStart w:id="443" w:name="_Toc22011"/>
      <w:bookmarkStart w:id="444" w:name="_Toc32670"/>
      <w:bookmarkStart w:id="445" w:name="_Toc15447"/>
      <w:bookmarkStart w:id="446" w:name="_Toc31233"/>
      <w:r>
        <w:rPr>
          <w:rFonts w:hint="eastAsia" w:ascii="宋体" w:hAnsi="宋体"/>
          <w:b/>
          <w:color w:val="auto"/>
          <w:sz w:val="24"/>
          <w:highlight w:val="none"/>
        </w:rPr>
        <w:t>五、</w:t>
      </w:r>
      <w:r>
        <w:rPr>
          <w:rFonts w:ascii="宋体" w:hAnsi="宋体"/>
          <w:b/>
          <w:color w:val="auto"/>
          <w:sz w:val="24"/>
          <w:highlight w:val="none"/>
        </w:rPr>
        <w:t>结算方式和付款条件</w:t>
      </w:r>
      <w:bookmarkEnd w:id="442"/>
      <w:bookmarkEnd w:id="443"/>
      <w:bookmarkEnd w:id="444"/>
      <w:bookmarkEnd w:id="445"/>
      <w:bookmarkEnd w:id="446"/>
    </w:p>
    <w:p>
      <w:pPr>
        <w:spacing w:line="360" w:lineRule="auto"/>
        <w:ind w:firstLine="480" w:firstLineChars="200"/>
        <w:outlineLvl w:val="0"/>
        <w:rPr>
          <w:rFonts w:ascii="宋体" w:hAnsi="宋体"/>
          <w:bCs/>
          <w:color w:val="auto"/>
          <w:sz w:val="24"/>
          <w:highlight w:val="none"/>
        </w:rPr>
      </w:pPr>
      <w:bookmarkStart w:id="447" w:name="_Toc16163"/>
      <w:bookmarkStart w:id="448" w:name="_Toc13467"/>
      <w:bookmarkStart w:id="449" w:name="_Toc30507"/>
      <w:bookmarkStart w:id="450" w:name="_Toc18990"/>
      <w:bookmarkStart w:id="451" w:name="_Toc13154"/>
      <w:r>
        <w:rPr>
          <w:rFonts w:hint="eastAsia" w:ascii="宋体" w:hAnsi="宋体"/>
          <w:bCs/>
          <w:color w:val="auto"/>
          <w:sz w:val="24"/>
          <w:highlight w:val="none"/>
        </w:rPr>
        <w:t>1.结算方式为转账或者电汇 ，若甲方采用银行承兑支付，双方另行协商；</w:t>
      </w:r>
    </w:p>
    <w:p>
      <w:pPr>
        <w:spacing w:line="360" w:lineRule="auto"/>
        <w:ind w:firstLine="480" w:firstLineChars="200"/>
        <w:outlineLvl w:val="0"/>
        <w:rPr>
          <w:rFonts w:ascii="宋体" w:hAnsi="宋体"/>
          <w:bCs/>
          <w:color w:val="auto"/>
          <w:sz w:val="24"/>
          <w:highlight w:val="none"/>
        </w:rPr>
      </w:pPr>
      <w:r>
        <w:rPr>
          <w:rFonts w:hint="eastAsia" w:ascii="宋体" w:hAnsi="宋体"/>
          <w:bCs/>
          <w:color w:val="auto"/>
          <w:sz w:val="24"/>
          <w:highlight w:val="none"/>
        </w:rPr>
        <w:t>2.付款条件：乙方提供的服务或者货物应满足合同约定要求，未出现违规违约的情况 ；</w:t>
      </w:r>
    </w:p>
    <w:p>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六、</w:t>
      </w:r>
      <w:r>
        <w:rPr>
          <w:rFonts w:ascii="宋体" w:hAnsi="宋体"/>
          <w:b/>
          <w:color w:val="auto"/>
          <w:sz w:val="24"/>
          <w:highlight w:val="none"/>
        </w:rPr>
        <w:t>技术资料和保密义务</w:t>
      </w:r>
      <w:bookmarkEnd w:id="447"/>
      <w:bookmarkEnd w:id="448"/>
      <w:bookmarkEnd w:id="449"/>
      <w:bookmarkEnd w:id="450"/>
      <w:bookmarkEnd w:id="451"/>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乙方有权依据合同约定和项目需要，向甲方了解有关情况，调阅有关资料等，甲方应予积极配合；</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乙方有义务妥善保管和保护由甲方提供的前款信息和资料等；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color w:val="auto"/>
          <w:sz w:val="24"/>
          <w:highlight w:val="none"/>
        </w:rPr>
      </w:pPr>
      <w:bookmarkStart w:id="452" w:name="_Toc19069"/>
      <w:r>
        <w:rPr>
          <w:rFonts w:hint="eastAsia" w:ascii="宋体" w:hAnsi="宋体"/>
          <w:b/>
          <w:color w:val="auto"/>
          <w:sz w:val="24"/>
          <w:highlight w:val="none"/>
        </w:rPr>
        <w:t>七、质量保证</w:t>
      </w:r>
      <w:bookmarkEnd w:id="452"/>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color w:val="auto"/>
          <w:sz w:val="24"/>
          <w:highlight w:val="none"/>
        </w:rPr>
      </w:pPr>
      <w:bookmarkStart w:id="453" w:name="_Toc22267"/>
      <w:r>
        <w:rPr>
          <w:rFonts w:hint="eastAsia" w:ascii="宋体" w:hAnsi="宋体"/>
          <w:b/>
          <w:color w:val="auto"/>
          <w:sz w:val="24"/>
          <w:highlight w:val="none"/>
        </w:rPr>
        <w:t>八、</w:t>
      </w:r>
      <w:r>
        <w:rPr>
          <w:rFonts w:ascii="宋体" w:hAnsi="宋体"/>
          <w:b/>
          <w:color w:val="auto"/>
          <w:sz w:val="24"/>
          <w:highlight w:val="none"/>
        </w:rPr>
        <w:t xml:space="preserve"> </w:t>
      </w:r>
      <w:r>
        <w:rPr>
          <w:rFonts w:hint="eastAsia" w:ascii="宋体" w:hAnsi="宋体"/>
          <w:b/>
          <w:color w:val="auto"/>
          <w:sz w:val="24"/>
          <w:highlight w:val="none"/>
        </w:rPr>
        <w:t>延迟履行</w:t>
      </w:r>
      <w:bookmarkEnd w:id="453"/>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pPr>
        <w:spacing w:line="360" w:lineRule="auto"/>
        <w:ind w:firstLine="482" w:firstLineChars="200"/>
        <w:outlineLvl w:val="0"/>
        <w:rPr>
          <w:rFonts w:ascii="宋体" w:hAnsi="宋体"/>
          <w:b/>
          <w:color w:val="auto"/>
          <w:sz w:val="24"/>
          <w:highlight w:val="none"/>
        </w:rPr>
      </w:pPr>
      <w:bookmarkStart w:id="454" w:name="_Toc10611"/>
      <w:r>
        <w:rPr>
          <w:rFonts w:hint="eastAsia" w:ascii="宋体" w:hAnsi="宋体"/>
          <w:b/>
          <w:color w:val="auto"/>
          <w:sz w:val="24"/>
          <w:highlight w:val="none"/>
        </w:rPr>
        <w:t>九、合同变更</w:t>
      </w:r>
      <w:bookmarkEnd w:id="454"/>
      <w:r>
        <w:rPr>
          <w:rFonts w:hint="eastAsia" w:ascii="宋体" w:hAnsi="宋体" w:cs="宋体"/>
          <w:b/>
          <w:color w:val="auto"/>
          <w:sz w:val="24"/>
          <w:highlight w:val="none"/>
        </w:rPr>
        <w:t>或补充</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color w:val="auto"/>
          <w:sz w:val="24"/>
          <w:highlight w:val="none"/>
        </w:rPr>
      </w:pPr>
      <w:bookmarkStart w:id="455" w:name="_Toc26689"/>
      <w:bookmarkStart w:id="456" w:name="_Toc10663"/>
      <w:bookmarkStart w:id="457" w:name="_Toc42"/>
      <w:bookmarkStart w:id="458" w:name="_Toc23368"/>
      <w:bookmarkStart w:id="459" w:name="_Toc21830"/>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w:t>
      </w:r>
      <w:r>
        <w:rPr>
          <w:rFonts w:ascii="宋体" w:hAnsi="宋体"/>
          <w:b/>
          <w:color w:val="auto"/>
          <w:sz w:val="24"/>
          <w:highlight w:val="none"/>
        </w:rPr>
        <w:t>合同转让和分包</w:t>
      </w:r>
      <w:bookmarkEnd w:id="455"/>
      <w:bookmarkEnd w:id="456"/>
      <w:bookmarkEnd w:id="457"/>
      <w:bookmarkEnd w:id="458"/>
      <w:bookmarkEnd w:id="459"/>
    </w:p>
    <w:p>
      <w:pPr>
        <w:spacing w:line="360" w:lineRule="auto"/>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pPr>
        <w:spacing w:line="360" w:lineRule="auto"/>
        <w:ind w:firstLine="482" w:firstLineChars="200"/>
        <w:outlineLvl w:val="0"/>
        <w:rPr>
          <w:rFonts w:ascii="宋体" w:hAnsi="宋体"/>
          <w:b/>
          <w:color w:val="auto"/>
          <w:sz w:val="24"/>
          <w:highlight w:val="none"/>
        </w:rPr>
      </w:pPr>
      <w:bookmarkStart w:id="460" w:name="_Toc26633"/>
      <w:bookmarkStart w:id="461" w:name="_Toc25571"/>
      <w:bookmarkStart w:id="462" w:name="_Toc4720"/>
      <w:bookmarkStart w:id="463" w:name="_Toc14371"/>
      <w:bookmarkStart w:id="464" w:name="_Toc32494"/>
      <w:r>
        <w:rPr>
          <w:rFonts w:hint="eastAsia" w:ascii="宋体" w:hAnsi="宋体"/>
          <w:b/>
          <w:color w:val="auto"/>
          <w:sz w:val="24"/>
          <w:highlight w:val="none"/>
        </w:rPr>
        <w:t>十一、</w:t>
      </w:r>
      <w:r>
        <w:rPr>
          <w:rFonts w:ascii="宋体" w:hAnsi="宋体"/>
          <w:b/>
          <w:color w:val="auto"/>
          <w:sz w:val="24"/>
          <w:highlight w:val="none"/>
        </w:rPr>
        <w:t>不可抗力</w:t>
      </w:r>
      <w:bookmarkEnd w:id="460"/>
      <w:bookmarkEnd w:id="461"/>
      <w:bookmarkEnd w:id="462"/>
      <w:bookmarkEnd w:id="463"/>
      <w:bookmarkEnd w:id="464"/>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2.因不可抗力致使不能实现合同目的的，当事人可以解除合同；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pPr>
        <w:spacing w:line="360" w:lineRule="auto"/>
        <w:ind w:firstLine="482" w:firstLineChars="200"/>
        <w:outlineLvl w:val="0"/>
        <w:rPr>
          <w:rFonts w:ascii="宋体" w:hAnsi="宋体"/>
          <w:b/>
          <w:color w:val="auto"/>
          <w:sz w:val="24"/>
          <w:highlight w:val="none"/>
        </w:rPr>
      </w:pPr>
      <w:bookmarkStart w:id="465" w:name="_Toc25783"/>
      <w:bookmarkStart w:id="466" w:name="_Toc23854"/>
      <w:bookmarkStart w:id="467" w:name="_Toc3638"/>
      <w:bookmarkStart w:id="468" w:name="_Toc14115"/>
      <w:bookmarkStart w:id="469" w:name="_Toc24465"/>
      <w:r>
        <w:rPr>
          <w:rFonts w:hint="eastAsia" w:ascii="宋体" w:hAnsi="宋体"/>
          <w:b/>
          <w:color w:val="auto"/>
          <w:sz w:val="24"/>
          <w:highlight w:val="none"/>
        </w:rPr>
        <w:t>十二、</w:t>
      </w:r>
      <w:r>
        <w:rPr>
          <w:rFonts w:ascii="宋体" w:hAnsi="宋体"/>
          <w:b/>
          <w:color w:val="auto"/>
          <w:sz w:val="24"/>
          <w:highlight w:val="none"/>
        </w:rPr>
        <w:t>税费</w:t>
      </w:r>
      <w:bookmarkEnd w:id="465"/>
      <w:bookmarkEnd w:id="466"/>
      <w:bookmarkEnd w:id="467"/>
      <w:bookmarkEnd w:id="468"/>
      <w:bookmarkEnd w:id="469"/>
    </w:p>
    <w:p>
      <w:pPr>
        <w:spacing w:line="360" w:lineRule="auto"/>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pPr>
        <w:spacing w:line="360" w:lineRule="auto"/>
        <w:ind w:firstLine="482" w:firstLineChars="200"/>
        <w:outlineLvl w:val="0"/>
        <w:rPr>
          <w:rFonts w:ascii="宋体" w:hAnsi="宋体"/>
          <w:b/>
          <w:color w:val="auto"/>
          <w:sz w:val="24"/>
          <w:highlight w:val="none"/>
        </w:rPr>
      </w:pPr>
      <w:bookmarkStart w:id="470" w:name="_Toc26883"/>
      <w:bookmarkStart w:id="471" w:name="_Toc7315"/>
      <w:bookmarkStart w:id="472" w:name="_Toc30105"/>
      <w:bookmarkStart w:id="473" w:name="_Toc14814"/>
      <w:bookmarkStart w:id="474" w:name="_Toc25525"/>
      <w:r>
        <w:rPr>
          <w:rFonts w:hint="eastAsia" w:ascii="宋体" w:hAnsi="宋体"/>
          <w:b/>
          <w:color w:val="auto"/>
          <w:sz w:val="24"/>
          <w:highlight w:val="none"/>
        </w:rPr>
        <w:t>十三、</w:t>
      </w:r>
      <w:r>
        <w:rPr>
          <w:rFonts w:ascii="宋体" w:hAnsi="宋体"/>
          <w:b/>
          <w:color w:val="auto"/>
          <w:sz w:val="24"/>
          <w:highlight w:val="none"/>
        </w:rPr>
        <w:t>乙方破产</w:t>
      </w:r>
      <w:bookmarkEnd w:id="470"/>
      <w:bookmarkEnd w:id="471"/>
      <w:bookmarkEnd w:id="472"/>
      <w:bookmarkEnd w:id="473"/>
      <w:bookmarkEnd w:id="474"/>
    </w:p>
    <w:p>
      <w:pPr>
        <w:spacing w:line="360" w:lineRule="auto"/>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pPr>
        <w:spacing w:line="360" w:lineRule="auto"/>
        <w:ind w:firstLine="482" w:firstLineChars="200"/>
        <w:outlineLvl w:val="0"/>
        <w:rPr>
          <w:rFonts w:ascii="宋体" w:hAnsi="宋体"/>
          <w:b/>
          <w:color w:val="auto"/>
          <w:sz w:val="24"/>
          <w:highlight w:val="none"/>
        </w:rPr>
      </w:pPr>
      <w:bookmarkStart w:id="475" w:name="_Toc1123"/>
      <w:bookmarkStart w:id="476" w:name="_Toc23323"/>
      <w:bookmarkStart w:id="477" w:name="_Toc2016"/>
      <w:r>
        <w:rPr>
          <w:rFonts w:hint="eastAsia" w:ascii="宋体" w:hAnsi="宋体"/>
          <w:b/>
          <w:color w:val="auto"/>
          <w:sz w:val="24"/>
          <w:highlight w:val="none"/>
        </w:rPr>
        <w:t>十四、</w:t>
      </w:r>
      <w:r>
        <w:rPr>
          <w:rFonts w:ascii="宋体" w:hAnsi="宋体"/>
          <w:b/>
          <w:color w:val="auto"/>
          <w:sz w:val="24"/>
          <w:highlight w:val="none"/>
        </w:rPr>
        <w:t>合同中止、终止</w:t>
      </w:r>
      <w:bookmarkEnd w:id="475"/>
      <w:bookmarkEnd w:id="476"/>
      <w:bookmarkEnd w:id="477"/>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双方当事人不得擅自中止或者终止合同；</w:t>
      </w:r>
    </w:p>
    <w:p>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2.</w:t>
      </w:r>
      <w:r>
        <w:rPr>
          <w:rFonts w:hint="eastAsia" w:ascii="宋体" w:hAnsi="宋体" w:cs="宋体"/>
          <w:color w:val="auto"/>
          <w:sz w:val="24"/>
          <w:highlight w:val="none"/>
        </w:rPr>
        <w:t>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3.合同到期后，自动终止合同；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4.乙方完成合同约定内容的（不得超过合同总金额），自动终止合同；若在合同有效期之前完成的，提前终止合同，无须再另行签订终止补充协议；</w:t>
      </w:r>
    </w:p>
    <w:p>
      <w:pPr>
        <w:spacing w:line="360" w:lineRule="auto"/>
        <w:ind w:firstLine="480" w:firstLineChars="200"/>
        <w:rPr>
          <w:color w:val="auto"/>
          <w:highlight w:val="none"/>
        </w:rPr>
      </w:pPr>
      <w:r>
        <w:rPr>
          <w:rFonts w:hint="eastAsia" w:ascii="宋体" w:hAnsi="宋体" w:cs="宋体"/>
          <w:color w:val="auto"/>
          <w:sz w:val="24"/>
          <w:highlight w:val="none"/>
        </w:rPr>
        <w:t>5.出现违约行为的，甲方有权中止或解除合同。</w:t>
      </w:r>
    </w:p>
    <w:p>
      <w:pPr>
        <w:spacing w:line="360" w:lineRule="auto"/>
        <w:ind w:firstLine="482" w:firstLineChars="200"/>
        <w:outlineLvl w:val="0"/>
        <w:rPr>
          <w:rFonts w:ascii="宋体" w:hAnsi="宋体"/>
          <w:b/>
          <w:color w:val="auto"/>
          <w:sz w:val="24"/>
          <w:highlight w:val="none"/>
        </w:rPr>
      </w:pPr>
      <w:bookmarkStart w:id="478" w:name="_Toc17363"/>
      <w:bookmarkStart w:id="479" w:name="_Toc14525"/>
      <w:bookmarkStart w:id="480" w:name="_Toc1969"/>
      <w:r>
        <w:rPr>
          <w:rFonts w:hint="eastAsia" w:ascii="宋体" w:hAnsi="宋体"/>
          <w:b/>
          <w:color w:val="auto"/>
          <w:sz w:val="24"/>
          <w:highlight w:val="none"/>
        </w:rPr>
        <w:t>十五</w:t>
      </w:r>
      <w:bookmarkEnd w:id="478"/>
      <w:bookmarkEnd w:id="479"/>
      <w:bookmarkEnd w:id="480"/>
      <w:bookmarkStart w:id="481" w:name="_Toc12666"/>
      <w:bookmarkStart w:id="482" w:name="_Toc2308"/>
      <w:bookmarkStart w:id="483" w:name="_Toc31892"/>
      <w:bookmarkStart w:id="484" w:name="_Toc25198"/>
      <w:bookmarkStart w:id="485" w:name="_Toc9808"/>
      <w:r>
        <w:rPr>
          <w:rFonts w:hint="eastAsia" w:ascii="宋体" w:hAnsi="宋体"/>
          <w:b/>
          <w:color w:val="auto"/>
          <w:sz w:val="24"/>
          <w:highlight w:val="none"/>
        </w:rPr>
        <w:t>、</w:t>
      </w:r>
      <w:r>
        <w:rPr>
          <w:rFonts w:ascii="宋体" w:hAnsi="宋体"/>
          <w:b/>
          <w:color w:val="auto"/>
          <w:sz w:val="24"/>
          <w:highlight w:val="none"/>
        </w:rPr>
        <w:t>通知和送达</w:t>
      </w:r>
      <w:bookmarkEnd w:id="481"/>
      <w:bookmarkEnd w:id="482"/>
      <w:bookmarkEnd w:id="483"/>
      <w:bookmarkEnd w:id="484"/>
      <w:bookmarkEnd w:id="485"/>
    </w:p>
    <w:p>
      <w:pPr>
        <w:spacing w:line="360" w:lineRule="auto"/>
        <w:ind w:firstLine="480" w:firstLineChars="200"/>
        <w:rPr>
          <w:rFonts w:ascii="宋体" w:hAnsi="宋体"/>
          <w:color w:val="auto"/>
          <w:sz w:val="24"/>
          <w:highlight w:val="none"/>
        </w:rPr>
      </w:pPr>
      <w:bookmarkStart w:id="486" w:name="_Toc18401"/>
      <w:bookmarkStart w:id="487" w:name="_Toc27674"/>
      <w:r>
        <w:rPr>
          <w:rFonts w:hint="eastAsia" w:ascii="宋体" w:hAnsi="宋体"/>
          <w:color w:val="auto"/>
          <w:sz w:val="24"/>
          <w:highlight w:val="none"/>
        </w:rPr>
        <w:t>1.任何一方因履行合同而以合同第一章尾部所列明的电子邮件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486"/>
      <w:bookmarkEnd w:id="487"/>
    </w:p>
    <w:p>
      <w:pPr>
        <w:spacing w:line="360" w:lineRule="auto"/>
        <w:ind w:firstLine="482" w:firstLineChars="200"/>
        <w:outlineLvl w:val="0"/>
        <w:rPr>
          <w:rFonts w:ascii="宋体" w:hAnsi="宋体" w:cs="宋体"/>
          <w:b/>
          <w:color w:val="auto"/>
          <w:sz w:val="24"/>
          <w:highlight w:val="none"/>
        </w:rPr>
      </w:pPr>
      <w:bookmarkStart w:id="488" w:name="_Toc18540"/>
      <w:bookmarkStart w:id="489" w:name="_Toc4355"/>
      <w:bookmarkStart w:id="490" w:name="_Toc30599"/>
      <w:bookmarkStart w:id="491" w:name="_Toc27644"/>
      <w:bookmarkStart w:id="492" w:name="_Toc12254"/>
      <w:bookmarkStart w:id="493" w:name="_Toc5063"/>
      <w:bookmarkStart w:id="494" w:name="_Toc28906"/>
      <w:bookmarkStart w:id="495" w:name="_Toc20808"/>
      <w:r>
        <w:rPr>
          <w:rFonts w:hint="eastAsia" w:ascii="宋体" w:hAnsi="宋体" w:cs="宋体"/>
          <w:b/>
          <w:color w:val="auto"/>
          <w:sz w:val="24"/>
          <w:highlight w:val="none"/>
        </w:rPr>
        <w:t>十六、计量单位</w:t>
      </w:r>
      <w:bookmarkEnd w:id="488"/>
      <w:bookmarkEnd w:id="489"/>
      <w:bookmarkEnd w:id="490"/>
    </w:p>
    <w:p>
      <w:pPr>
        <w:spacing w:line="360" w:lineRule="auto"/>
        <w:ind w:firstLine="480" w:firstLineChars="200"/>
        <w:rPr>
          <w:rFonts w:ascii="宋体" w:hAnsi="宋体"/>
          <w:b/>
          <w:color w:val="auto"/>
          <w:sz w:val="24"/>
          <w:highlight w:val="none"/>
        </w:rPr>
      </w:pPr>
      <w:r>
        <w:rPr>
          <w:rFonts w:hint="eastAsia" w:ascii="宋体" w:hAnsi="宋体" w:cs="宋体"/>
          <w:color w:val="auto"/>
          <w:sz w:val="24"/>
          <w:highlight w:val="none"/>
        </w:rPr>
        <w:t>除技术规范中另有规定外,合同的计量单位均使用国家法定计量单位。</w:t>
      </w:r>
    </w:p>
    <w:p>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十七、合同使用的文字和</w:t>
      </w:r>
      <w:r>
        <w:rPr>
          <w:rFonts w:ascii="宋体" w:hAnsi="宋体"/>
          <w:b/>
          <w:color w:val="auto"/>
          <w:sz w:val="24"/>
          <w:highlight w:val="none"/>
        </w:rPr>
        <w:t>适用的法律</w:t>
      </w:r>
      <w:bookmarkEnd w:id="491"/>
      <w:bookmarkEnd w:id="492"/>
      <w:bookmarkEnd w:id="493"/>
      <w:bookmarkEnd w:id="494"/>
      <w:bookmarkEnd w:id="495"/>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2.合同适用</w:t>
      </w:r>
      <w:r>
        <w:rPr>
          <w:rFonts w:ascii="宋体" w:hAnsi="宋体"/>
          <w:color w:val="auto"/>
          <w:sz w:val="24"/>
          <w:highlight w:val="none"/>
        </w:rPr>
        <w:t>中华人民共和国法律。</w:t>
      </w:r>
    </w:p>
    <w:p>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十八、特别提示</w:t>
      </w:r>
    </w:p>
    <w:p>
      <w:pPr>
        <w:spacing w:line="360" w:lineRule="auto"/>
        <w:ind w:firstLine="482" w:firstLineChars="200"/>
        <w:rPr>
          <w:rFonts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下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rPr>
          <w:color w:val="auto"/>
          <w:highlight w:val="none"/>
        </w:rPr>
      </w:pPr>
    </w:p>
    <w:p>
      <w:pPr>
        <w:pStyle w:val="24"/>
        <w:spacing w:line="560" w:lineRule="exact"/>
        <w:ind w:left="0" w:leftChars="0" w:firstLine="0" w:firstLineChars="0"/>
        <w:jc w:val="center"/>
        <w:rPr>
          <w:rFonts w:ascii="宋体" w:hAnsi="宋体"/>
          <w:b/>
          <w:color w:val="auto"/>
          <w:szCs w:val="24"/>
          <w:highlight w:val="none"/>
        </w:rPr>
      </w:pPr>
    </w:p>
    <w:p>
      <w:pPr>
        <w:autoSpaceDE w:val="0"/>
        <w:autoSpaceDN w:val="0"/>
        <w:spacing w:line="360" w:lineRule="auto"/>
        <w:rPr>
          <w:rFonts w:ascii="宋体" w:hAnsi="宋体"/>
          <w:color w:val="auto"/>
          <w:sz w:val="24"/>
          <w:highlight w:val="none"/>
          <w:lang w:val="zh-CN"/>
        </w:rPr>
      </w:pPr>
      <w:r>
        <w:rPr>
          <w:rFonts w:hint="eastAsia" w:ascii="宋体" w:hAnsi="宋体"/>
          <w:b/>
          <w:color w:val="auto"/>
          <w:sz w:val="24"/>
          <w:highlight w:val="none"/>
          <w:lang w:val="zh-CN"/>
        </w:rPr>
        <w:t>甲方</w:t>
      </w:r>
      <w:r>
        <w:rPr>
          <w:rFonts w:hint="eastAsia" w:ascii="宋体" w:hAnsi="宋体"/>
          <w:color w:val="auto"/>
          <w:sz w:val="24"/>
          <w:highlight w:val="none"/>
          <w:lang w:val="zh-CN"/>
        </w:rPr>
        <w:t>：杭州临江环境能源有限公司</w:t>
      </w:r>
      <w:r>
        <w:rPr>
          <w:rFonts w:ascii="宋体" w:hAnsi="宋体"/>
          <w:color w:val="auto"/>
          <w:sz w:val="24"/>
          <w:highlight w:val="none"/>
          <w:lang w:val="zh-CN"/>
        </w:rPr>
        <w:t xml:space="preserve">          </w:t>
      </w:r>
      <w:r>
        <w:rPr>
          <w:rFonts w:ascii="宋体" w:hAnsi="宋体"/>
          <w:b/>
          <w:color w:val="auto"/>
          <w:sz w:val="24"/>
          <w:highlight w:val="none"/>
          <w:lang w:val="zh-CN"/>
        </w:rPr>
        <w:t xml:space="preserve"> 乙方</w:t>
      </w:r>
      <w:r>
        <w:rPr>
          <w:rFonts w:hint="eastAsia" w:ascii="宋体" w:hAnsi="宋体"/>
          <w:color w:val="auto"/>
          <w:sz w:val="24"/>
          <w:highlight w:val="none"/>
          <w:lang w:val="zh-CN"/>
        </w:rPr>
        <w:t>：</w:t>
      </w:r>
    </w:p>
    <w:p>
      <w:pPr>
        <w:autoSpaceDE w:val="0"/>
        <w:autoSpaceDN w:val="0"/>
        <w:spacing w:line="360" w:lineRule="auto"/>
        <w:rPr>
          <w:rFonts w:ascii="宋体" w:hAnsi="宋体"/>
          <w:color w:val="auto"/>
          <w:sz w:val="24"/>
          <w:highlight w:val="none"/>
          <w:lang w:val="zh-CN"/>
        </w:rPr>
      </w:pPr>
      <w:r>
        <w:rPr>
          <w:rFonts w:hint="eastAsia" w:ascii="宋体" w:hAnsi="宋体"/>
          <w:color w:val="auto"/>
          <w:sz w:val="24"/>
          <w:highlight w:val="none"/>
          <w:lang w:val="zh-CN"/>
        </w:rPr>
        <w:t>统一社会信用代码：</w:t>
      </w:r>
      <w:r>
        <w:rPr>
          <w:rFonts w:ascii="宋体" w:hAnsi="宋体"/>
          <w:color w:val="auto"/>
          <w:sz w:val="24"/>
          <w:highlight w:val="none"/>
          <w:lang w:val="zh-CN"/>
        </w:rPr>
        <w:t xml:space="preserve">                       </w:t>
      </w:r>
      <w:r>
        <w:rPr>
          <w:rFonts w:hint="eastAsia" w:ascii="宋体" w:hAnsi="宋体"/>
          <w:color w:val="auto"/>
          <w:sz w:val="24"/>
          <w:highlight w:val="none"/>
          <w:lang w:val="zh-CN"/>
        </w:rPr>
        <w:t>统一社会信用代码或身份证号码：91330100MA2B02NX2L</w:t>
      </w:r>
    </w:p>
    <w:p>
      <w:pPr>
        <w:autoSpaceDE w:val="0"/>
        <w:autoSpaceDN w:val="0"/>
        <w:spacing w:line="360" w:lineRule="auto"/>
        <w:rPr>
          <w:rFonts w:ascii="宋体" w:hAnsi="宋体"/>
          <w:color w:val="auto"/>
          <w:sz w:val="24"/>
          <w:highlight w:val="none"/>
          <w:lang w:val="zh-CN"/>
        </w:rPr>
      </w:pPr>
      <w:r>
        <w:rPr>
          <w:rFonts w:hint="eastAsia" w:ascii="宋体" w:hAnsi="宋体"/>
          <w:color w:val="auto"/>
          <w:sz w:val="24"/>
          <w:highlight w:val="none"/>
          <w:lang w:val="zh-CN"/>
        </w:rPr>
        <w:t>地址：浙江省杭州市钱塘区</w:t>
      </w:r>
      <w:r>
        <w:rPr>
          <w:rFonts w:hint="eastAsia" w:ascii="宋体" w:hAnsi="宋体"/>
          <w:color w:val="auto"/>
          <w:sz w:val="24"/>
          <w:highlight w:val="none"/>
        </w:rPr>
        <w:t xml:space="preserve">              </w:t>
      </w:r>
      <w:r>
        <w:rPr>
          <w:rFonts w:ascii="宋体" w:hAnsi="宋体"/>
          <w:color w:val="auto"/>
          <w:sz w:val="24"/>
          <w:highlight w:val="none"/>
          <w:lang w:val="zh-CN"/>
        </w:rPr>
        <w:t xml:space="preserve">  </w:t>
      </w:r>
      <w:r>
        <w:rPr>
          <w:rFonts w:hint="eastAsia" w:ascii="宋体" w:hAnsi="宋体"/>
          <w:color w:val="auto"/>
          <w:sz w:val="24"/>
          <w:highlight w:val="none"/>
          <w:lang w:val="zh-CN"/>
        </w:rPr>
        <w:t>地址：</w:t>
      </w:r>
    </w:p>
    <w:p>
      <w:pPr>
        <w:autoSpaceDE w:val="0"/>
        <w:autoSpaceDN w:val="0"/>
        <w:spacing w:line="360" w:lineRule="auto"/>
        <w:rPr>
          <w:rFonts w:ascii="宋体" w:hAnsi="宋体"/>
          <w:color w:val="auto"/>
          <w:sz w:val="24"/>
          <w:highlight w:val="none"/>
          <w:lang w:val="zh-CN"/>
        </w:rPr>
      </w:pPr>
      <w:r>
        <w:rPr>
          <w:rFonts w:hint="eastAsia" w:ascii="宋体" w:hAnsi="宋体"/>
          <w:color w:val="auto"/>
          <w:sz w:val="24"/>
          <w:highlight w:val="none"/>
          <w:lang w:val="zh-CN"/>
        </w:rPr>
        <w:t>临江街道红十五路10388-123号</w:t>
      </w:r>
    </w:p>
    <w:p>
      <w:pPr>
        <w:autoSpaceDE w:val="0"/>
        <w:autoSpaceDN w:val="0"/>
        <w:spacing w:line="360" w:lineRule="auto"/>
        <w:rPr>
          <w:rFonts w:ascii="宋体" w:hAnsi="宋体"/>
          <w:color w:val="auto"/>
          <w:sz w:val="24"/>
          <w:highlight w:val="none"/>
          <w:lang w:val="zh-CN"/>
        </w:rPr>
      </w:pPr>
      <w:r>
        <w:rPr>
          <w:rFonts w:hint="eastAsia" w:ascii="宋体" w:hAnsi="宋体"/>
          <w:color w:val="auto"/>
          <w:sz w:val="24"/>
          <w:highlight w:val="none"/>
          <w:lang w:val="zh-CN"/>
        </w:rPr>
        <w:t>电子邮箱：</w:t>
      </w:r>
      <w:r>
        <w:rPr>
          <w:rFonts w:ascii="宋体" w:hAnsi="宋体"/>
          <w:color w:val="auto"/>
          <w:sz w:val="24"/>
          <w:highlight w:val="none"/>
          <w:lang w:val="zh-CN"/>
        </w:rPr>
        <w:t xml:space="preserve">                               </w:t>
      </w:r>
      <w:r>
        <w:rPr>
          <w:rFonts w:hint="eastAsia" w:ascii="宋体" w:hAnsi="宋体"/>
          <w:color w:val="auto"/>
          <w:sz w:val="24"/>
          <w:highlight w:val="none"/>
          <w:lang w:val="zh-CN"/>
        </w:rPr>
        <w:t>电子邮箱：</w:t>
      </w:r>
    </w:p>
    <w:p>
      <w:pPr>
        <w:autoSpaceDE w:val="0"/>
        <w:autoSpaceDN w:val="0"/>
        <w:spacing w:line="360" w:lineRule="auto"/>
        <w:rPr>
          <w:rFonts w:ascii="宋体" w:hAnsi="宋体"/>
          <w:color w:val="auto"/>
          <w:sz w:val="24"/>
          <w:highlight w:val="none"/>
          <w:lang w:val="zh-CN"/>
        </w:rPr>
      </w:pPr>
      <w:r>
        <w:rPr>
          <w:rFonts w:hint="eastAsia" w:ascii="宋体" w:hAnsi="宋体"/>
          <w:color w:val="auto"/>
          <w:sz w:val="24"/>
          <w:highlight w:val="none"/>
          <w:lang w:val="zh-CN"/>
        </w:rPr>
        <w:t>法定代表人或授权代表</w:t>
      </w:r>
      <w:r>
        <w:rPr>
          <w:rFonts w:ascii="宋体" w:hAnsi="宋体"/>
          <w:color w:val="auto"/>
          <w:sz w:val="24"/>
          <w:highlight w:val="none"/>
          <w:lang w:val="zh-CN"/>
        </w:rPr>
        <w:t xml:space="preserve">                </w:t>
      </w:r>
      <w:r>
        <w:rPr>
          <w:rFonts w:hint="eastAsia" w:ascii="宋体" w:hAnsi="宋体"/>
          <w:color w:val="auto"/>
          <w:sz w:val="24"/>
          <w:highlight w:val="none"/>
        </w:rPr>
        <w:t xml:space="preserve"> </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法定代表人或</w:t>
      </w:r>
      <w:r>
        <w:rPr>
          <w:rFonts w:ascii="宋体" w:hAnsi="宋体"/>
          <w:color w:val="auto"/>
          <w:sz w:val="24"/>
          <w:highlight w:val="none"/>
          <w:lang w:val="zh-CN"/>
        </w:rPr>
        <w:t>授权代表</w:t>
      </w:r>
    </w:p>
    <w:p>
      <w:pPr>
        <w:autoSpaceDE w:val="0"/>
        <w:autoSpaceDN w:val="0"/>
        <w:spacing w:line="360" w:lineRule="auto"/>
        <w:rPr>
          <w:rFonts w:ascii="宋体" w:hAnsi="宋体"/>
          <w:color w:val="auto"/>
          <w:sz w:val="24"/>
          <w:highlight w:val="none"/>
          <w:lang w:val="zh-CN"/>
        </w:rPr>
      </w:pPr>
      <w:r>
        <w:rPr>
          <w:rFonts w:hint="eastAsia" w:ascii="宋体" w:hAnsi="宋体"/>
          <w:color w:val="auto"/>
          <w:sz w:val="24"/>
          <w:highlight w:val="none"/>
          <w:lang w:val="zh-CN"/>
        </w:rPr>
        <w:t>（签字）：</w:t>
      </w:r>
      <w:r>
        <w:rPr>
          <w:rFonts w:ascii="宋体" w:hAnsi="宋体"/>
          <w:color w:val="auto"/>
          <w:sz w:val="24"/>
          <w:highlight w:val="none"/>
          <w:lang w:val="zh-CN"/>
        </w:rPr>
        <w:t xml:space="preserve">                     </w:t>
      </w:r>
      <w:r>
        <w:rPr>
          <w:rFonts w:hint="eastAsia" w:ascii="宋体" w:hAnsi="宋体"/>
          <w:color w:val="auto"/>
          <w:sz w:val="24"/>
          <w:highlight w:val="none"/>
        </w:rPr>
        <w:t xml:space="preserve">          </w:t>
      </w:r>
      <w:r>
        <w:rPr>
          <w:rFonts w:ascii="宋体" w:hAnsi="宋体"/>
          <w:color w:val="auto"/>
          <w:sz w:val="24"/>
          <w:highlight w:val="none"/>
          <w:lang w:val="zh-CN"/>
        </w:rPr>
        <w:t xml:space="preserve">  （签字）: </w:t>
      </w:r>
    </w:p>
    <w:p>
      <w:pPr>
        <w:autoSpaceDE w:val="0"/>
        <w:autoSpaceDN w:val="0"/>
        <w:spacing w:line="360" w:lineRule="auto"/>
        <w:rPr>
          <w:rFonts w:ascii="宋体" w:hAnsi="宋体"/>
          <w:color w:val="auto"/>
          <w:sz w:val="24"/>
          <w:highlight w:val="none"/>
        </w:rPr>
      </w:pPr>
      <w:r>
        <w:rPr>
          <w:rFonts w:hint="eastAsia" w:ascii="宋体" w:hAnsi="宋体"/>
          <w:color w:val="auto"/>
          <w:sz w:val="24"/>
          <w:highlight w:val="none"/>
        </w:rPr>
        <w:t>开户银行：杭州银行大江东支行：</w:t>
      </w:r>
      <w:r>
        <w:rPr>
          <w:rFonts w:ascii="宋体" w:hAnsi="宋体"/>
          <w:color w:val="auto"/>
          <w:sz w:val="24"/>
          <w:highlight w:val="none"/>
        </w:rPr>
        <w:t xml:space="preserve">          开户银行： </w:t>
      </w:r>
    </w:p>
    <w:p>
      <w:pPr>
        <w:autoSpaceDE w:val="0"/>
        <w:autoSpaceDN w:val="0"/>
        <w:spacing w:line="360" w:lineRule="auto"/>
        <w:rPr>
          <w:rFonts w:ascii="宋体" w:hAnsi="宋体"/>
          <w:color w:val="auto"/>
          <w:sz w:val="24"/>
          <w:highlight w:val="none"/>
        </w:rPr>
      </w:pPr>
      <w:r>
        <w:rPr>
          <w:rFonts w:hint="eastAsia" w:ascii="宋体" w:hAnsi="宋体"/>
          <w:color w:val="auto"/>
          <w:sz w:val="24"/>
          <w:highlight w:val="none"/>
        </w:rPr>
        <w:t>开户账号：3301040160008775754</w:t>
      </w:r>
      <w:r>
        <w:rPr>
          <w:rFonts w:ascii="宋体" w:hAnsi="宋体"/>
          <w:color w:val="auto"/>
          <w:sz w:val="24"/>
          <w:highlight w:val="none"/>
          <w:lang w:val="zh-CN"/>
        </w:rPr>
        <w:t xml:space="preserve">           </w:t>
      </w:r>
      <w:r>
        <w:rPr>
          <w:rFonts w:hint="eastAsia" w:ascii="宋体" w:hAnsi="宋体"/>
          <w:color w:val="auto"/>
          <w:sz w:val="24"/>
          <w:highlight w:val="none"/>
        </w:rPr>
        <w:t>开户账号：</w:t>
      </w:r>
    </w:p>
    <w:p>
      <w:pPr>
        <w:pStyle w:val="24"/>
        <w:spacing w:line="560" w:lineRule="exact"/>
        <w:ind w:left="0" w:leftChars="0" w:firstLine="0" w:firstLineChars="0"/>
        <w:jc w:val="center"/>
        <w:rPr>
          <w:rFonts w:ascii="宋体" w:hAnsi="宋体"/>
          <w:b/>
          <w:color w:val="auto"/>
          <w:szCs w:val="24"/>
          <w:highlight w:val="none"/>
        </w:rPr>
      </w:pPr>
    </w:p>
    <w:p>
      <w:pPr>
        <w:pStyle w:val="24"/>
        <w:spacing w:line="560" w:lineRule="exact"/>
        <w:ind w:left="0" w:leftChars="0" w:firstLine="0" w:firstLineChars="0"/>
        <w:jc w:val="center"/>
        <w:rPr>
          <w:rFonts w:ascii="宋体" w:hAnsi="宋体"/>
          <w:b/>
          <w:color w:val="auto"/>
          <w:szCs w:val="24"/>
          <w:highlight w:val="none"/>
        </w:rPr>
      </w:pPr>
    </w:p>
    <w:p>
      <w:pPr>
        <w:rPr>
          <w:color w:val="auto"/>
          <w:highlight w:val="none"/>
        </w:rPr>
      </w:pPr>
    </w:p>
    <w:p>
      <w:pPr>
        <w:pStyle w:val="14"/>
        <w:rPr>
          <w:color w:val="auto"/>
          <w:highlight w:val="none"/>
        </w:rPr>
      </w:pPr>
    </w:p>
    <w:p>
      <w:pPr>
        <w:pStyle w:val="24"/>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第三章  安全协议</w:t>
      </w:r>
    </w:p>
    <w:p>
      <w:pPr>
        <w:widowControl/>
        <w:spacing w:line="360" w:lineRule="auto"/>
        <w:jc w:val="left"/>
        <w:rPr>
          <w:rFonts w:ascii="宋体" w:hAnsi="宋体" w:cs="宋体"/>
          <w:color w:val="auto"/>
          <w:sz w:val="24"/>
          <w:highlight w:val="none"/>
        </w:rPr>
      </w:pPr>
      <w:r>
        <w:rPr>
          <w:rFonts w:hint="eastAsia" w:ascii="宋体" w:hAnsi="宋体" w:cs="宋体"/>
          <w:color w:val="auto"/>
          <w:kern w:val="0"/>
          <w:sz w:val="24"/>
          <w:highlight w:val="none"/>
          <w:lang w:bidi="ar"/>
        </w:rPr>
        <w:t xml:space="preserve">发包单位：杭州临江环境能源有限公司（简称甲方） </w:t>
      </w:r>
    </w:p>
    <w:p>
      <w:pPr>
        <w:widowControl/>
        <w:spacing w:line="360" w:lineRule="auto"/>
        <w:jc w:val="left"/>
        <w:rPr>
          <w:rFonts w:ascii="宋体" w:hAnsi="宋体" w:cs="宋体"/>
          <w:color w:val="auto"/>
          <w:sz w:val="24"/>
          <w:highlight w:val="none"/>
        </w:rPr>
      </w:pPr>
      <w:r>
        <w:rPr>
          <w:rFonts w:hint="eastAsia" w:ascii="宋体" w:hAnsi="宋体" w:cs="宋体"/>
          <w:color w:val="auto"/>
          <w:kern w:val="0"/>
          <w:sz w:val="24"/>
          <w:highlight w:val="none"/>
          <w:lang w:bidi="ar"/>
        </w:rPr>
        <w:t>承包单位：</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 xml:space="preserve">（筒称乙方） </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lang w:bidi="ar"/>
        </w:rPr>
        <w:t>甲方将</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lang w:bidi="ar"/>
        </w:rPr>
        <w:t xml:space="preserve">一、服务项目 </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lang w:bidi="ar"/>
        </w:rPr>
        <w:t xml:space="preserve">1.项目名称： </w:t>
      </w:r>
      <w:r>
        <w:rPr>
          <w:rFonts w:hint="eastAsia" w:ascii="宋体" w:hAnsi="宋体" w:cs="宋体"/>
          <w:color w:val="auto"/>
          <w:kern w:val="0"/>
          <w:sz w:val="24"/>
          <w:highlight w:val="none"/>
          <w:u w:val="single"/>
          <w:lang w:bidi="ar"/>
        </w:rPr>
        <w:t xml:space="preserve">                </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lang w:bidi="ar"/>
        </w:rPr>
        <w:t xml:space="preserve">2.项目地址：位于浙江省杭州钱塘区临江街道杭州临江环境能源有限公司厂区内。 </w:t>
      </w:r>
    </w:p>
    <w:p>
      <w:pPr>
        <w:spacing w:line="360" w:lineRule="auto"/>
        <w:ind w:firstLine="602" w:firstLineChars="250"/>
        <w:rPr>
          <w:rFonts w:ascii="宋体" w:hAnsi="宋体" w:cs="宋体"/>
          <w:b/>
          <w:color w:val="auto"/>
          <w:sz w:val="24"/>
          <w:highlight w:val="none"/>
        </w:rPr>
      </w:pPr>
      <w:r>
        <w:rPr>
          <w:rFonts w:hint="eastAsia" w:ascii="宋体" w:hAnsi="宋体" w:cs="宋体"/>
          <w:b/>
          <w:color w:val="auto"/>
          <w:sz w:val="24"/>
          <w:highlight w:val="none"/>
        </w:rPr>
        <w:t>二、甲方职责</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1.甲方对乙方资质进行审查，确保符合要求，并为乙方正常服务场所工作提供便利，</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项目实施前就各实施区域的现状及周边情况向乙方进行交底。如：实施项目周边的电缆线、消防管道及排水沟及周边车辆行驶情况等。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2.为本项目指定专人负责具体的联系沟通工作。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3.做好与本项目有关的其他各级单位的沟通协调工作。</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三、乙方职责</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1.建立健全本单位该项目的安全生产责任制度和安全生产管理制度，健全组织机构，落实本现场专职安全管理人员。</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2.乙方在项目服务期间，必须对工作人员进行安全生产教育，落实安全技术交底工作，确保各类专业技术人员持证上岗。</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4.乙方在项目服务期间应严格按照用电规范要求，严禁私拉乱接电线，各类电器、照明设备必须使用防爆产品或设置防爆装置。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5.乙方内部要建立安全生产检查制度、落实自查自检，按“定人、定时间、定措施”的隐患整改原则，消除现场不安全因素。</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6．安全、规范、文明、科学作业，不损坏甲方的地上地下各类设施，确保项目实施区域安全有序。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7.接受甲方的监督检查。</w:t>
      </w:r>
    </w:p>
    <w:p>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四、违约责任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1.在项目服务过程中，乙方必须做到安全生产，并服从甲方管理人员的调度指挥，有下列行为的，乙方扣罚履约保证金500-1000元/次：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1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①</w:t>
      </w:r>
      <w:r>
        <w:rPr>
          <w:rFonts w:hint="eastAsia" w:ascii="宋体" w:hAnsi="宋体" w:cs="宋体"/>
          <w:color w:val="auto"/>
          <w:sz w:val="24"/>
          <w:highlight w:val="none"/>
        </w:rPr>
        <w:fldChar w:fldCharType="end"/>
      </w:r>
      <w:r>
        <w:rPr>
          <w:rFonts w:hint="eastAsia" w:ascii="宋体" w:hAnsi="宋体" w:cs="宋体"/>
          <w:color w:val="auto"/>
          <w:sz w:val="24"/>
          <w:highlight w:val="none"/>
        </w:rPr>
        <w:t>不服从甲方指挥，强令冒险作业；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2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②</w:t>
      </w:r>
      <w:r>
        <w:rPr>
          <w:rFonts w:hint="eastAsia" w:ascii="宋体" w:hAnsi="宋体" w:cs="宋体"/>
          <w:color w:val="auto"/>
          <w:sz w:val="24"/>
          <w:highlight w:val="none"/>
        </w:rPr>
        <w:fldChar w:fldCharType="end"/>
      </w:r>
      <w:r>
        <w:rPr>
          <w:rFonts w:hint="eastAsia" w:ascii="宋体" w:hAnsi="宋体" w:cs="宋体"/>
          <w:color w:val="auto"/>
          <w:sz w:val="24"/>
          <w:highlight w:val="none"/>
        </w:rPr>
        <w:t>未按要求参加甲方组织的各项安全检查、会议活动；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3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③</w:t>
      </w:r>
      <w:r>
        <w:rPr>
          <w:rFonts w:hint="eastAsia" w:ascii="宋体" w:hAnsi="宋体" w:cs="宋体"/>
          <w:color w:val="auto"/>
          <w:sz w:val="24"/>
          <w:highlight w:val="none"/>
        </w:rPr>
        <w:fldChar w:fldCharType="end"/>
      </w:r>
      <w:r>
        <w:rPr>
          <w:rFonts w:hint="eastAsia" w:ascii="宋体" w:hAnsi="宋体" w:cs="宋体"/>
          <w:color w:val="auto"/>
          <w:sz w:val="24"/>
          <w:highlight w:val="none"/>
        </w:rPr>
        <w:t>工作人员在禁烟区擅自动火、吸烟；</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4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④</w:t>
      </w:r>
      <w:r>
        <w:rPr>
          <w:rFonts w:hint="eastAsia" w:ascii="宋体" w:hAnsi="宋体" w:cs="宋体"/>
          <w:color w:val="auto"/>
          <w:sz w:val="24"/>
          <w:highlight w:val="none"/>
        </w:rPr>
        <w:fldChar w:fldCharType="end"/>
      </w:r>
      <w:r>
        <w:rPr>
          <w:rFonts w:hint="eastAsia" w:ascii="宋体" w:hAnsi="宋体" w:cs="宋体"/>
          <w:color w:val="auto"/>
          <w:sz w:val="24"/>
          <w:highlight w:val="none"/>
        </w:rPr>
        <w:t>工作人员未按规定穿戴劳动防护用品，经劝说不听或不服从管理的；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5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⑤</w:t>
      </w:r>
      <w:r>
        <w:rPr>
          <w:rFonts w:hint="eastAsia" w:ascii="宋体" w:hAnsi="宋体" w:cs="宋体"/>
          <w:color w:val="auto"/>
          <w:sz w:val="24"/>
          <w:highlight w:val="none"/>
        </w:rPr>
        <w:fldChar w:fldCharType="end"/>
      </w:r>
      <w:r>
        <w:rPr>
          <w:rFonts w:hint="eastAsia" w:ascii="宋体" w:hAnsi="宋体" w:cs="宋体"/>
          <w:color w:val="auto"/>
          <w:sz w:val="24"/>
          <w:highlight w:val="none"/>
        </w:rPr>
        <w:t>项目服务过程造成环境影响。</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2.乙方在项目服务过程中有下列行为的，扣罚履约保证金5000元/次：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1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①</w:t>
      </w:r>
      <w:r>
        <w:rPr>
          <w:rFonts w:hint="eastAsia" w:ascii="宋体" w:hAnsi="宋体" w:cs="宋体"/>
          <w:color w:val="auto"/>
          <w:sz w:val="24"/>
          <w:highlight w:val="none"/>
        </w:rPr>
        <w:fldChar w:fldCharType="end"/>
      </w:r>
      <w:r>
        <w:rPr>
          <w:rFonts w:hint="eastAsia" w:ascii="宋体" w:hAnsi="宋体" w:cs="宋体"/>
          <w:color w:val="auto"/>
          <w:sz w:val="24"/>
          <w:highlight w:val="none"/>
        </w:rPr>
        <w:t>由于乙方原因造成甲方被主管单位、新闻媒体、12345公开电话投诉或其他上级有关部门书面警告等通报批评的；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2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②</w:t>
      </w:r>
      <w:r>
        <w:rPr>
          <w:rFonts w:hint="eastAsia" w:ascii="宋体" w:hAnsi="宋体" w:cs="宋体"/>
          <w:color w:val="auto"/>
          <w:sz w:val="24"/>
          <w:highlight w:val="none"/>
        </w:rPr>
        <w:fldChar w:fldCharType="end"/>
      </w:r>
      <w:r>
        <w:rPr>
          <w:rFonts w:hint="eastAsia" w:ascii="宋体" w:hAnsi="宋体" w:cs="宋体"/>
          <w:color w:val="auto"/>
          <w:sz w:val="24"/>
          <w:highlight w:val="none"/>
        </w:rPr>
        <w:t>乙方未履行职责，经甲方三次书面警告的，进行停业整顿的，每次停业整顿。</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4.乙方在项目服务过程中，对甲方的设施、绿化道路造成影响，由乙方应按甲方要求及时进行原貌恢复或清理，如乙方未能及时进行处理的，甲方有权委托相关部门执行，相应费用在乙方履约保证金中扣除。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6.发生紧急情况，乙方应及时向上级主管和甲方报告，同时向相关领导或值班人员汇报。如发生人员伤亡应迅速抢救伤员，并在第一时间送就近医院。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7.在项目服务期间，乙方发生的安全事故以及造成的人员或财产损失由乙方全额负责。</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8.其他违反甲方相关安全规章制度的现象，根据违规情况每次酌情扣罚履约保证金200—1000元。</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五、其他</w:t>
      </w:r>
    </w:p>
    <w:p>
      <w:pPr>
        <w:widowControl/>
        <w:spacing w:line="360" w:lineRule="auto"/>
        <w:rPr>
          <w:rFonts w:ascii="宋体" w:hAnsi="宋体" w:cs="宋体"/>
          <w:color w:val="auto"/>
          <w:sz w:val="24"/>
          <w:highlight w:val="none"/>
        </w:rPr>
      </w:pPr>
      <w:r>
        <w:rPr>
          <w:rFonts w:hint="eastAsia" w:ascii="宋体" w:hAnsi="宋体" w:cs="宋体"/>
          <w:color w:val="auto"/>
          <w:sz w:val="24"/>
          <w:highlight w:val="none"/>
        </w:rPr>
        <w:t xml:space="preserve">    本协议有效期为双方签署之日起至双方权利义务履行完毕为止。有效期内发生的违约事实，有效期后发现的适用本协议。</w:t>
      </w:r>
    </w:p>
    <w:p>
      <w:pPr>
        <w:pStyle w:val="8"/>
        <w:ind w:firstLine="240"/>
        <w:rPr>
          <w:rFonts w:hAnsi="宋体" w:cs="宋体"/>
          <w:color w:val="auto"/>
          <w:highlight w:val="none"/>
          <w:lang w:bidi="ar"/>
        </w:rPr>
      </w:pPr>
    </w:p>
    <w:p>
      <w:pPr>
        <w:spacing w:line="360" w:lineRule="auto"/>
        <w:rPr>
          <w:rFonts w:ascii="宋体" w:hAnsi="宋体" w:cs="宋体"/>
          <w:color w:val="auto"/>
          <w:highlight w:val="none"/>
        </w:rPr>
      </w:pPr>
    </w:p>
    <w:p>
      <w:pPr>
        <w:widowControl/>
        <w:spacing w:line="360" w:lineRule="auto"/>
        <w:jc w:val="left"/>
        <w:rPr>
          <w:rFonts w:ascii="宋体" w:hAnsi="宋体" w:cs="宋体"/>
          <w:color w:val="auto"/>
          <w:sz w:val="24"/>
          <w:highlight w:val="none"/>
        </w:rPr>
      </w:pPr>
      <w:r>
        <w:rPr>
          <w:rFonts w:hint="eastAsia" w:ascii="宋体" w:hAnsi="宋体" w:cs="宋体"/>
          <w:color w:val="auto"/>
          <w:kern w:val="0"/>
          <w:sz w:val="24"/>
          <w:highlight w:val="none"/>
          <w:lang w:bidi="ar"/>
        </w:rPr>
        <w:t xml:space="preserve">甲方（盖章）：                            乙方（盖章）： </w:t>
      </w:r>
    </w:p>
    <w:p>
      <w:pPr>
        <w:widowControl/>
        <w:spacing w:line="360" w:lineRule="auto"/>
        <w:jc w:val="left"/>
        <w:rPr>
          <w:rFonts w:ascii="宋体" w:hAnsi="宋体" w:cs="宋体"/>
          <w:color w:val="auto"/>
          <w:sz w:val="24"/>
          <w:highlight w:val="none"/>
        </w:rPr>
      </w:pPr>
      <w:r>
        <w:rPr>
          <w:rFonts w:hint="eastAsia" w:ascii="宋体" w:hAnsi="宋体" w:cs="宋体"/>
          <w:color w:val="auto"/>
          <w:kern w:val="0"/>
          <w:sz w:val="24"/>
          <w:highlight w:val="none"/>
          <w:lang w:bidi="ar"/>
        </w:rPr>
        <w:t>法定代表人或授权代理人：                  法定代表人或授权代理人：</w:t>
      </w:r>
    </w:p>
    <w:p>
      <w:pPr>
        <w:pStyle w:val="14"/>
        <w:tabs>
          <w:tab w:val="right" w:leader="dot" w:pos="8738"/>
        </w:tabs>
        <w:spacing w:line="360" w:lineRule="auto"/>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（签字或盖章）                           （签字或盖章）</w:t>
      </w:r>
    </w:p>
    <w:p>
      <w:pPr>
        <w:widowControl/>
        <w:spacing w:line="360" w:lineRule="auto"/>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签订日期：                                签订日期：</w:t>
      </w:r>
    </w:p>
    <w:p>
      <w:pPr>
        <w:spacing w:line="360" w:lineRule="auto"/>
        <w:rPr>
          <w:rFonts w:ascii="宋体" w:hAnsi="宋体" w:cs="宋体"/>
          <w:color w:val="auto"/>
          <w:sz w:val="24"/>
          <w:highlight w:val="none"/>
        </w:rPr>
      </w:pPr>
    </w:p>
    <w:p>
      <w:pPr>
        <w:pStyle w:val="24"/>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第四章 廉洁协议</w:t>
      </w:r>
    </w:p>
    <w:p>
      <w:pPr>
        <w:pStyle w:val="10"/>
        <w:ind w:firstLine="0" w:firstLineChars="0"/>
        <w:rPr>
          <w:color w:val="auto"/>
          <w:highlight w:val="none"/>
        </w:rPr>
      </w:pPr>
    </w:p>
    <w:p>
      <w:pPr>
        <w:spacing w:line="360" w:lineRule="auto"/>
        <w:ind w:left="1" w:right="77" w:firstLine="426"/>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杭州临江环境能源有限公司</w:t>
      </w:r>
    </w:p>
    <w:p>
      <w:pPr>
        <w:spacing w:line="360" w:lineRule="auto"/>
        <w:ind w:left="1" w:right="77" w:firstLine="426"/>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pPr>
        <w:spacing w:line="360" w:lineRule="auto"/>
        <w:ind w:left="1" w:right="77" w:firstLine="426"/>
        <w:rPr>
          <w:rFonts w:ascii="宋体" w:hAnsi="宋体" w:cs="宋体"/>
          <w:color w:val="auto"/>
          <w:sz w:val="24"/>
          <w:highlight w:val="none"/>
        </w:rPr>
      </w:pPr>
      <w:r>
        <w:rPr>
          <w:rFonts w:hint="eastAsia" w:ascii="宋体" w:hAnsi="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ascii="宋体" w:hAnsi="宋体" w:cs="宋体"/>
          <w:b/>
          <w:bCs/>
          <w:color w:val="auto"/>
          <w:sz w:val="24"/>
          <w:highlight w:val="none"/>
        </w:rPr>
      </w:pPr>
      <w:r>
        <w:rPr>
          <w:rFonts w:hint="eastAsia" w:ascii="宋体" w:hAnsi="宋体" w:cs="宋体"/>
          <w:b/>
          <w:bCs/>
          <w:color w:val="auto"/>
          <w:sz w:val="24"/>
          <w:highlight w:val="none"/>
        </w:rPr>
        <w:t>一、甲、乙双方约定</w:t>
      </w:r>
    </w:p>
    <w:p>
      <w:pPr>
        <w:spacing w:line="360" w:lineRule="auto"/>
        <w:ind w:right="115" w:firstLine="480" w:firstLineChars="200"/>
        <w:rPr>
          <w:rFonts w:ascii="宋体" w:hAnsi="宋体" w:cs="宋体"/>
          <w:color w:val="auto"/>
          <w:sz w:val="24"/>
          <w:highlight w:val="none"/>
        </w:rPr>
      </w:pPr>
      <w:r>
        <w:rPr>
          <w:rFonts w:hint="eastAsia" w:ascii="宋体" w:hAnsi="宋体" w:cs="宋体"/>
          <w:color w:val="auto"/>
          <w:sz w:val="24"/>
          <w:highlight w:val="none"/>
        </w:rPr>
        <w:t>1.甲、乙双方应共同严格遵守国家和省市以及招标人主管部门关于市场准入、项目招标投标、市场经济活动等有关法律、法规和相关政策，以及项目廉政建设的各项规定。</w:t>
      </w:r>
    </w:p>
    <w:p>
      <w:pPr>
        <w:spacing w:line="360" w:lineRule="auto"/>
        <w:ind w:firstLine="482" w:firstLineChars="201"/>
        <w:rPr>
          <w:rFonts w:ascii="宋体" w:hAnsi="宋体" w:cs="宋体"/>
          <w:color w:val="auto"/>
          <w:sz w:val="24"/>
          <w:highlight w:val="none"/>
        </w:rPr>
      </w:pPr>
      <w:r>
        <w:rPr>
          <w:rFonts w:hint="eastAsia" w:ascii="宋体" w:hAnsi="宋体" w:cs="宋体"/>
          <w:color w:val="auto"/>
          <w:sz w:val="24"/>
          <w:highlight w:val="none"/>
        </w:rPr>
        <w:t>2.甲、乙双方应认真执行双方签订的合同文件，  自觉按合同约定履行责任。</w:t>
      </w:r>
    </w:p>
    <w:p>
      <w:pPr>
        <w:spacing w:line="360" w:lineRule="auto"/>
        <w:ind w:left="4" w:right="77" w:firstLine="480" w:firstLineChars="200"/>
        <w:rPr>
          <w:rFonts w:ascii="宋体" w:hAnsi="宋体" w:cs="宋体"/>
          <w:color w:val="auto"/>
          <w:sz w:val="24"/>
          <w:highlight w:val="none"/>
        </w:rPr>
      </w:pPr>
      <w:r>
        <w:rPr>
          <w:rFonts w:hint="eastAsia" w:ascii="宋体" w:hAnsi="宋体" w:cs="宋体"/>
          <w:color w:val="auto"/>
          <w:sz w:val="24"/>
          <w:highlight w:val="none"/>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ascii="宋体" w:hAnsi="宋体" w:cs="宋体"/>
          <w:color w:val="auto"/>
          <w:sz w:val="24"/>
          <w:highlight w:val="none"/>
        </w:rPr>
      </w:pPr>
      <w:r>
        <w:rPr>
          <w:rFonts w:hint="eastAsia" w:ascii="宋体" w:hAnsi="宋体" w:cs="宋体"/>
          <w:color w:val="auto"/>
          <w:sz w:val="24"/>
          <w:highlight w:val="none"/>
        </w:rPr>
        <w:t>4.甲、乙双方有对本方人员开展廉政告知、廉政教育和职业道德教育的义务。</w:t>
      </w:r>
    </w:p>
    <w:p>
      <w:pPr>
        <w:spacing w:line="360" w:lineRule="auto"/>
        <w:ind w:left="3" w:right="77" w:firstLine="480" w:firstLineChars="200"/>
        <w:rPr>
          <w:rFonts w:ascii="宋体" w:hAnsi="宋体" w:cs="宋体"/>
          <w:color w:val="auto"/>
          <w:sz w:val="24"/>
          <w:highlight w:val="none"/>
        </w:rPr>
      </w:pPr>
      <w:r>
        <w:rPr>
          <w:rFonts w:hint="eastAsia" w:ascii="宋体" w:hAnsi="宋体" w:cs="宋体"/>
          <w:color w:val="auto"/>
          <w:sz w:val="24"/>
          <w:highlight w:val="none"/>
        </w:rPr>
        <w:t>5.甲、乙双方应加强对本方人员廉政监督，建立健全廉政制度，认真严肃查处本方人员违法违纪行为。</w:t>
      </w:r>
    </w:p>
    <w:p>
      <w:pPr>
        <w:spacing w:line="360" w:lineRule="auto"/>
        <w:ind w:right="77" w:firstLine="482" w:firstLineChars="201"/>
        <w:rPr>
          <w:rFonts w:ascii="宋体" w:hAnsi="宋体" w:cs="宋体"/>
          <w:color w:val="auto"/>
          <w:sz w:val="24"/>
          <w:highlight w:val="none"/>
        </w:rPr>
      </w:pPr>
      <w:r>
        <w:rPr>
          <w:rFonts w:hint="eastAsia" w:ascii="宋体" w:hAnsi="宋体" w:cs="宋体"/>
          <w:color w:val="auto"/>
          <w:sz w:val="24"/>
          <w:highlight w:val="none"/>
        </w:rPr>
        <w:t>6.甲、乙双方如发现对方人员在业务活动中有违规、违纪、违法行为的，应及时提醒对方并督促其纠正，或直接向对方法人代表、纪检监察部门及检察机关如实反映情况。</w:t>
      </w:r>
    </w:p>
    <w:p>
      <w:pPr>
        <w:spacing w:line="360" w:lineRule="auto"/>
        <w:ind w:firstLine="489" w:firstLineChars="203"/>
        <w:rPr>
          <w:rFonts w:ascii="宋体" w:hAnsi="宋体" w:cs="宋体"/>
          <w:b/>
          <w:bCs/>
          <w:color w:val="auto"/>
          <w:sz w:val="24"/>
          <w:highlight w:val="none"/>
        </w:rPr>
      </w:pPr>
      <w:r>
        <w:rPr>
          <w:rFonts w:hint="eastAsia" w:ascii="宋体" w:hAnsi="宋体" w:cs="宋体"/>
          <w:b/>
          <w:bCs/>
          <w:color w:val="auto"/>
          <w:sz w:val="24"/>
          <w:highlight w:val="none"/>
        </w:rPr>
        <w:t>二、甲方（含甲方人员）廉政责任</w:t>
      </w:r>
    </w:p>
    <w:p>
      <w:pPr>
        <w:spacing w:line="360" w:lineRule="auto"/>
        <w:ind w:firstLine="482" w:firstLineChars="201"/>
        <w:rPr>
          <w:rFonts w:ascii="宋体" w:hAnsi="宋体" w:cs="宋体"/>
          <w:color w:val="auto"/>
          <w:sz w:val="24"/>
          <w:highlight w:val="none"/>
        </w:rPr>
      </w:pPr>
      <w:r>
        <w:rPr>
          <w:rFonts w:hint="eastAsia" w:ascii="宋体" w:hAnsi="宋体" w:cs="宋体"/>
          <w:color w:val="auto"/>
          <w:sz w:val="24"/>
          <w:highlight w:val="none"/>
        </w:rPr>
        <w:t>1.不得接受乙方或向乙方索取或以借用为名占用乙方的任何财物；不得接受乙方的礼金、礼品和各种有价证券、支付凭证及其他贵重物品；不得接受乙方的以任何名义支付的回扣、好处费、感谢费或其他经济利益。</w:t>
      </w:r>
    </w:p>
    <w:p>
      <w:pPr>
        <w:spacing w:line="360" w:lineRule="auto"/>
        <w:ind w:right="77" w:firstLine="480" w:firstLineChars="200"/>
        <w:rPr>
          <w:rFonts w:ascii="宋体" w:hAnsi="宋体" w:cs="宋体"/>
          <w:color w:val="auto"/>
          <w:sz w:val="24"/>
          <w:highlight w:val="none"/>
        </w:rPr>
      </w:pPr>
      <w:r>
        <w:rPr>
          <w:rFonts w:hint="eastAsia" w:ascii="宋体" w:hAnsi="宋体" w:cs="宋体"/>
          <w:color w:val="auto"/>
          <w:sz w:val="24"/>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ascii="宋体" w:hAnsi="宋体" w:cs="宋体"/>
          <w:color w:val="auto"/>
          <w:sz w:val="24"/>
          <w:highlight w:val="none"/>
        </w:rPr>
      </w:pPr>
      <w:r>
        <w:rPr>
          <w:rFonts w:hint="eastAsia" w:ascii="宋体" w:hAnsi="宋体" w:cs="宋体"/>
          <w:color w:val="auto"/>
          <w:sz w:val="24"/>
          <w:highlight w:val="none"/>
        </w:rPr>
        <w:t>3.不得利用职务便利向乙方介绍或指定工程分包单位（或个人）、物资供应商；不得利用职务便利向乙方推销或指定使用物资设备等。</w:t>
      </w:r>
    </w:p>
    <w:p>
      <w:pPr>
        <w:spacing w:line="360" w:lineRule="auto"/>
        <w:ind w:firstLine="482" w:firstLineChars="201"/>
        <w:rPr>
          <w:rFonts w:ascii="宋体" w:hAnsi="宋体" w:cs="宋体"/>
          <w:color w:val="auto"/>
          <w:sz w:val="24"/>
          <w:highlight w:val="none"/>
        </w:rPr>
      </w:pPr>
      <w:r>
        <w:rPr>
          <w:rFonts w:hint="eastAsia" w:ascii="宋体" w:hAnsi="宋体" w:cs="宋体"/>
          <w:color w:val="auto"/>
          <w:sz w:val="24"/>
          <w:highlight w:val="none"/>
        </w:rPr>
        <w:t>4.不得接受乙方购置的或长期提供的通信工具、交通工具等。</w:t>
      </w:r>
    </w:p>
    <w:p>
      <w:pPr>
        <w:spacing w:line="360" w:lineRule="auto"/>
        <w:ind w:left="1" w:right="77" w:firstLine="480" w:firstLineChars="200"/>
        <w:rPr>
          <w:rFonts w:ascii="宋体" w:hAnsi="宋体" w:cs="宋体"/>
          <w:color w:val="auto"/>
          <w:sz w:val="24"/>
          <w:highlight w:val="none"/>
        </w:rPr>
      </w:pPr>
      <w:r>
        <w:rPr>
          <w:rFonts w:hint="eastAsia" w:ascii="宋体" w:hAnsi="宋体" w:cs="宋体"/>
          <w:color w:val="auto"/>
          <w:sz w:val="24"/>
          <w:highlight w:val="none"/>
        </w:rPr>
        <w:t>5.对无法拒绝的乙方及其个人所送的钱物，受礼者自收受之日起一个月内上交至甲方监察审计部门。</w:t>
      </w:r>
    </w:p>
    <w:p>
      <w:pPr>
        <w:spacing w:line="360" w:lineRule="auto"/>
        <w:ind w:left="244" w:leftChars="116" w:right="3503" w:firstLine="475" w:firstLineChars="198"/>
        <w:rPr>
          <w:rFonts w:ascii="宋体" w:hAnsi="宋体" w:cs="宋体"/>
          <w:color w:val="auto"/>
          <w:sz w:val="24"/>
          <w:highlight w:val="none"/>
        </w:rPr>
      </w:pPr>
      <w:r>
        <w:rPr>
          <w:rFonts w:hint="eastAsia" w:ascii="宋体" w:hAnsi="宋体" w:cs="宋体"/>
          <w:color w:val="auto"/>
          <w:sz w:val="24"/>
          <w:highlight w:val="none"/>
        </w:rPr>
        <w:t>6.对乙方提供的有关信息，应及时调查处理并反馈结果。</w:t>
      </w:r>
    </w:p>
    <w:p>
      <w:pPr>
        <w:spacing w:line="360" w:lineRule="auto"/>
        <w:ind w:left="244" w:leftChars="116" w:right="3503" w:firstLine="477" w:firstLineChars="198"/>
        <w:rPr>
          <w:rFonts w:ascii="宋体" w:hAnsi="宋体" w:cs="宋体"/>
          <w:b/>
          <w:bCs/>
          <w:color w:val="auto"/>
          <w:sz w:val="24"/>
          <w:highlight w:val="none"/>
        </w:rPr>
      </w:pPr>
      <w:r>
        <w:rPr>
          <w:rFonts w:hint="eastAsia" w:ascii="宋体" w:hAnsi="宋体" w:cs="宋体"/>
          <w:b/>
          <w:bCs/>
          <w:color w:val="auto"/>
          <w:sz w:val="24"/>
          <w:highlight w:val="none"/>
        </w:rPr>
        <w:t>三、乙方（含乙方人员）廉政责任</w:t>
      </w:r>
    </w:p>
    <w:p>
      <w:pPr>
        <w:spacing w:line="360" w:lineRule="auto"/>
        <w:ind w:right="77" w:firstLine="480" w:firstLineChars="200"/>
        <w:rPr>
          <w:rFonts w:ascii="宋体" w:hAnsi="宋体" w:cs="宋体"/>
          <w:color w:val="auto"/>
          <w:sz w:val="24"/>
          <w:highlight w:val="none"/>
        </w:rPr>
      </w:pPr>
      <w:r>
        <w:rPr>
          <w:rFonts w:hint="eastAsia" w:ascii="宋体" w:hAnsi="宋体" w:cs="宋体"/>
          <w:color w:val="auto"/>
          <w:sz w:val="24"/>
          <w:highlight w:val="none"/>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ascii="宋体" w:hAnsi="宋体" w:cs="宋体"/>
          <w:color w:val="auto"/>
          <w:sz w:val="24"/>
          <w:highlight w:val="none"/>
        </w:rPr>
      </w:pPr>
      <w:r>
        <w:rPr>
          <w:rFonts w:hint="eastAsia" w:ascii="宋体" w:hAnsi="宋体" w:cs="宋体"/>
          <w:color w:val="auto"/>
          <w:sz w:val="24"/>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ascii="宋体" w:hAnsi="宋体" w:cs="宋体"/>
          <w:color w:val="auto"/>
          <w:sz w:val="24"/>
          <w:highlight w:val="none"/>
        </w:rPr>
      </w:pPr>
      <w:r>
        <w:rPr>
          <w:rFonts w:hint="eastAsia" w:ascii="宋体" w:hAnsi="宋体" w:cs="宋体"/>
          <w:color w:val="auto"/>
          <w:sz w:val="24"/>
          <w:highlight w:val="none"/>
        </w:rPr>
        <w:t>3.不得接受甲方介绍或指定的工程分包单位和物资供应商；不得接受甲方推销或指定使用的物资设备。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4.不得以任何理由为甲方及其工作人员购置或长期提供通信工具、交通工具等。</w:t>
      </w:r>
    </w:p>
    <w:p>
      <w:pPr>
        <w:spacing w:line="360" w:lineRule="auto"/>
        <w:ind w:left="3" w:right="24" w:firstLine="480" w:firstLineChars="200"/>
        <w:rPr>
          <w:rFonts w:ascii="宋体" w:hAnsi="宋体" w:cs="宋体"/>
          <w:color w:val="auto"/>
          <w:sz w:val="24"/>
          <w:highlight w:val="none"/>
        </w:rPr>
      </w:pPr>
      <w:r>
        <w:rPr>
          <w:rFonts w:hint="eastAsia" w:ascii="宋体" w:hAnsi="宋体" w:cs="宋体"/>
          <w:color w:val="auto"/>
          <w:sz w:val="24"/>
          <w:highlight w:val="none"/>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ascii="宋体" w:hAnsi="宋体" w:cs="宋体"/>
          <w:color w:val="auto"/>
          <w:sz w:val="24"/>
          <w:highlight w:val="none"/>
        </w:rPr>
      </w:pPr>
      <w:r>
        <w:rPr>
          <w:rFonts w:hint="eastAsia" w:ascii="宋体" w:hAnsi="宋体" w:cs="宋体"/>
          <w:color w:val="auto"/>
          <w:sz w:val="24"/>
          <w:highlight w:val="none"/>
        </w:rPr>
        <w:t>6.对甲方提供的乙方（含乙方人员）违纪违规有关信息，应及时调查处理并反馈结果。</w:t>
      </w:r>
    </w:p>
    <w:p>
      <w:pPr>
        <w:spacing w:line="360" w:lineRule="auto"/>
        <w:ind w:left="3" w:right="24" w:firstLine="480" w:firstLineChars="200"/>
        <w:rPr>
          <w:rFonts w:ascii="宋体" w:hAnsi="宋体" w:cs="宋体"/>
          <w:color w:val="auto"/>
          <w:sz w:val="24"/>
          <w:highlight w:val="none"/>
        </w:rPr>
      </w:pPr>
      <w:r>
        <w:rPr>
          <w:rFonts w:hint="eastAsia" w:ascii="宋体" w:hAnsi="宋体" w:cs="宋体"/>
          <w:color w:val="auto"/>
          <w:sz w:val="24"/>
          <w:highlight w:val="none"/>
        </w:rPr>
        <w:t>7.乙方不得以任何理由为甲方及其工作人员组织有可能影响公正执行公务的宴请和各类休闲娱乐等活动。</w:t>
      </w:r>
    </w:p>
    <w:p>
      <w:pPr>
        <w:spacing w:line="360" w:lineRule="auto"/>
        <w:ind w:left="244" w:leftChars="116" w:right="90" w:firstLine="475" w:firstLineChars="198"/>
        <w:rPr>
          <w:rFonts w:ascii="宋体" w:hAnsi="宋体" w:cs="宋体"/>
          <w:color w:val="auto"/>
          <w:sz w:val="24"/>
          <w:highlight w:val="none"/>
        </w:rPr>
      </w:pPr>
      <w:r>
        <w:rPr>
          <w:rFonts w:hint="eastAsia" w:ascii="宋体" w:hAnsi="宋体" w:cs="宋体"/>
          <w:color w:val="auto"/>
          <w:sz w:val="24"/>
          <w:highlight w:val="none"/>
        </w:rPr>
        <w:t>8.乙方及其工作人员必须严格按照有关规程办事，不得与其他单位互相串通，损害甲方利益。</w:t>
      </w:r>
    </w:p>
    <w:p>
      <w:pPr>
        <w:spacing w:line="360" w:lineRule="auto"/>
        <w:ind w:left="244" w:leftChars="116" w:right="90" w:firstLine="477" w:firstLineChars="198"/>
        <w:rPr>
          <w:rFonts w:ascii="宋体" w:hAnsi="宋体" w:cs="宋体"/>
          <w:b/>
          <w:bCs/>
          <w:color w:val="auto"/>
          <w:sz w:val="24"/>
          <w:highlight w:val="none"/>
        </w:rPr>
      </w:pPr>
      <w:r>
        <w:rPr>
          <w:rFonts w:hint="eastAsia" w:ascii="宋体" w:hAnsi="宋体" w:cs="宋体"/>
          <w:b/>
          <w:bCs/>
          <w:color w:val="auto"/>
          <w:sz w:val="24"/>
          <w:highlight w:val="none"/>
        </w:rPr>
        <w:t>四、违约责任</w:t>
      </w:r>
    </w:p>
    <w:p>
      <w:pPr>
        <w:spacing w:line="360" w:lineRule="auto"/>
        <w:ind w:left="3" w:right="24" w:firstLine="506" w:firstLineChars="211"/>
        <w:rPr>
          <w:rFonts w:ascii="宋体" w:hAnsi="宋体" w:cs="宋体"/>
          <w:color w:val="auto"/>
          <w:sz w:val="24"/>
          <w:highlight w:val="none"/>
        </w:rPr>
      </w:pPr>
      <w:r>
        <w:rPr>
          <w:rFonts w:hint="eastAsia" w:ascii="宋体" w:hAnsi="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ascii="宋体" w:hAnsi="宋体" w:cs="宋体"/>
          <w:color w:val="auto"/>
          <w:sz w:val="24"/>
          <w:highlight w:val="none"/>
        </w:rPr>
      </w:pPr>
      <w:r>
        <w:rPr>
          <w:rFonts w:hint="eastAsia" w:ascii="宋体" w:hAnsi="宋体" w:cs="宋体"/>
          <w:color w:val="auto"/>
          <w:sz w:val="24"/>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ascii="宋体" w:hAnsi="宋体" w:cs="宋体"/>
          <w:color w:val="auto"/>
          <w:sz w:val="24"/>
          <w:highlight w:val="none"/>
        </w:rPr>
      </w:pPr>
      <w:r>
        <w:rPr>
          <w:rFonts w:hint="eastAsia" w:ascii="宋体" w:hAnsi="宋体" w:cs="宋体"/>
          <w:color w:val="auto"/>
          <w:sz w:val="24"/>
          <w:highlight w:val="none"/>
        </w:rPr>
        <w:t>2.乙方贿赂甲方人员的，被纪检监察部门或检察机关立案查处的，甲方有权中止项目合同，由此造成甲方的损失以及一切费用均由乙方承担。</w:t>
      </w:r>
    </w:p>
    <w:p>
      <w:pPr>
        <w:spacing w:line="360" w:lineRule="auto"/>
        <w:ind w:left="3" w:right="24" w:firstLine="480" w:firstLineChars="200"/>
        <w:rPr>
          <w:rFonts w:ascii="宋体" w:hAnsi="宋体" w:cs="宋体"/>
          <w:color w:val="auto"/>
          <w:sz w:val="24"/>
          <w:highlight w:val="none"/>
        </w:rPr>
      </w:pPr>
      <w:r>
        <w:rPr>
          <w:rFonts w:hint="eastAsia" w:ascii="宋体" w:hAnsi="宋体" w:cs="宋体"/>
          <w:color w:val="auto"/>
          <w:sz w:val="24"/>
          <w:highlight w:val="none"/>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ascii="宋体" w:hAnsi="宋体" w:cs="宋体"/>
          <w:color w:val="auto"/>
          <w:sz w:val="24"/>
          <w:highlight w:val="none"/>
        </w:rPr>
      </w:pPr>
      <w:r>
        <w:rPr>
          <w:rFonts w:hint="eastAsia" w:ascii="宋体" w:hAnsi="宋体" w:cs="宋体"/>
          <w:color w:val="auto"/>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ascii="宋体" w:hAnsi="宋体" w:cs="宋体"/>
          <w:color w:val="auto"/>
          <w:sz w:val="24"/>
          <w:highlight w:val="none"/>
        </w:rPr>
      </w:pPr>
      <w:r>
        <w:rPr>
          <w:rFonts w:hint="eastAsia" w:ascii="宋体" w:hAnsi="宋体" w:cs="宋体"/>
          <w:color w:val="auto"/>
          <w:sz w:val="24"/>
          <w:highlight w:val="none"/>
        </w:rPr>
        <w:t>5.由于甲乙双方单位或工作人员个人行为造成违约的，双方承担上述违约责任。</w:t>
      </w:r>
    </w:p>
    <w:p>
      <w:pPr>
        <w:spacing w:line="360" w:lineRule="auto"/>
        <w:ind w:left="3" w:right="24" w:firstLine="480" w:firstLineChars="200"/>
        <w:rPr>
          <w:rFonts w:ascii="宋体" w:hAnsi="宋体" w:cs="宋体"/>
          <w:color w:val="auto"/>
          <w:sz w:val="24"/>
          <w:highlight w:val="none"/>
        </w:rPr>
      </w:pPr>
      <w:r>
        <w:rPr>
          <w:rFonts w:hint="eastAsia" w:ascii="宋体" w:hAnsi="宋体" w:cs="宋体"/>
          <w:color w:val="auto"/>
          <w:sz w:val="24"/>
          <w:highlight w:val="none"/>
        </w:rPr>
        <w:t>6.甲乙双方在履行协议中发生争议，一方有权向对方上级单位主管部门和纪检监察部门反映情况并要求帮助解决争议。</w:t>
      </w:r>
    </w:p>
    <w:p>
      <w:pPr>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pPr>
        <w:spacing w:line="360" w:lineRule="auto"/>
        <w:ind w:firstLine="489" w:firstLineChars="204"/>
        <w:rPr>
          <w:rFonts w:ascii="宋体" w:hAnsi="宋体" w:cs="宋体"/>
          <w:color w:val="auto"/>
          <w:sz w:val="24"/>
          <w:highlight w:val="none"/>
        </w:rPr>
      </w:pPr>
      <w:r>
        <w:rPr>
          <w:rFonts w:hint="eastAsia" w:ascii="宋体" w:hAnsi="宋体" w:cs="宋体"/>
          <w:color w:val="auto"/>
          <w:sz w:val="24"/>
          <w:highlight w:val="none"/>
        </w:rPr>
        <w:t>本协议有效期为双方签署之日起至双方权利义务履行完毕为止。有效期内发生的违约事实，有效期后发现的适用本协议。</w:t>
      </w:r>
    </w:p>
    <w:p>
      <w:pPr>
        <w:spacing w:line="360" w:lineRule="auto"/>
        <w:ind w:firstLine="32"/>
        <w:rPr>
          <w:rFonts w:ascii="宋体" w:hAnsi="宋体" w:cs="宋体"/>
          <w:color w:val="auto"/>
          <w:sz w:val="24"/>
          <w:highlight w:val="none"/>
        </w:rPr>
      </w:pPr>
    </w:p>
    <w:p>
      <w:pPr>
        <w:spacing w:line="360" w:lineRule="auto"/>
        <w:ind w:firstLine="32"/>
        <w:rPr>
          <w:rFonts w:ascii="宋体" w:hAnsi="宋体" w:cs="宋体"/>
          <w:color w:val="auto"/>
          <w:sz w:val="24"/>
          <w:highlight w:val="none"/>
        </w:rPr>
      </w:pPr>
      <w:r>
        <w:rPr>
          <w:rFonts w:hint="eastAsia" w:ascii="宋体" w:hAnsi="宋体" w:cs="宋体"/>
          <w:b/>
          <w:bCs/>
          <w:color w:val="auto"/>
          <w:sz w:val="24"/>
          <w:highlight w:val="none"/>
        </w:rPr>
        <w:t>甲方（盖章）</w:t>
      </w:r>
      <w:r>
        <w:rPr>
          <w:rFonts w:hint="eastAsia" w:ascii="宋体" w:hAnsi="宋体" w:cs="宋体"/>
          <w:color w:val="auto"/>
          <w:sz w:val="24"/>
          <w:highlight w:val="none"/>
        </w:rPr>
        <w:t>：杭州临江环境能源有限公司</w:t>
      </w:r>
    </w:p>
    <w:p>
      <w:pPr>
        <w:spacing w:line="360" w:lineRule="auto"/>
        <w:ind w:firstLine="32"/>
        <w:rPr>
          <w:rFonts w:ascii="宋体" w:hAnsi="宋体" w:cs="宋体"/>
          <w:color w:val="auto"/>
          <w:sz w:val="24"/>
          <w:highlight w:val="none"/>
        </w:rPr>
      </w:pPr>
      <w:r>
        <w:rPr>
          <w:rFonts w:hint="eastAsia" w:ascii="宋体" w:hAnsi="宋体" w:cs="宋体"/>
          <w:color w:val="auto"/>
          <w:sz w:val="24"/>
          <w:highlight w:val="none"/>
        </w:rPr>
        <w:t xml:space="preserve">法定代表人或受委托人（签字）：          </w:t>
      </w:r>
    </w:p>
    <w:p>
      <w:pPr>
        <w:spacing w:line="360" w:lineRule="auto"/>
        <w:rPr>
          <w:rFonts w:ascii="宋体" w:hAnsi="宋体" w:cs="宋体"/>
          <w:color w:val="auto"/>
          <w:sz w:val="24"/>
          <w:highlight w:val="none"/>
        </w:rPr>
      </w:pPr>
    </w:p>
    <w:p>
      <w:pPr>
        <w:pStyle w:val="7"/>
        <w:rPr>
          <w:color w:val="auto"/>
          <w:highlight w:val="none"/>
        </w:rPr>
      </w:pPr>
    </w:p>
    <w:p>
      <w:pPr>
        <w:spacing w:line="360" w:lineRule="auto"/>
        <w:rPr>
          <w:rFonts w:ascii="宋体" w:hAnsi="宋体" w:cs="宋体"/>
          <w:color w:val="auto"/>
          <w:sz w:val="24"/>
          <w:highlight w:val="none"/>
        </w:rPr>
      </w:pPr>
      <w:r>
        <w:rPr>
          <w:rFonts w:hint="eastAsia" w:ascii="宋体" w:hAnsi="宋体" w:cs="宋体"/>
          <w:b/>
          <w:bCs/>
          <w:color w:val="auto"/>
          <w:sz w:val="24"/>
          <w:highlight w:val="none"/>
        </w:rPr>
        <w:t>乙方（盖章）</w:t>
      </w:r>
      <w:r>
        <w:rPr>
          <w:rFonts w:hint="eastAsia" w:ascii="宋体" w:hAnsi="宋体" w:cs="宋体"/>
          <w:color w:val="auto"/>
          <w:sz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法定代表人或受委托人（签字）：</w:t>
      </w:r>
    </w:p>
    <w:p>
      <w:pPr>
        <w:pStyle w:val="8"/>
        <w:rPr>
          <w:color w:val="auto"/>
          <w:highlight w:val="none"/>
        </w:rPr>
      </w:pPr>
    </w:p>
    <w:p>
      <w:pPr>
        <w:rPr>
          <w:color w:val="auto"/>
          <w:highlight w:val="none"/>
        </w:rPr>
      </w:pPr>
    </w:p>
    <w:p>
      <w:pPr>
        <w:pStyle w:val="7"/>
        <w:rPr>
          <w:color w:val="auto"/>
          <w:highlight w:val="none"/>
        </w:rPr>
      </w:pPr>
    </w:p>
    <w:p>
      <w:pPr>
        <w:pStyle w:val="7"/>
        <w:rPr>
          <w:color w:val="auto"/>
          <w:highlight w:val="none"/>
        </w:rPr>
      </w:pPr>
    </w:p>
    <w:p>
      <w:pPr>
        <w:pStyle w:val="8"/>
        <w:rPr>
          <w:color w:val="auto"/>
          <w:highlight w:val="none"/>
        </w:rPr>
      </w:pPr>
    </w:p>
    <w:p>
      <w:pPr>
        <w:rPr>
          <w:color w:val="auto"/>
          <w:highlight w:val="none"/>
        </w:rPr>
      </w:pPr>
    </w:p>
    <w:p>
      <w:pPr>
        <w:rPr>
          <w:color w:val="auto"/>
          <w:highlight w:val="none"/>
        </w:rPr>
      </w:pPr>
    </w:p>
    <w:p>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pPr>
        <w:spacing w:line="460" w:lineRule="exact"/>
        <w:jc w:val="center"/>
        <w:outlineLvl w:val="0"/>
        <w:rPr>
          <w:rFonts w:cs="仿宋" w:asciiTheme="minorEastAsia" w:hAnsiTheme="minorEastAsia"/>
          <w:b/>
          <w:color w:val="auto"/>
          <w:kern w:val="0"/>
          <w:sz w:val="24"/>
          <w:highlight w:val="none"/>
        </w:rPr>
      </w:pP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pPr>
        <w:spacing w:line="360" w:lineRule="auto"/>
        <w:jc w:val="center"/>
        <w:outlineLvl w:val="0"/>
        <w:rPr>
          <w:rFonts w:cs="仿宋" w:asciiTheme="minorEastAsia" w:hAnsiTheme="minorEastAsia"/>
          <w:b/>
          <w:color w:val="auto"/>
          <w:kern w:val="0"/>
          <w:sz w:val="36"/>
          <w:szCs w:val="36"/>
          <w:highlight w:val="none"/>
        </w:rPr>
      </w:pP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（3）本项目的特定资格要求（如果有）…………………………………（页码）</w:t>
      </w: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rPr>
        <w:t>2024年临江公司</w:t>
      </w:r>
      <w:r>
        <w:rPr>
          <w:rFonts w:hint="eastAsia" w:cs="仿宋" w:asciiTheme="minorEastAsia" w:hAnsiTheme="minorEastAsia"/>
          <w:color w:val="auto"/>
          <w:sz w:val="24"/>
          <w:highlight w:val="none"/>
          <w:u w:val="single"/>
          <w:lang w:eastAsia="zh-CN"/>
        </w:rPr>
        <w:t>110kV</w:t>
      </w:r>
      <w:r>
        <w:rPr>
          <w:rFonts w:hint="eastAsia" w:cs="仿宋" w:asciiTheme="minorEastAsia" w:hAnsiTheme="minorEastAsia"/>
          <w:color w:val="auto"/>
          <w:sz w:val="24"/>
          <w:highlight w:val="none"/>
          <w:u w:val="single"/>
        </w:rPr>
        <w:t>升压站电力数据网络运行维护委外维保</w:t>
      </w:r>
      <w:r>
        <w:rPr>
          <w:rFonts w:cs="仿宋" w:asciiTheme="minorEastAsia" w:hAnsiTheme="minorEastAsia"/>
          <w:color w:val="auto"/>
          <w:sz w:val="24"/>
          <w:highlight w:val="none"/>
          <w:u w:val="single"/>
        </w:rPr>
        <w:t>服务</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202312011</w:t>
      </w:r>
      <w:r>
        <w:rPr>
          <w:rFonts w:hint="eastAsia" w:cs="仿宋" w:asciiTheme="minorEastAsia" w:hAnsiTheme="minorEastAsia"/>
          <w:color w:val="auto"/>
          <w:sz w:val="24"/>
          <w:highlight w:val="none"/>
        </w:rPr>
        <w:t>】采购活动，郑重承诺：</w:t>
      </w:r>
    </w:p>
    <w:p>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pPr>
        <w:snapToGrid w:val="0"/>
        <w:spacing w:line="360" w:lineRule="auto"/>
        <w:ind w:right="480"/>
        <w:jc w:val="center"/>
        <w:rPr>
          <w:rFonts w:cs="仿宋" w:asciiTheme="minorEastAsia" w:hAnsiTheme="minorEastAsia"/>
          <w:b/>
          <w:color w:val="auto"/>
          <w:kern w:val="0"/>
          <w:sz w:val="32"/>
          <w:szCs w:val="32"/>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pPr>
        <w:pStyle w:val="7"/>
        <w:rPr>
          <w:color w:val="auto"/>
          <w:highlight w:val="none"/>
          <w:lang w:val="en-US"/>
        </w:rPr>
      </w:pPr>
    </w:p>
    <w:p>
      <w:pPr>
        <w:spacing w:line="360" w:lineRule="auto"/>
        <w:ind w:firstLine="643" w:firstLineChars="200"/>
        <w:rPr>
          <w:rFonts w:cs="仿宋" w:asciiTheme="minorEastAsia" w:hAnsiTheme="minorEastAsia"/>
          <w:b/>
          <w:color w:val="auto"/>
          <w:kern w:val="0"/>
          <w:sz w:val="32"/>
          <w:szCs w:val="32"/>
          <w:highlight w:val="none"/>
        </w:rPr>
      </w:pPr>
    </w:p>
    <w:p>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三、本项目的特定资格要求</w:t>
      </w:r>
    </w:p>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（根据采购公告本项目的特定资格要求提供相应的材料；</w:t>
      </w:r>
      <w:r>
        <w:rPr>
          <w:rFonts w:hint="eastAsia" w:cs="仿宋" w:asciiTheme="minorEastAsia" w:hAnsiTheme="minorEastAsia"/>
          <w:b/>
          <w:bCs/>
          <w:color w:val="auto"/>
          <w:sz w:val="36"/>
          <w:szCs w:val="36"/>
          <w:highlight w:val="none"/>
        </w:rPr>
        <w:t>如业绩等</w:t>
      </w:r>
      <w:r>
        <w:rPr>
          <w:rFonts w:hint="eastAsia" w:cs="仿宋" w:asciiTheme="minorEastAsia" w:hAnsiTheme="minorEastAsia"/>
          <w:color w:val="auto"/>
          <w:sz w:val="24"/>
          <w:highlight w:val="none"/>
        </w:rPr>
        <w:t>，未要求的，无需提供）</w:t>
      </w: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pStyle w:val="7"/>
        <w:rPr>
          <w:color w:val="auto"/>
          <w:highlight w:val="none"/>
        </w:rPr>
      </w:pPr>
    </w:p>
    <w:p>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pPr>
        <w:spacing w:line="360" w:lineRule="auto"/>
        <w:jc w:val="center"/>
        <w:outlineLvl w:val="0"/>
        <w:rPr>
          <w:rFonts w:cs="仿宋" w:asciiTheme="minorEastAsia" w:hAnsiTheme="minorEastAsia"/>
          <w:b/>
          <w:color w:val="auto"/>
          <w:kern w:val="0"/>
          <w:sz w:val="24"/>
          <w:highlight w:val="none"/>
        </w:rPr>
      </w:pPr>
    </w:p>
    <w:p>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（3）分包意向协议（如果有）…………………………………………………（页码）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（4）符合性审查资料……………………………………………………………（页码）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（5）响应产品规格配置清单（若有）…………………………………………（页码）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（6）商务技术偏离表……………………………………………………………（页码）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（8）供应商股东信息及出资比例信息表………………………………………（页码）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（9）供应商服务质量保证承诺函………………………………………………（页码）</w:t>
      </w: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8"/>
        <w:ind w:firstLine="0"/>
        <w:rPr>
          <w:color w:val="auto"/>
          <w:highlight w:val="none"/>
        </w:rPr>
      </w:pPr>
    </w:p>
    <w:p>
      <w:pPr>
        <w:pStyle w:val="8"/>
        <w:rPr>
          <w:color w:val="auto"/>
          <w:highlight w:val="none"/>
        </w:rPr>
      </w:pPr>
    </w:p>
    <w:p>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2024年临江公司</w:t>
      </w:r>
      <w:r>
        <w:rPr>
          <w:rFonts w:hint="eastAsia" w:cs="仿宋" w:asciiTheme="minorEastAsia" w:hAnsiTheme="minorEastAsia"/>
          <w:color w:val="auto"/>
          <w:sz w:val="24"/>
          <w:highlight w:val="none"/>
          <w:lang w:eastAsia="zh-CN"/>
        </w:rPr>
        <w:t>110kV</w:t>
      </w:r>
      <w:r>
        <w:rPr>
          <w:rFonts w:hint="eastAsia" w:cs="仿宋" w:asciiTheme="minorEastAsia" w:hAnsiTheme="minorEastAsia"/>
          <w:color w:val="auto"/>
          <w:sz w:val="24"/>
          <w:highlight w:val="none"/>
        </w:rPr>
        <w:t>升压站电力数据网络运行维护委外维保</w:t>
      </w:r>
      <w:r>
        <w:rPr>
          <w:rFonts w:cs="仿宋" w:asciiTheme="minorEastAsia" w:hAnsiTheme="minorEastAsia"/>
          <w:color w:val="auto"/>
          <w:sz w:val="24"/>
          <w:highlight w:val="none"/>
        </w:rPr>
        <w:t>服务</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lang w:eastAsia="zh-CN"/>
        </w:rPr>
        <w:t>202312011</w:t>
      </w:r>
      <w:r>
        <w:rPr>
          <w:rFonts w:hint="eastAsia" w:cs="仿宋" w:asciiTheme="minorEastAsia" w:hAnsiTheme="minorEastAsia"/>
          <w:color w:val="auto"/>
          <w:sz w:val="24"/>
          <w:highlight w:val="none"/>
        </w:rPr>
        <w:t>】采购的有关活动，并对此项目进行响应。为此：</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2、我方的响应文件包括以下内容：</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4、如我方成交，我方承诺：</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4.5如我方在响应过程中，发生询价采购文件规定的采购人可以不退还询价保证金的情形的，我方同意采购人不退还我方缴纳的全部询价保证金。</w:t>
      </w:r>
    </w:p>
    <w:p>
      <w:pPr>
        <w:numPr>
          <w:ilvl w:val="0"/>
          <w:numId w:val="1"/>
        </w:num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pPr>
        <w:pStyle w:val="7"/>
        <w:rPr>
          <w:color w:val="auto"/>
          <w:highlight w:val="none"/>
        </w:rPr>
      </w:pPr>
    </w:p>
    <w:p>
      <w:pPr>
        <w:pStyle w:val="8"/>
        <w:rPr>
          <w:color w:val="auto"/>
          <w:highlight w:val="none"/>
        </w:rPr>
      </w:pPr>
    </w:p>
    <w:p>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color w:val="auto"/>
          <w:sz w:val="24"/>
          <w:highlight w:val="none"/>
        </w:rPr>
        <w:t xml:space="preserve">     日期：  年   月   日</w:t>
      </w:r>
    </w:p>
    <w:p>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pPr>
        <w:snapToGrid w:val="0"/>
        <w:spacing w:line="360" w:lineRule="auto"/>
        <w:rPr>
          <w:rFonts w:cs="仿宋" w:asciiTheme="minorEastAsia" w:hAnsiTheme="minorEastAsia"/>
          <w:color w:val="auto"/>
          <w:kern w:val="0"/>
          <w:sz w:val="24"/>
          <w:highlight w:val="none"/>
        </w:rPr>
      </w:pP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kern w:val="0"/>
          <w:sz w:val="24"/>
          <w:highlight w:val="none"/>
          <w:u w:val="single"/>
        </w:rPr>
        <w:t xml:space="preserve">（采购项目名称、采购编号）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其在报价过程中的一切活动本公司均予承认</w:t>
      </w:r>
      <w:r>
        <w:rPr>
          <w:rFonts w:hint="eastAsia" w:cs="仿宋" w:asciiTheme="minorEastAsia" w:hAnsiTheme="minorEastAsia"/>
          <w:color w:val="auto"/>
          <w:kern w:val="0"/>
          <w:sz w:val="24"/>
          <w:highlight w:val="none"/>
          <w:lang w:val="zh-CN"/>
        </w:rPr>
        <w:t>，其法律后果由我方承担。</w:t>
      </w:r>
    </w:p>
    <w:p>
      <w:pPr>
        <w:snapToGrid w:val="0"/>
        <w:spacing w:line="360" w:lineRule="auto"/>
        <w:rPr>
          <w:rFonts w:cs="仿宋" w:asciiTheme="minorEastAsia" w:hAnsiTheme="minorEastAsia"/>
          <w:color w:val="auto"/>
          <w:kern w:val="0"/>
          <w:sz w:val="24"/>
          <w:highlight w:val="none"/>
          <w:lang w:val="zh-CN"/>
        </w:rPr>
      </w:pP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pStyle w:val="7"/>
        <w:rPr>
          <w:rFonts w:cs="仿宋" w:asciiTheme="minorEastAsia" w:hAnsiTheme="minorEastAsia"/>
          <w:b/>
          <w:color w:val="auto"/>
          <w:kern w:val="0"/>
          <w:sz w:val="32"/>
          <w:szCs w:val="32"/>
          <w:highlight w:val="none"/>
        </w:rPr>
      </w:pPr>
    </w:p>
    <w:p>
      <w:pPr>
        <w:pStyle w:val="8"/>
        <w:rPr>
          <w:rFonts w:cs="仿宋" w:asciiTheme="minorEastAsia" w:hAnsiTheme="minorEastAsia"/>
          <w:b/>
          <w:color w:val="auto"/>
          <w:kern w:val="0"/>
          <w:sz w:val="32"/>
          <w:szCs w:val="32"/>
          <w:highlight w:val="none"/>
        </w:rPr>
      </w:pPr>
    </w:p>
    <w:p>
      <w:pPr>
        <w:rPr>
          <w:rFonts w:cs="仿宋" w:asciiTheme="minorEastAsia" w:hAnsiTheme="minorEastAsia"/>
          <w:b/>
          <w:color w:val="auto"/>
          <w:kern w:val="0"/>
          <w:sz w:val="32"/>
          <w:szCs w:val="32"/>
          <w:highlight w:val="none"/>
          <w:lang w:val="zh-CN"/>
        </w:rPr>
      </w:pPr>
    </w:p>
    <w:p>
      <w:pPr>
        <w:pStyle w:val="7"/>
        <w:rPr>
          <w:rFonts w:cs="仿宋" w:asciiTheme="minorEastAsia" w:hAnsiTheme="minorEastAsia"/>
          <w:b/>
          <w:color w:val="auto"/>
          <w:kern w:val="0"/>
          <w:sz w:val="32"/>
          <w:szCs w:val="32"/>
          <w:highlight w:val="none"/>
        </w:rPr>
      </w:pPr>
    </w:p>
    <w:p>
      <w:pPr>
        <w:pStyle w:val="8"/>
        <w:rPr>
          <w:color w:val="auto"/>
          <w:highlight w:val="none"/>
        </w:rPr>
      </w:pPr>
    </w:p>
    <w:p>
      <w:pPr>
        <w:rPr>
          <w:color w:val="auto"/>
          <w:highlight w:val="none"/>
        </w:rPr>
      </w:pPr>
    </w:p>
    <w:p>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pPr>
              <w:pStyle w:val="27"/>
              <w:adjustRightInd w:val="0"/>
              <w:spacing w:line="360" w:lineRule="auto"/>
              <w:rPr>
                <w:rFonts w:cs="仿宋" w:asciiTheme="minorEastAsia" w:hAnsiTheme="minorEastAsia" w:eastAsiaTheme="minorEastAsia"/>
                <w:bCs/>
                <w:color w:val="auto"/>
                <w:sz w:val="24"/>
                <w:highlight w:val="none"/>
              </w:rPr>
            </w:pPr>
          </w:p>
        </w:tc>
      </w:tr>
    </w:tbl>
    <w:p>
      <w:pPr>
        <w:snapToGrid w:val="0"/>
        <w:spacing w:line="360" w:lineRule="auto"/>
        <w:ind w:firstLine="576"/>
        <w:jc w:val="center"/>
        <w:rPr>
          <w:rFonts w:cs="仿宋" w:asciiTheme="minorEastAsia" w:hAnsiTheme="minorEastAsia"/>
          <w:color w:val="auto"/>
          <w:kern w:val="0"/>
          <w:sz w:val="24"/>
          <w:highlight w:val="none"/>
          <w:lang w:val="zh-CN"/>
        </w:rPr>
      </w:pPr>
    </w:p>
    <w:p>
      <w:pPr>
        <w:snapToGrid w:val="0"/>
        <w:spacing w:line="360" w:lineRule="auto"/>
        <w:ind w:firstLine="576"/>
        <w:jc w:val="center"/>
        <w:rPr>
          <w:rFonts w:cs="仿宋" w:asciiTheme="minorEastAsia" w:hAnsiTheme="minorEastAsia"/>
          <w:color w:val="auto"/>
          <w:kern w:val="0"/>
          <w:sz w:val="24"/>
          <w:highlight w:val="none"/>
          <w:lang w:val="zh-CN"/>
        </w:rPr>
      </w:pPr>
    </w:p>
    <w:p>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pPr>
              <w:pStyle w:val="27"/>
              <w:adjustRightInd w:val="0"/>
              <w:spacing w:line="360" w:lineRule="auto"/>
              <w:rPr>
                <w:rFonts w:cs="仿宋" w:asciiTheme="minorEastAsia" w:hAnsiTheme="minorEastAsia" w:eastAsiaTheme="minorEastAsia"/>
                <w:bCs/>
                <w:color w:val="auto"/>
                <w:sz w:val="24"/>
                <w:highlight w:val="none"/>
              </w:rPr>
            </w:pPr>
          </w:p>
        </w:tc>
      </w:tr>
    </w:tbl>
    <w:p>
      <w:pPr>
        <w:snapToGrid w:val="0"/>
        <w:spacing w:line="360" w:lineRule="auto"/>
        <w:ind w:firstLine="576"/>
        <w:jc w:val="center"/>
        <w:rPr>
          <w:rFonts w:cs="仿宋" w:asciiTheme="minorEastAsia" w:hAnsiTheme="minorEastAsia"/>
          <w:color w:val="auto"/>
          <w:kern w:val="0"/>
          <w:sz w:val="24"/>
          <w:highlight w:val="none"/>
          <w:lang w:val="zh-CN"/>
        </w:rPr>
      </w:pP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pPr>
        <w:jc w:val="center"/>
        <w:rPr>
          <w:rFonts w:cs="仿宋" w:asciiTheme="minorEastAsia" w:hAnsiTheme="minorEastAsia"/>
          <w:b/>
          <w:color w:val="auto"/>
          <w:kern w:val="0"/>
          <w:sz w:val="32"/>
          <w:szCs w:val="32"/>
          <w:highlight w:val="none"/>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pPr>
              <w:jc w:val="center"/>
              <w:rPr>
                <w:rFonts w:cs="仿宋" w:asciiTheme="minorEastAsia" w:hAnsiTheme="minorEastAsia"/>
                <w:color w:val="auto"/>
                <w:sz w:val="24"/>
                <w:highlight w:val="none"/>
              </w:rPr>
            </w:pPr>
          </w:p>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响应文件满足询价采购文件的其它实质性要求。</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rPr>
        <w:t>五、响应产品规格配置清单（若有）</w:t>
      </w:r>
    </w:p>
    <w:p>
      <w:pPr>
        <w:pStyle w:val="8"/>
        <w:rPr>
          <w:rFonts w:cs="仿宋" w:asciiTheme="minorEastAsia" w:hAnsiTheme="minorEastAsia"/>
          <w:color w:val="auto"/>
          <w:highlight w:val="none"/>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highlight w:val="none"/>
              </w:rPr>
            </w:pPr>
            <w:r>
              <w:rPr>
                <w:rFonts w:hint="eastAsia" w:asciiTheme="minorEastAsia" w:hAnsiTheme="minorEastAsia"/>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highlight w:val="none"/>
              </w:rPr>
            </w:pPr>
            <w:r>
              <w:rPr>
                <w:rFonts w:hint="eastAsia" w:asciiTheme="minorEastAsia" w:hAnsiTheme="minorEastAsia"/>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highlight w:val="none"/>
              </w:rPr>
            </w:pPr>
            <w:r>
              <w:rPr>
                <w:rFonts w:hint="eastAsia" w:asciiTheme="minorEastAsia" w:hAnsiTheme="minorEastAsia"/>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highlight w:val="none"/>
              </w:rPr>
            </w:pPr>
            <w:r>
              <w:rPr>
                <w:rFonts w:hint="eastAsia" w:asciiTheme="minorEastAsia" w:hAnsiTheme="minorEastAsia"/>
                <w:b/>
                <w:color w:val="auto"/>
                <w:sz w:val="24"/>
                <w:highlight w:val="none"/>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highlight w:val="none"/>
              </w:rPr>
            </w:pPr>
            <w:r>
              <w:rPr>
                <w:rFonts w:hint="eastAsia" w:asciiTheme="minorEastAsia" w:hAnsiTheme="minorEastAsia"/>
                <w:b/>
                <w:color w:val="auto"/>
                <w:sz w:val="24"/>
                <w:highlight w:val="none"/>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highlight w:val="none"/>
              </w:rPr>
            </w:pPr>
            <w:r>
              <w:rPr>
                <w:rFonts w:hint="eastAsia" w:asciiTheme="minorEastAsia" w:hAnsiTheme="minorEastAsia"/>
                <w:b/>
                <w:color w:val="auto"/>
                <w:sz w:val="24"/>
                <w:highlight w:val="none"/>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highlight w:val="none"/>
              </w:rPr>
            </w:pPr>
            <w:r>
              <w:rPr>
                <w:rFonts w:hint="eastAsia" w:asciiTheme="minorEastAsia" w:hAnsiTheme="minorEastAsia"/>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p>
        </w:tc>
      </w:tr>
    </w:tbl>
    <w:p>
      <w:pPr>
        <w:pStyle w:val="7"/>
        <w:rPr>
          <w:color w:val="auto"/>
          <w:highlight w:val="none"/>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color w:val="auto"/>
          <w:highlight w:val="none"/>
        </w:rPr>
        <w:t>注</w:t>
      </w:r>
      <w:r>
        <w:rPr>
          <w:rFonts w:cs="仿宋_GB2312" w:asciiTheme="minorEastAsia" w:hAnsiTheme="minorEastAsia"/>
          <w:color w:val="auto"/>
          <w:highlight w:val="none"/>
          <w:lang w:val="en-US"/>
        </w:rPr>
        <w:t>：</w:t>
      </w:r>
      <w:r>
        <w:rPr>
          <w:rFonts w:hint="eastAsia" w:cs="仿宋_GB2312" w:asciiTheme="minorEastAsia" w:hAnsiTheme="minorEastAsia"/>
          <w:color w:val="auto"/>
          <w:highlight w:val="none"/>
        </w:rPr>
        <w:t>按本格式和要求提供。</w:t>
      </w: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bl>
    <w:p>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七、</w:t>
      </w:r>
      <w:r>
        <w:rPr>
          <w:rFonts w:hint="eastAsia" w:cs="仿宋" w:asciiTheme="minorEastAsia" w:hAnsiTheme="minorEastAsia"/>
          <w:b/>
          <w:color w:val="auto"/>
          <w:kern w:val="0"/>
          <w:sz w:val="32"/>
          <w:szCs w:val="32"/>
          <w:highlight w:val="none"/>
          <w:lang w:val="zh-CN"/>
        </w:rPr>
        <w:t>供应商廉洁自律承诺书</w:t>
      </w:r>
    </w:p>
    <w:p>
      <w:pPr>
        <w:snapToGrid w:val="0"/>
        <w:spacing w:line="360" w:lineRule="auto"/>
        <w:rPr>
          <w:rFonts w:cs="仿宋" w:asciiTheme="minorEastAsia" w:hAnsiTheme="minorEastAsia"/>
          <w:color w:val="auto"/>
          <w:sz w:val="24"/>
          <w:highlight w:val="none"/>
        </w:rPr>
      </w:pPr>
    </w:p>
    <w:p>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有权立即取消或者中止我单位响应、成交合同，有权拒绝我单位在一定时期内进入你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pPr>
        <w:pStyle w:val="7"/>
        <w:rPr>
          <w:color w:val="auto"/>
          <w:highlight w:val="none"/>
        </w:rPr>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八、供应商股东信息及出资比例信息表</w:t>
      </w:r>
    </w:p>
    <w:p>
      <w:pPr>
        <w:pStyle w:val="14"/>
        <w:rPr>
          <w:color w:val="auto"/>
          <w:highlight w:val="none"/>
          <w:lang w:val="zh-CN"/>
        </w:rPr>
      </w:pPr>
    </w:p>
    <w:p>
      <w:pPr>
        <w:rPr>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highlight w:val="none"/>
              </w:rPr>
            </w:pPr>
          </w:p>
        </w:tc>
        <w:tc>
          <w:tcPr>
            <w:tcW w:w="2482" w:type="dxa"/>
          </w:tcPr>
          <w:p>
            <w:pPr>
              <w:spacing w:line="360" w:lineRule="auto"/>
              <w:rPr>
                <w:rFonts w:ascii="宋体" w:hAnsi="宋体" w:eastAsia="宋体" w:cs="宋体"/>
                <w:b/>
                <w:color w:val="auto"/>
                <w:kern w:val="0"/>
                <w:sz w:val="24"/>
                <w:highlight w:val="none"/>
              </w:rPr>
            </w:pPr>
          </w:p>
        </w:tc>
        <w:tc>
          <w:tcPr>
            <w:tcW w:w="2881" w:type="dxa"/>
          </w:tcPr>
          <w:p>
            <w:pPr>
              <w:spacing w:line="360" w:lineRule="auto"/>
              <w:rPr>
                <w:rFonts w:ascii="宋体" w:hAnsi="宋体" w:eastAsia="宋体" w:cs="宋体"/>
                <w:b/>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highlight w:val="none"/>
              </w:rPr>
            </w:pPr>
          </w:p>
        </w:tc>
        <w:tc>
          <w:tcPr>
            <w:tcW w:w="2482" w:type="dxa"/>
          </w:tcPr>
          <w:p>
            <w:pPr>
              <w:spacing w:line="360" w:lineRule="auto"/>
              <w:rPr>
                <w:rFonts w:ascii="宋体" w:hAnsi="宋体" w:eastAsia="宋体" w:cs="宋体"/>
                <w:b/>
                <w:color w:val="auto"/>
                <w:kern w:val="0"/>
                <w:sz w:val="24"/>
                <w:highlight w:val="none"/>
              </w:rPr>
            </w:pPr>
          </w:p>
        </w:tc>
        <w:tc>
          <w:tcPr>
            <w:tcW w:w="2881" w:type="dxa"/>
          </w:tcPr>
          <w:p>
            <w:pPr>
              <w:spacing w:line="360" w:lineRule="auto"/>
              <w:rPr>
                <w:rFonts w:ascii="宋体" w:hAnsi="宋体" w:eastAsia="宋体" w:cs="宋体"/>
                <w:b/>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pPr>
              <w:spacing w:line="360" w:lineRule="auto"/>
              <w:rPr>
                <w:rFonts w:ascii="宋体" w:hAnsi="宋体" w:eastAsia="宋体" w:cs="宋体"/>
                <w:b/>
                <w:color w:val="auto"/>
                <w:kern w:val="0"/>
                <w:sz w:val="24"/>
                <w:highlight w:val="none"/>
              </w:rPr>
            </w:pPr>
          </w:p>
        </w:tc>
        <w:tc>
          <w:tcPr>
            <w:tcW w:w="2881" w:type="dxa"/>
          </w:tcPr>
          <w:p>
            <w:pPr>
              <w:spacing w:line="360" w:lineRule="auto"/>
              <w:rPr>
                <w:rFonts w:ascii="宋体" w:hAnsi="宋体" w:eastAsia="宋体" w:cs="宋体"/>
                <w:b/>
                <w:color w:val="auto"/>
                <w:kern w:val="0"/>
                <w:sz w:val="24"/>
                <w:highlight w:val="none"/>
              </w:rPr>
            </w:pPr>
          </w:p>
        </w:tc>
      </w:tr>
    </w:tbl>
    <w:p>
      <w:pPr>
        <w:spacing w:line="360" w:lineRule="auto"/>
        <w:rPr>
          <w:rFonts w:ascii="宋体" w:hAnsi="宋体" w:eastAsia="宋体" w:cs="宋体"/>
          <w:color w:val="auto"/>
          <w:kern w:val="0"/>
          <w:sz w:val="24"/>
          <w:highlight w:val="none"/>
        </w:rPr>
      </w:pPr>
    </w:p>
    <w:p>
      <w:pPr>
        <w:spacing w:line="360" w:lineRule="auto"/>
        <w:rPr>
          <w:rFonts w:ascii="宋体" w:hAnsi="宋体" w:eastAsia="宋体" w:cs="宋体"/>
          <w:color w:val="auto"/>
          <w:kern w:val="0"/>
          <w:sz w:val="24"/>
          <w:highlight w:val="none"/>
        </w:rPr>
      </w:pPr>
    </w:p>
    <w:p>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pPr>
        <w:spacing w:line="360" w:lineRule="auto"/>
        <w:rPr>
          <w:rFonts w:ascii="宋体" w:hAnsi="宋体" w:eastAsia="宋体" w:cs="宋体"/>
          <w:b/>
          <w:bCs/>
          <w:color w:val="auto"/>
          <w:sz w:val="24"/>
          <w:highlight w:val="none"/>
        </w:rPr>
      </w:pPr>
    </w:p>
    <w:p>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pPr>
        <w:pStyle w:val="14"/>
        <w:rPr>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highlight w:val="none"/>
              </w:rPr>
            </w:pPr>
          </w:p>
        </w:tc>
        <w:tc>
          <w:tcPr>
            <w:tcW w:w="5387" w:type="dxa"/>
            <w:vAlign w:val="center"/>
          </w:tcPr>
          <w:p>
            <w:pPr>
              <w:spacing w:line="360" w:lineRule="auto"/>
              <w:rPr>
                <w:rFonts w:ascii="宋体" w:hAnsi="宋体" w:eastAsia="宋体" w:cs="宋体"/>
                <w:b/>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highlight w:val="none"/>
              </w:rPr>
            </w:pPr>
          </w:p>
        </w:tc>
        <w:tc>
          <w:tcPr>
            <w:tcW w:w="5387" w:type="dxa"/>
            <w:vAlign w:val="center"/>
          </w:tcPr>
          <w:p>
            <w:pPr>
              <w:spacing w:line="360" w:lineRule="auto"/>
              <w:rPr>
                <w:rFonts w:ascii="宋体" w:hAnsi="宋体" w:eastAsia="宋体" w:cs="宋体"/>
                <w:b/>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pPr>
              <w:spacing w:line="360" w:lineRule="auto"/>
              <w:rPr>
                <w:rFonts w:ascii="宋体" w:hAnsi="宋体" w:eastAsia="宋体" w:cs="宋体"/>
                <w:b/>
                <w:color w:val="auto"/>
                <w:kern w:val="0"/>
                <w:sz w:val="24"/>
                <w:highlight w:val="none"/>
              </w:rPr>
            </w:pPr>
          </w:p>
        </w:tc>
      </w:tr>
    </w:tbl>
    <w:p>
      <w:pPr>
        <w:spacing w:line="360" w:lineRule="auto"/>
        <w:rPr>
          <w:rFonts w:ascii="宋体" w:hAnsi="宋体" w:eastAsia="宋体" w:cs="宋体"/>
          <w:color w:val="auto"/>
          <w:kern w:val="0"/>
          <w:sz w:val="24"/>
          <w:highlight w:val="none"/>
        </w:rPr>
      </w:pPr>
    </w:p>
    <w:p>
      <w:pPr>
        <w:spacing w:line="360" w:lineRule="auto"/>
        <w:rPr>
          <w:rFonts w:ascii="宋体" w:hAnsi="宋体" w:eastAsia="宋体" w:cs="宋体"/>
          <w:color w:val="auto"/>
          <w:kern w:val="0"/>
          <w:sz w:val="24"/>
          <w:highlight w:val="none"/>
        </w:rPr>
      </w:pPr>
    </w:p>
    <w:p>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pPr>
        <w:spacing w:line="360" w:lineRule="auto"/>
        <w:rPr>
          <w:rFonts w:ascii="宋体" w:hAnsi="宋体" w:eastAsia="宋体" w:cs="宋体"/>
          <w:b/>
          <w:color w:val="auto"/>
          <w:kern w:val="0"/>
          <w:sz w:val="24"/>
          <w:highlight w:val="none"/>
        </w:rPr>
      </w:pPr>
    </w:p>
    <w:p>
      <w:pPr>
        <w:spacing w:line="360" w:lineRule="auto"/>
        <w:rPr>
          <w:rFonts w:ascii="宋体" w:hAnsi="宋体" w:eastAsia="宋体" w:cs="宋体"/>
          <w:b/>
          <w:color w:val="auto"/>
          <w:kern w:val="0"/>
          <w:sz w:val="24"/>
          <w:highlight w:val="none"/>
        </w:rPr>
      </w:pPr>
    </w:p>
    <w:p>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rPr>
        <w:t>九、</w:t>
      </w:r>
      <w:r>
        <w:rPr>
          <w:rFonts w:hint="eastAsia" w:cs="仿宋" w:asciiTheme="minorEastAsia" w:hAnsiTheme="minorEastAsia"/>
          <w:b/>
          <w:color w:val="auto"/>
          <w:kern w:val="0"/>
          <w:sz w:val="32"/>
          <w:szCs w:val="32"/>
          <w:highlight w:val="none"/>
          <w:lang w:val="zh-CN"/>
        </w:rPr>
        <w:t>供应商服务质量保证承诺函</w:t>
      </w:r>
    </w:p>
    <w:p>
      <w:pPr>
        <w:snapToGrid w:val="0"/>
        <w:spacing w:line="360" w:lineRule="auto"/>
        <w:rPr>
          <w:rFonts w:ascii="宋体" w:hAnsi="宋体" w:eastAsia="宋体" w:cs="宋体"/>
          <w:color w:val="auto"/>
          <w:sz w:val="24"/>
          <w:highlight w:val="none"/>
        </w:rPr>
      </w:pPr>
    </w:p>
    <w:p>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采购活动，并作如下承诺：</w:t>
      </w:r>
    </w:p>
    <w:p>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pPr>
        <w:snapToGrid w:val="0"/>
        <w:spacing w:line="360" w:lineRule="auto"/>
        <w:rPr>
          <w:rFonts w:ascii="宋体" w:hAnsi="宋体" w:eastAsia="宋体" w:cs="宋体"/>
          <w:color w:val="auto"/>
          <w:sz w:val="24"/>
          <w:highlight w:val="none"/>
        </w:rPr>
      </w:pPr>
    </w:p>
    <w:p>
      <w:pPr>
        <w:snapToGrid w:val="0"/>
        <w:spacing w:line="360" w:lineRule="auto"/>
        <w:rPr>
          <w:rFonts w:ascii="宋体" w:hAnsi="宋体" w:eastAsia="宋体" w:cs="宋体"/>
          <w:color w:val="auto"/>
          <w:sz w:val="24"/>
          <w:highlight w:val="none"/>
        </w:rPr>
      </w:pPr>
    </w:p>
    <w:p>
      <w:pPr>
        <w:snapToGrid w:val="0"/>
        <w:spacing w:line="360" w:lineRule="auto"/>
        <w:rPr>
          <w:rFonts w:ascii="宋体" w:hAnsi="宋体" w:eastAsia="宋体" w:cs="宋体"/>
          <w:color w:val="auto"/>
          <w:sz w:val="24"/>
          <w:highlight w:val="none"/>
        </w:rPr>
      </w:pPr>
    </w:p>
    <w:p>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2023年 月  日</w:t>
      </w: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pPr>
        <w:pStyle w:val="5"/>
        <w:jc w:val="center"/>
        <w:rPr>
          <w:color w:val="auto"/>
          <w:sz w:val="32"/>
          <w:szCs w:val="32"/>
          <w:highlight w:val="none"/>
        </w:rPr>
      </w:pPr>
      <w:r>
        <w:rPr>
          <w:rFonts w:hint="eastAsia"/>
          <w:color w:val="auto"/>
          <w:sz w:val="32"/>
          <w:szCs w:val="32"/>
          <w:highlight w:val="none"/>
        </w:rPr>
        <w:t>一 、 报价函</w:t>
      </w:r>
    </w:p>
    <w:p>
      <w:pPr>
        <w:pStyle w:val="7"/>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 xml:space="preserve">了 </w:t>
      </w:r>
      <w:r>
        <w:rPr>
          <w:rFonts w:hint="eastAsia" w:ascii="宋体" w:hAnsi="宋体" w:eastAsia="宋体" w:cs="宋体"/>
          <w:color w:val="auto"/>
          <w:sz w:val="24"/>
          <w:highlight w:val="none"/>
          <w:u w:val="single"/>
          <w:lang w:eastAsia="zh-CN"/>
        </w:rPr>
        <w:t>2024年临江公司110kV升压站电力数据网络运行维护委外服务采购</w:t>
      </w:r>
      <w:r>
        <w:rPr>
          <w:rFonts w:hint="eastAsia" w:ascii="宋体" w:hAnsi="宋体" w:eastAsia="宋体" w:cs="宋体"/>
          <w:color w:val="auto"/>
          <w:sz w:val="24"/>
          <w:highlight w:val="none"/>
        </w:rPr>
        <w:t>项</w:t>
      </w:r>
      <w:r>
        <w:rPr>
          <w:rFonts w:hint="eastAsia" w:ascii="宋体" w:hAnsi="宋体" w:eastAsia="宋体" w:cs="宋体"/>
          <w:color w:val="auto"/>
          <w:spacing w:val="-3"/>
          <w:sz w:val="24"/>
          <w:highlight w:val="none"/>
        </w:rPr>
        <w:t>目</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lang w:eastAsia="zh-CN"/>
        </w:rPr>
        <w:t>202312011</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pPr>
        <w:pStyle w:val="29"/>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4.如我方在响应过程中，发生询价文件规定的采购人可以没收询价保证金的情形的，我方同意采购人没收我方递交的全部询价保证金。</w:t>
      </w:r>
    </w:p>
    <w:p>
      <w:pPr>
        <w:pStyle w:val="29"/>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pPr>
        <w:pStyle w:val="7"/>
        <w:ind w:firstLine="480" w:firstLineChars="200"/>
        <w:jc w:val="left"/>
        <w:rPr>
          <w:rFonts w:hAnsi="宋体" w:cs="宋体"/>
          <w:color w:val="auto"/>
          <w:highlight w:val="none"/>
        </w:rPr>
      </w:pPr>
    </w:p>
    <w:p>
      <w:pPr>
        <w:pStyle w:val="7"/>
        <w:ind w:firstLine="480" w:firstLineChars="200"/>
        <w:jc w:val="left"/>
        <w:rPr>
          <w:rFonts w:hAnsi="宋体" w:cs="宋体"/>
          <w:color w:val="auto"/>
          <w:highlight w:val="none"/>
        </w:rPr>
      </w:pPr>
    </w:p>
    <w:p>
      <w:pPr>
        <w:pStyle w:val="7"/>
        <w:jc w:val="left"/>
        <w:rPr>
          <w:rFonts w:hAnsi="宋体" w:cs="宋体"/>
          <w:color w:val="auto"/>
          <w:highlight w:val="none"/>
        </w:rPr>
      </w:pPr>
      <w:r>
        <w:rPr>
          <w:rFonts w:hint="eastAsia" w:hAnsi="宋体" w:cs="宋体"/>
          <w:color w:val="auto"/>
          <w:highlight w:val="none"/>
        </w:rPr>
        <w:t>供应商名称：（盖单位公章）</w:t>
      </w:r>
    </w:p>
    <w:p>
      <w:pPr>
        <w:pStyle w:val="7"/>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pPr>
        <w:pStyle w:val="7"/>
        <w:tabs>
          <w:tab w:val="left" w:pos="4101"/>
        </w:tabs>
        <w:jc w:val="left"/>
        <w:rPr>
          <w:rFonts w:hAnsi="宋体" w:cs="宋体"/>
          <w:color w:val="auto"/>
          <w:highlight w:val="none"/>
        </w:rPr>
      </w:pPr>
      <w:r>
        <w:rPr>
          <w:rFonts w:hint="eastAsia" w:hAnsi="宋体" w:cs="宋体"/>
          <w:color w:val="auto"/>
          <w:highlight w:val="none"/>
        </w:rPr>
        <w:t>地址：</w:t>
      </w:r>
    </w:p>
    <w:p>
      <w:pPr>
        <w:pStyle w:val="7"/>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pPr>
        <w:rPr>
          <w:rFonts w:ascii="宋体" w:hAnsi="宋体" w:cs="宋体"/>
          <w:color w:val="auto"/>
          <w:szCs w:val="21"/>
          <w:highlight w:val="none"/>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highlight w:val="none"/>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rPr>
        <w:t>2024年临江公司</w:t>
      </w:r>
      <w:r>
        <w:rPr>
          <w:rFonts w:hint="eastAsia" w:cs="仿宋" w:asciiTheme="minorEastAsia" w:hAnsiTheme="minorEastAsia"/>
          <w:color w:val="auto"/>
          <w:sz w:val="24"/>
          <w:highlight w:val="none"/>
          <w:u w:val="single"/>
          <w:lang w:eastAsia="zh-CN"/>
        </w:rPr>
        <w:t>110kV</w:t>
      </w:r>
      <w:r>
        <w:rPr>
          <w:rFonts w:hint="eastAsia" w:cs="仿宋" w:asciiTheme="minorEastAsia" w:hAnsiTheme="minorEastAsia"/>
          <w:color w:val="auto"/>
          <w:sz w:val="24"/>
          <w:highlight w:val="none"/>
          <w:u w:val="single"/>
        </w:rPr>
        <w:t>升压站电力数据网络运行维护委外维保</w:t>
      </w:r>
      <w:r>
        <w:rPr>
          <w:rFonts w:cs="仿宋" w:asciiTheme="minorEastAsia" w:hAnsiTheme="minorEastAsia"/>
          <w:color w:val="auto"/>
          <w:sz w:val="24"/>
          <w:highlight w:val="none"/>
          <w:u w:val="single"/>
        </w:rPr>
        <w:t>服务</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202312011</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pPr>
        <w:spacing w:line="360" w:lineRule="auto"/>
        <w:jc w:val="center"/>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5"/>
        <w:tblW w:w="12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27"/>
        <w:gridCol w:w="2238"/>
        <w:gridCol w:w="2562"/>
        <w:gridCol w:w="825"/>
        <w:gridCol w:w="1230"/>
        <w:gridCol w:w="1365"/>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34"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1927"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名称</w:t>
            </w:r>
          </w:p>
        </w:tc>
        <w:tc>
          <w:tcPr>
            <w:tcW w:w="2238"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品牌</w:t>
            </w:r>
          </w:p>
        </w:tc>
        <w:tc>
          <w:tcPr>
            <w:tcW w:w="2562"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规格型号</w:t>
            </w:r>
          </w:p>
        </w:tc>
        <w:tc>
          <w:tcPr>
            <w:tcW w:w="825"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数量</w:t>
            </w:r>
          </w:p>
        </w:tc>
        <w:tc>
          <w:tcPr>
            <w:tcW w:w="1230"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单价</w:t>
            </w:r>
          </w:p>
        </w:tc>
        <w:tc>
          <w:tcPr>
            <w:tcW w:w="1365"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总价</w:t>
            </w:r>
          </w:p>
        </w:tc>
        <w:tc>
          <w:tcPr>
            <w:tcW w:w="2010"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1927" w:type="dxa"/>
            <w:vAlign w:val="center"/>
          </w:tcPr>
          <w:p>
            <w:pPr>
              <w:snapToGrid w:val="0"/>
              <w:spacing w:line="360" w:lineRule="auto"/>
              <w:jc w:val="center"/>
              <w:rPr>
                <w:rFonts w:cs="仿宋" w:asciiTheme="minorEastAsia" w:hAnsiTheme="minorEastAsia"/>
                <w:color w:val="auto"/>
                <w:sz w:val="24"/>
                <w:highlight w:val="none"/>
              </w:rPr>
            </w:pPr>
            <w:r>
              <w:rPr>
                <w:rFonts w:hint="eastAsia"/>
                <w:color w:val="auto"/>
                <w:highlight w:val="none"/>
                <w:lang w:eastAsia="zh-CN"/>
              </w:rPr>
              <w:t>110kV</w:t>
            </w:r>
            <w:r>
              <w:rPr>
                <w:rFonts w:hint="eastAsia"/>
                <w:color w:val="auto"/>
                <w:highlight w:val="none"/>
              </w:rPr>
              <w:t>升压站电力数据网络运行维护委外维保服务</w:t>
            </w:r>
          </w:p>
        </w:tc>
        <w:tc>
          <w:tcPr>
            <w:tcW w:w="2238" w:type="dxa"/>
            <w:vAlign w:val="center"/>
          </w:tcPr>
          <w:p>
            <w:pPr>
              <w:snapToGrid w:val="0"/>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p>
        </w:tc>
        <w:tc>
          <w:tcPr>
            <w:tcW w:w="2562" w:type="dxa"/>
            <w:vAlign w:val="center"/>
          </w:tcPr>
          <w:p>
            <w:pPr>
              <w:snapToGrid w:val="0"/>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p>
        </w:tc>
        <w:tc>
          <w:tcPr>
            <w:tcW w:w="825" w:type="dxa"/>
            <w:vAlign w:val="center"/>
          </w:tcPr>
          <w:p>
            <w:pPr>
              <w:snapToGrid w:val="0"/>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1年</w:t>
            </w:r>
          </w:p>
        </w:tc>
        <w:tc>
          <w:tcPr>
            <w:tcW w:w="123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p>
        </w:tc>
        <w:tc>
          <w:tcPr>
            <w:tcW w:w="1365" w:type="dxa"/>
            <w:vAlign w:val="center"/>
          </w:tcPr>
          <w:p>
            <w:pPr>
              <w:spacing w:line="360" w:lineRule="auto"/>
              <w:jc w:val="center"/>
              <w:rPr>
                <w:rFonts w:cs="仿宋" w:asciiTheme="minorEastAsia" w:hAnsiTheme="minorEastAsia"/>
                <w:color w:val="auto"/>
                <w:sz w:val="24"/>
                <w:highlight w:val="none"/>
              </w:rPr>
            </w:pPr>
          </w:p>
        </w:tc>
        <w:tc>
          <w:tcPr>
            <w:tcW w:w="2010" w:type="dxa"/>
            <w:vAlign w:val="center"/>
          </w:tcPr>
          <w:p>
            <w:pPr>
              <w:spacing w:line="360" w:lineRule="auto"/>
              <w:jc w:val="center"/>
              <w:rPr>
                <w:rFonts w:cs="仿宋"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699" w:type="dxa"/>
            <w:gridSpan w:val="3"/>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响应报价合计（小写）</w:t>
            </w:r>
          </w:p>
        </w:tc>
        <w:tc>
          <w:tcPr>
            <w:tcW w:w="7992" w:type="dxa"/>
            <w:gridSpan w:val="5"/>
            <w:vAlign w:val="center"/>
          </w:tcPr>
          <w:p>
            <w:pPr>
              <w:spacing w:line="360" w:lineRule="auto"/>
              <w:jc w:val="center"/>
              <w:rPr>
                <w:rFonts w:cs="仿宋"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99" w:type="dxa"/>
            <w:gridSpan w:val="3"/>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响应报价合计（大写）</w:t>
            </w:r>
          </w:p>
        </w:tc>
        <w:tc>
          <w:tcPr>
            <w:tcW w:w="7992" w:type="dxa"/>
            <w:gridSpan w:val="5"/>
            <w:vAlign w:val="center"/>
          </w:tcPr>
          <w:p>
            <w:pPr>
              <w:spacing w:line="360" w:lineRule="auto"/>
              <w:jc w:val="center"/>
              <w:rPr>
                <w:rFonts w:cs="仿宋"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99" w:type="dxa"/>
            <w:gridSpan w:val="3"/>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税率</w:t>
            </w:r>
          </w:p>
        </w:tc>
        <w:tc>
          <w:tcPr>
            <w:tcW w:w="7992" w:type="dxa"/>
            <w:gridSpan w:val="5"/>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 xml:space="preserve"> %</w:t>
            </w:r>
          </w:p>
        </w:tc>
      </w:tr>
    </w:tbl>
    <w:p>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3、特别提示：采购人将对项目名称和项目编号，成交供应商名称、成交标金额予以公示。</w:t>
      </w: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rPr>
          <w:color w:val="auto"/>
          <w:highlight w:val="none"/>
        </w:r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color w:val="auto"/>
          <w:spacing w:val="6"/>
          <w:sz w:val="32"/>
          <w:szCs w:val="32"/>
          <w:highlight w:val="none"/>
        </w:rPr>
      </w:pPr>
      <w:bookmarkStart w:id="496" w:name="_Toc465665161"/>
      <w:r>
        <w:rPr>
          <w:rFonts w:hint="eastAsia" w:cs="宋体" w:asciiTheme="minorEastAsia" w:hAnsiTheme="minorEastAsia"/>
          <w:b/>
          <w:bCs/>
          <w:color w:val="auto"/>
          <w:kern w:val="44"/>
          <w:sz w:val="44"/>
          <w:szCs w:val="44"/>
          <w:highlight w:val="none"/>
        </w:rPr>
        <w:t>附件</w:t>
      </w:r>
      <w:bookmarkEnd w:id="496"/>
    </w:p>
    <w:p>
      <w:pPr>
        <w:spacing w:line="360" w:lineRule="auto"/>
        <w:rPr>
          <w:rFonts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附件1</w:t>
      </w:r>
      <w:r>
        <w:rPr>
          <w:rFonts w:hint="eastAsia" w:ascii="宋体" w:hAnsi="宋体" w:cs="宋体"/>
          <w:b/>
          <w:color w:val="auto"/>
          <w:spacing w:val="6"/>
          <w:sz w:val="32"/>
          <w:szCs w:val="32"/>
          <w:highlight w:val="none"/>
        </w:rPr>
        <w:t>：</w:t>
      </w: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jc w:val="center"/>
        <w:rPr>
          <w:rFonts w:ascii="宋体" w:hAnsi="宋体" w:cs="宋体"/>
          <w:b/>
          <w:bCs/>
          <w:color w:val="auto"/>
          <w:sz w:val="24"/>
          <w:highlight w:val="none"/>
        </w:rPr>
      </w:pPr>
    </w:p>
    <w:p>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cols w:space="425" w:num="1"/>
          <w:docGrid w:type="lines" w:linePitch="312" w:charSpace="0"/>
        </w:sectPr>
      </w:pPr>
    </w:p>
    <w:p>
      <w:pPr>
        <w:pStyle w:val="14"/>
        <w:rPr>
          <w:color w:val="auto"/>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autoSpaceDE w:val="0"/>
        <w:autoSpaceDN w:val="0"/>
        <w:rPr>
          <w:rFonts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附件2：</w:t>
      </w:r>
    </w:p>
    <w:p>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pPr>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(供应商全称)是中华人民共和国依法登记注册的合法企业，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rPr>
        <w:t>2024年临江公司</w:t>
      </w:r>
      <w:r>
        <w:rPr>
          <w:rFonts w:hint="eastAsia" w:cs="仿宋" w:asciiTheme="minorEastAsia" w:hAnsiTheme="minorEastAsia"/>
          <w:color w:val="auto"/>
          <w:sz w:val="24"/>
          <w:highlight w:val="none"/>
          <w:u w:val="single"/>
          <w:lang w:eastAsia="zh-CN"/>
        </w:rPr>
        <w:t>110kV</w:t>
      </w:r>
      <w:r>
        <w:rPr>
          <w:rFonts w:hint="eastAsia" w:cs="仿宋" w:asciiTheme="minorEastAsia" w:hAnsiTheme="minorEastAsia"/>
          <w:color w:val="auto"/>
          <w:sz w:val="24"/>
          <w:highlight w:val="none"/>
          <w:u w:val="single"/>
        </w:rPr>
        <w:t>升压站电力数据网络运行维护委外维保</w:t>
      </w:r>
      <w:r>
        <w:rPr>
          <w:rFonts w:cs="仿宋" w:asciiTheme="minorEastAsia" w:hAnsiTheme="minorEastAsia"/>
          <w:color w:val="auto"/>
          <w:sz w:val="24"/>
          <w:highlight w:val="none"/>
          <w:u w:val="single"/>
        </w:rPr>
        <w:t>服务</w:t>
      </w:r>
      <w:r>
        <w:rPr>
          <w:rFonts w:hint="eastAsia" w:cs="仿宋" w:asciiTheme="minorEastAsia" w:hAnsiTheme="minorEastAsia"/>
          <w:color w:val="auto"/>
          <w:sz w:val="24"/>
          <w:highlight w:val="none"/>
          <w:u w:val="single"/>
        </w:rPr>
        <w:t>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eastAsia="zh-CN"/>
        </w:rPr>
        <w:t>202312011</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w:t>
      </w:r>
      <w:r>
        <w:rPr>
          <w:rFonts w:hint="eastAsia" w:cs="仿宋" w:asciiTheme="minorEastAsia" w:hAnsiTheme="minorEastAsia"/>
          <w:bCs/>
          <w:color w:val="auto"/>
          <w:sz w:val="24"/>
          <w:highlight w:val="none"/>
        </w:rPr>
        <w:t>响应活动中作如下说明：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rPr>
          <w:rFonts w:cs="仿宋" w:asciiTheme="minorEastAsia" w:hAnsiTheme="minorEastAsia"/>
          <w:b/>
          <w:color w:val="auto"/>
          <w:spacing w:val="6"/>
          <w:sz w:val="32"/>
          <w:szCs w:val="32"/>
          <w:highlight w:val="none"/>
        </w:rPr>
      </w:pPr>
    </w:p>
    <w:p>
      <w:pPr>
        <w:autoSpaceDE w:val="0"/>
        <w:autoSpaceDN w:val="0"/>
        <w:rPr>
          <w:rFonts w:cs="仿宋" w:asciiTheme="minorEastAsia" w:hAnsiTheme="minorEastAsia"/>
          <w:b/>
          <w:color w:val="auto"/>
          <w:spacing w:val="6"/>
          <w:sz w:val="32"/>
          <w:szCs w:val="32"/>
          <w:highlight w:val="none"/>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附件3：</w:t>
      </w:r>
    </w:p>
    <w:p>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2024年临江公司</w:t>
      </w:r>
      <w:r>
        <w:rPr>
          <w:rFonts w:hint="eastAsia" w:cs="仿宋" w:asciiTheme="minorEastAsia" w:hAnsiTheme="minorEastAsia"/>
          <w:color w:val="auto"/>
          <w:sz w:val="24"/>
          <w:highlight w:val="none"/>
          <w:lang w:eastAsia="zh-CN"/>
        </w:rPr>
        <w:t>110kV</w:t>
      </w:r>
      <w:r>
        <w:rPr>
          <w:rFonts w:hint="eastAsia" w:cs="仿宋" w:asciiTheme="minorEastAsia" w:hAnsiTheme="minorEastAsia"/>
          <w:color w:val="auto"/>
          <w:sz w:val="24"/>
          <w:highlight w:val="none"/>
        </w:rPr>
        <w:t>升压站电力数据网络运行维护委外维保</w:t>
      </w:r>
      <w:r>
        <w:rPr>
          <w:rFonts w:cs="仿宋" w:asciiTheme="minorEastAsia" w:hAnsiTheme="minorEastAsia"/>
          <w:color w:val="auto"/>
          <w:sz w:val="24"/>
          <w:highlight w:val="none"/>
        </w:rPr>
        <w:t>服务</w:t>
      </w:r>
      <w:r>
        <w:rPr>
          <w:rFonts w:hint="eastAsia" w:cs="仿宋" w:asciiTheme="minorEastAsia" w:hAnsiTheme="minorEastAsia"/>
          <w:color w:val="auto"/>
          <w:sz w:val="24"/>
          <w:highlight w:val="none"/>
        </w:rPr>
        <w:t>【项目编号：】</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pPr>
        <w:autoSpaceDE w:val="0"/>
        <w:autoSpaceDN w:val="0"/>
        <w:jc w:val="center"/>
        <w:rPr>
          <w:rFonts w:cs="仿宋" w:asciiTheme="minorEastAsia" w:hAnsiTheme="minorEastAsia"/>
          <w:b/>
          <w:color w:val="auto"/>
          <w:highlight w:val="none"/>
        </w:rPr>
      </w:pPr>
      <w:r>
        <w:rPr>
          <w:rFonts w:hint="eastAsia" w:cs="仿宋" w:asciiTheme="minorEastAsia" w:hAnsiTheme="minorEastAsia"/>
          <w:color w:val="auto"/>
          <w:kern w:val="0"/>
          <w:sz w:val="24"/>
          <w:highlight w:val="none"/>
          <w:lang w:val="zh-CN"/>
        </w:rPr>
        <w:t xml:space="preserve">                                        日期：  年  月   日</w:t>
      </w:r>
    </w:p>
    <w:p>
      <w:pPr>
        <w:pStyle w:val="7"/>
        <w:rPr>
          <w:color w:val="auto"/>
          <w:highlight w:val="none"/>
        </w:rPr>
      </w:pPr>
    </w:p>
    <w:p>
      <w:pPr>
        <w:rPr>
          <w:color w:val="auto"/>
          <w:highlight w:val="none"/>
        </w:rPr>
      </w:pPr>
    </w:p>
    <w:p>
      <w:pPr>
        <w:pStyle w:val="7"/>
        <w:rPr>
          <w:color w:val="auto"/>
          <w:highlight w:val="none"/>
        </w:rPr>
      </w:pPr>
    </w:p>
    <w:p>
      <w:pPr>
        <w:rPr>
          <w:color w:val="auto"/>
          <w:highlight w:val="none"/>
        </w:rPr>
      </w:pPr>
    </w:p>
    <w:p>
      <w:pPr>
        <w:pStyle w:val="11"/>
        <w:spacing w:before="100" w:beforeAutospacing="1" w:after="100" w:afterAutospacing="1" w:line="360" w:lineRule="auto"/>
        <w:rPr>
          <w:rFonts w:hAnsi="宋体" w:cs="宋体"/>
          <w:b/>
          <w:color w:val="auto"/>
          <w:sz w:val="32"/>
          <w:szCs w:val="32"/>
          <w:highlight w:val="none"/>
        </w:rPr>
      </w:pPr>
      <w:r>
        <w:rPr>
          <w:rFonts w:hint="eastAsia" w:hAnsi="宋体" w:cs="宋体"/>
          <w:b/>
          <w:color w:val="auto"/>
          <w:sz w:val="32"/>
          <w:szCs w:val="32"/>
          <w:highlight w:val="none"/>
        </w:rPr>
        <w:t>附件4           退还响应保证金申请书</w:t>
      </w:r>
    </w:p>
    <w:p>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杭州临江环境能源有限公司    </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（采购项目名称）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）的投标，现申请退还该笔响应保证金，本申请书也作为收款凭证。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6717" w:type="dxa"/>
            <w:gridSpan w:val="3"/>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color w:val="auto"/>
                <w:sz w:val="24"/>
                <w:highlight w:val="none"/>
              </w:rPr>
            </w:pPr>
          </w:p>
        </w:tc>
        <w:tc>
          <w:tcPr>
            <w:tcW w:w="408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607"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1026" w:type="dxa"/>
            <w:vAlign w:val="center"/>
          </w:tcPr>
          <w:p>
            <w:pPr>
              <w:spacing w:line="36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color w:val="auto"/>
                <w:sz w:val="24"/>
                <w:highlight w:val="none"/>
              </w:rPr>
            </w:pPr>
          </w:p>
        </w:tc>
        <w:tc>
          <w:tcPr>
            <w:tcW w:w="408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607"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1026" w:type="dxa"/>
            <w:vAlign w:val="center"/>
          </w:tcPr>
          <w:p>
            <w:pPr>
              <w:spacing w:line="36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color w:val="auto"/>
                <w:sz w:val="24"/>
                <w:highlight w:val="none"/>
              </w:rPr>
            </w:pPr>
          </w:p>
        </w:tc>
        <w:tc>
          <w:tcPr>
            <w:tcW w:w="6717" w:type="dxa"/>
            <w:gridSpan w:val="3"/>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投标保证金金额（大写）：人民币</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color w:val="auto"/>
                <w:sz w:val="24"/>
                <w:highlight w:val="none"/>
              </w:rPr>
            </w:pPr>
          </w:p>
        </w:tc>
        <w:tc>
          <w:tcPr>
            <w:tcW w:w="6717" w:type="dxa"/>
            <w:gridSpan w:val="3"/>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投标保证金提交形式：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6717" w:type="dxa"/>
            <w:gridSpan w:val="3"/>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color w:val="auto"/>
                <w:sz w:val="24"/>
                <w:highlight w:val="none"/>
              </w:rPr>
            </w:pPr>
          </w:p>
        </w:tc>
        <w:tc>
          <w:tcPr>
            <w:tcW w:w="6717" w:type="dxa"/>
            <w:gridSpan w:val="3"/>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color w:val="auto"/>
                <w:sz w:val="24"/>
                <w:highlight w:val="none"/>
              </w:rPr>
            </w:pPr>
          </w:p>
        </w:tc>
        <w:tc>
          <w:tcPr>
            <w:tcW w:w="6717" w:type="dxa"/>
            <w:gridSpan w:val="3"/>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pPr>
        <w:pStyle w:val="7"/>
        <w:rPr>
          <w:rFonts w:hAnsi="宋体" w:cs="宋体"/>
          <w:color w:val="auto"/>
          <w:highlight w:val="none"/>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杭州临江环境能源有限公司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（采购项目名称） </w:t>
      </w:r>
      <w:r>
        <w:rPr>
          <w:rFonts w:hint="eastAsia" w:ascii="宋体" w:hAnsi="宋体" w:cs="宋体"/>
          <w:color w:val="auto"/>
          <w:sz w:val="24"/>
          <w:highlight w:val="none"/>
        </w:rPr>
        <w:t>项目（采购编号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）的投标保证金。金额为：大写（人民币：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pPr>
        <w:pStyle w:val="11"/>
        <w:rPr>
          <w:rFonts w:hAnsi="宋体" w:eastAsia="宋体" w:cs="宋体"/>
          <w:color w:val="auto"/>
          <w:spacing w:val="10"/>
          <w:highlight w:val="none"/>
        </w:rPr>
      </w:pPr>
      <w:r>
        <w:rPr>
          <w:rFonts w:hint="eastAsia" w:hAnsi="宋体" w:cs="宋体"/>
          <w:b/>
          <w:bCs/>
          <w:color w:val="auto"/>
          <w:sz w:val="24"/>
          <w:highlight w:val="none"/>
        </w:rPr>
        <w:t>备注：退还</w:t>
      </w:r>
      <w:r>
        <w:rPr>
          <w:rFonts w:hint="eastAsia" w:hAnsi="宋体" w:cs="宋体"/>
          <w:color w:val="auto"/>
          <w:sz w:val="24"/>
          <w:highlight w:val="none"/>
        </w:rPr>
        <w:t>投标</w:t>
      </w:r>
      <w:r>
        <w:rPr>
          <w:rFonts w:hint="eastAsia" w:hAnsi="宋体" w:cs="宋体"/>
          <w:b/>
          <w:bCs/>
          <w:color w:val="auto"/>
          <w:sz w:val="24"/>
          <w:highlight w:val="none"/>
        </w:rPr>
        <w:t>保证金申请书可以在投标当日同投标文件一起带到开标现场并交给采购人，并收据生效之日为采购人退还响应保证金之日。</w:t>
      </w:r>
    </w:p>
    <w:p>
      <w:pPr>
        <w:pStyle w:val="7"/>
        <w:rPr>
          <w:color w:val="auto"/>
          <w:highlight w:val="none"/>
        </w:rPr>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RjNzVlMjA5YjAxZDMwMTkyZWZhOTBlYjdjZTdmOTEifQ=="/>
  </w:docVars>
  <w:rsids>
    <w:rsidRoot w:val="008A3076"/>
    <w:rsid w:val="005849A8"/>
    <w:rsid w:val="0076325D"/>
    <w:rsid w:val="008A3076"/>
    <w:rsid w:val="0094047A"/>
    <w:rsid w:val="009A36B3"/>
    <w:rsid w:val="00A4572E"/>
    <w:rsid w:val="00F81FAF"/>
    <w:rsid w:val="023E1286"/>
    <w:rsid w:val="048D75E0"/>
    <w:rsid w:val="04E634F4"/>
    <w:rsid w:val="05150472"/>
    <w:rsid w:val="051B17AF"/>
    <w:rsid w:val="06413B76"/>
    <w:rsid w:val="0805754C"/>
    <w:rsid w:val="08670640"/>
    <w:rsid w:val="08E37A2F"/>
    <w:rsid w:val="09EC7123"/>
    <w:rsid w:val="09ED56C9"/>
    <w:rsid w:val="0B8B55F3"/>
    <w:rsid w:val="0C492847"/>
    <w:rsid w:val="0F095788"/>
    <w:rsid w:val="0F81598B"/>
    <w:rsid w:val="10BE08E9"/>
    <w:rsid w:val="1157552B"/>
    <w:rsid w:val="14521AA0"/>
    <w:rsid w:val="166F3635"/>
    <w:rsid w:val="16B74C84"/>
    <w:rsid w:val="185A544F"/>
    <w:rsid w:val="18890233"/>
    <w:rsid w:val="196F7429"/>
    <w:rsid w:val="198737C7"/>
    <w:rsid w:val="19DC6BDA"/>
    <w:rsid w:val="1AA56FDE"/>
    <w:rsid w:val="1B7913A6"/>
    <w:rsid w:val="1F457921"/>
    <w:rsid w:val="21677697"/>
    <w:rsid w:val="221A0DAC"/>
    <w:rsid w:val="27084672"/>
    <w:rsid w:val="284A39BF"/>
    <w:rsid w:val="2A347ABE"/>
    <w:rsid w:val="2A6366FF"/>
    <w:rsid w:val="2B32649C"/>
    <w:rsid w:val="2C270527"/>
    <w:rsid w:val="2C4141D8"/>
    <w:rsid w:val="2E93328A"/>
    <w:rsid w:val="2F1F33A8"/>
    <w:rsid w:val="2F5836E9"/>
    <w:rsid w:val="301C21D9"/>
    <w:rsid w:val="304A7E50"/>
    <w:rsid w:val="314B6E80"/>
    <w:rsid w:val="317C6719"/>
    <w:rsid w:val="32843E96"/>
    <w:rsid w:val="35510BDC"/>
    <w:rsid w:val="36162BCB"/>
    <w:rsid w:val="37514AF4"/>
    <w:rsid w:val="377C0298"/>
    <w:rsid w:val="37F61CA1"/>
    <w:rsid w:val="39C31C6C"/>
    <w:rsid w:val="3B0E278C"/>
    <w:rsid w:val="3C283344"/>
    <w:rsid w:val="3C485F9D"/>
    <w:rsid w:val="3C7C70D7"/>
    <w:rsid w:val="3D853492"/>
    <w:rsid w:val="3E0C6463"/>
    <w:rsid w:val="403E57B7"/>
    <w:rsid w:val="4179370E"/>
    <w:rsid w:val="41DF6AD1"/>
    <w:rsid w:val="42112513"/>
    <w:rsid w:val="42CB506B"/>
    <w:rsid w:val="43496F4C"/>
    <w:rsid w:val="435518AD"/>
    <w:rsid w:val="437A2DA4"/>
    <w:rsid w:val="46DC0852"/>
    <w:rsid w:val="472961BF"/>
    <w:rsid w:val="4AE27CAC"/>
    <w:rsid w:val="4B0C4993"/>
    <w:rsid w:val="4BAC48C9"/>
    <w:rsid w:val="4DE62408"/>
    <w:rsid w:val="4DE6613E"/>
    <w:rsid w:val="4FD65994"/>
    <w:rsid w:val="4FEB08B0"/>
    <w:rsid w:val="50886E1D"/>
    <w:rsid w:val="523875F5"/>
    <w:rsid w:val="52506204"/>
    <w:rsid w:val="533B163F"/>
    <w:rsid w:val="53FA1DF3"/>
    <w:rsid w:val="54AB2D04"/>
    <w:rsid w:val="571F3A0C"/>
    <w:rsid w:val="57F2034A"/>
    <w:rsid w:val="58235318"/>
    <w:rsid w:val="59121C77"/>
    <w:rsid w:val="59DE0E09"/>
    <w:rsid w:val="5A2432EE"/>
    <w:rsid w:val="5A283DD0"/>
    <w:rsid w:val="5ACD76EE"/>
    <w:rsid w:val="5B3D7F5F"/>
    <w:rsid w:val="5B9158A9"/>
    <w:rsid w:val="5F0279C4"/>
    <w:rsid w:val="5F944466"/>
    <w:rsid w:val="6139287F"/>
    <w:rsid w:val="62121B84"/>
    <w:rsid w:val="628A16C6"/>
    <w:rsid w:val="63CF15A0"/>
    <w:rsid w:val="64035B71"/>
    <w:rsid w:val="673E5F91"/>
    <w:rsid w:val="67D649B5"/>
    <w:rsid w:val="6A4E3ABD"/>
    <w:rsid w:val="6AB97E88"/>
    <w:rsid w:val="6AE63D7E"/>
    <w:rsid w:val="6B462C2B"/>
    <w:rsid w:val="6C001DF8"/>
    <w:rsid w:val="6EE40E94"/>
    <w:rsid w:val="700D088C"/>
    <w:rsid w:val="700E4F44"/>
    <w:rsid w:val="70173239"/>
    <w:rsid w:val="721A5B23"/>
    <w:rsid w:val="72B931C1"/>
    <w:rsid w:val="738D03F5"/>
    <w:rsid w:val="767E5B01"/>
    <w:rsid w:val="79EB254B"/>
    <w:rsid w:val="7AF4716D"/>
    <w:rsid w:val="7BA82ABD"/>
    <w:rsid w:val="7C662D96"/>
    <w:rsid w:val="7D797C2B"/>
    <w:rsid w:val="7D955BFE"/>
    <w:rsid w:val="7DAC6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qFormat/>
    <w:uiPriority w:val="0"/>
    <w:pPr>
      <w:ind w:firstLine="420"/>
    </w:pPr>
    <w:rPr>
      <w:rFonts w:hAnsi="Times New Roman" w:cs="Times New Roman"/>
      <w:snapToGrid/>
      <w:szCs w:val="20"/>
    </w:rPr>
  </w:style>
  <w:style w:type="paragraph" w:styleId="9">
    <w:name w:val="toc 6"/>
    <w:basedOn w:val="1"/>
    <w:next w:val="1"/>
    <w:qFormat/>
    <w:uiPriority w:val="0"/>
    <w:pPr>
      <w:ind w:left="2100" w:leftChars="1000"/>
    </w:pPr>
  </w:style>
  <w:style w:type="paragraph" w:styleId="10">
    <w:name w:val="Body Text Indent"/>
    <w:basedOn w:val="1"/>
    <w:qFormat/>
    <w:uiPriority w:val="0"/>
    <w:pPr>
      <w:spacing w:line="480" w:lineRule="exact"/>
      <w:ind w:firstLine="480" w:firstLineChars="200"/>
    </w:pPr>
    <w:rPr>
      <w:rFonts w:ascii="宋体" w:hAnsi="宋体"/>
      <w:sz w:val="24"/>
    </w:rPr>
  </w:style>
  <w:style w:type="paragraph" w:styleId="11">
    <w:name w:val="Plain Text"/>
    <w:basedOn w:val="1"/>
    <w:qFormat/>
    <w:uiPriority w:val="0"/>
    <w:rPr>
      <w:rFonts w:ascii="宋体" w:hAnsi="Courier New"/>
      <w:szCs w:val="2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pPr>
      <w:jc w:val="left"/>
    </w:pPr>
    <w:rPr>
      <w:b/>
      <w:caps/>
    </w:rPr>
  </w:style>
  <w:style w:type="table" w:styleId="16">
    <w:name w:val="Table Grid"/>
    <w:basedOn w:val="15"/>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annotation reference"/>
    <w:qFormat/>
    <w:uiPriority w:val="0"/>
    <w:rPr>
      <w:sz w:val="21"/>
      <w:szCs w:val="21"/>
    </w:rPr>
  </w:style>
  <w:style w:type="paragraph" w:customStyle="1" w:styleId="19">
    <w:name w:val="Table Paragraph"/>
    <w:basedOn w:val="1"/>
    <w:qFormat/>
    <w:uiPriority w:val="1"/>
    <w:rPr>
      <w:rFonts w:ascii="宋体" w:hAnsi="宋体" w:eastAsia="宋体" w:cs="宋体"/>
      <w:lang w:val="zh-CN" w:bidi="zh-CN"/>
    </w:rPr>
  </w:style>
  <w:style w:type="paragraph" w:customStyle="1" w:styleId="20">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qFormat/>
    <w:uiPriority w:val="0"/>
    <w:pPr>
      <w:spacing w:line="360" w:lineRule="exact"/>
      <w:ind w:firstLine="200" w:firstLineChars="200"/>
    </w:pPr>
    <w:rPr>
      <w:rFonts w:ascii="Arial" w:hAnsi="Arial"/>
    </w:rPr>
  </w:style>
  <w:style w:type="paragraph" w:customStyle="1" w:styleId="22">
    <w:name w:val="正文2"/>
    <w:basedOn w:val="1"/>
    <w:qFormat/>
    <w:uiPriority w:val="0"/>
    <w:pPr>
      <w:spacing w:before="156" w:line="360" w:lineRule="auto"/>
      <w:ind w:firstLine="510" w:firstLineChars="200"/>
    </w:pPr>
    <w:rPr>
      <w:sz w:val="24"/>
      <w:szCs w:val="20"/>
    </w:rPr>
  </w:style>
  <w:style w:type="paragraph" w:customStyle="1" w:styleId="2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qFormat/>
    <w:uiPriority w:val="0"/>
    <w:rPr>
      <w:rFonts w:ascii="宋体" w:hAnsi="Courier New"/>
      <w:kern w:val="0"/>
      <w:sz w:val="20"/>
      <w:szCs w:val="20"/>
    </w:rPr>
  </w:style>
  <w:style w:type="paragraph" w:customStyle="1" w:styleId="27">
    <w:name w:val="纯文本_0_0"/>
    <w:basedOn w:val="28"/>
    <w:qFormat/>
    <w:uiPriority w:val="0"/>
    <w:rPr>
      <w:rFonts w:ascii="宋体" w:hAnsi="Courier New"/>
      <w:szCs w:val="21"/>
    </w:rPr>
  </w:style>
  <w:style w:type="paragraph" w:customStyle="1" w:styleId="2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qFormat/>
    <w:uiPriority w:val="99"/>
    <w:pPr>
      <w:ind w:firstLine="420" w:firstLineChars="200"/>
    </w:pPr>
  </w:style>
  <w:style w:type="paragraph" w:customStyle="1" w:styleId="3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3"/>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4949</Words>
  <Characters>28212</Characters>
  <Lines>235</Lines>
  <Paragraphs>66</Paragraphs>
  <TotalTime>0</TotalTime>
  <ScaleCrop>false</ScaleCrop>
  <LinksUpToDate>false</LinksUpToDate>
  <CharactersWithSpaces>33095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2023-12-05T02:04:00Z</dcterms:created>
  <dc:creator>Administrator</dc:creator>
  <cp:lastModifiedBy>叶钐湖</cp:lastModifiedBy>
  <dcterms:modified xsi:type="dcterms:W3CDTF">2023-12-07T05:03:15Z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A1ED29D5195F42DC88B15D6E555041E6</vt:lpwstr>
  </property>
</Properties>
</file>