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72"/>
        </w:rPr>
      </w:pPr>
    </w:p>
    <w:p>
      <w:pPr>
        <w:jc w:val="center"/>
        <w:rPr>
          <w:rFonts w:ascii="仿宋" w:hAnsi="仿宋" w:eastAsia="仿宋" w:cs="仿宋"/>
          <w:sz w:val="72"/>
        </w:rPr>
      </w:pPr>
    </w:p>
    <w:p>
      <w:pPr>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ascii="仿宋" w:hAnsi="仿宋" w:eastAsia="仿宋" w:cs="仿宋"/>
          <w:b/>
          <w:sz w:val="84"/>
          <w:szCs w:val="84"/>
        </w:rPr>
      </w:pPr>
      <w:r>
        <w:rPr>
          <w:rFonts w:hint="eastAsia" w:ascii="仿宋" w:hAnsi="仿宋" w:eastAsia="仿宋" w:cs="仿宋"/>
          <w:b/>
          <w:sz w:val="72"/>
          <w:szCs w:val="72"/>
        </w:rPr>
        <w:t>询价文件</w:t>
      </w:r>
    </w:p>
    <w:p>
      <w:pPr>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rPr>
          <w:rFonts w:ascii="仿宋" w:hAnsi="仿宋" w:eastAsia="仿宋" w:cs="仿宋"/>
          <w:sz w:val="40"/>
          <w:szCs w:val="48"/>
        </w:rPr>
      </w:pPr>
    </w:p>
    <w:p>
      <w:pPr>
        <w:spacing w:line="360" w:lineRule="auto"/>
        <w:rPr>
          <w:rFonts w:ascii="仿宋" w:hAnsi="仿宋" w:eastAsia="仿宋" w:cs="仿宋"/>
          <w:sz w:val="40"/>
          <w:szCs w:val="48"/>
        </w:rPr>
      </w:pPr>
    </w:p>
    <w:p>
      <w:pPr>
        <w:spacing w:line="360" w:lineRule="auto"/>
        <w:jc w:val="center"/>
        <w:rPr>
          <w:rFonts w:ascii="仿宋" w:hAnsi="仿宋" w:eastAsia="仿宋" w:cs="仿宋"/>
          <w:sz w:val="32"/>
          <w:szCs w:val="32"/>
          <w:u w:val="single"/>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202308001</w:t>
      </w:r>
      <w:r>
        <w:rPr>
          <w:rFonts w:hint="eastAsia" w:ascii="仿宋" w:hAnsi="仿宋" w:eastAsia="仿宋" w:cs="仿宋"/>
          <w:sz w:val="32"/>
          <w:szCs w:val="32"/>
          <w:u w:val="single"/>
        </w:rPr>
        <w:t xml:space="preserve"> </w:t>
      </w:r>
    </w:p>
    <w:p>
      <w:pPr>
        <w:spacing w:line="360" w:lineRule="auto"/>
        <w:ind w:firstLine="80" w:firstLineChars="25"/>
        <w:jc w:val="center"/>
        <w:rPr>
          <w:rFonts w:ascii="仿宋" w:hAnsi="仿宋" w:eastAsia="仿宋" w:cs="仿宋"/>
          <w:sz w:val="32"/>
          <w:szCs w:val="32"/>
          <w:u w:val="single"/>
        </w:rPr>
      </w:pPr>
      <w:bookmarkStart w:id="0" w:name="OLE_LINK53"/>
      <w:bookmarkStart w:id="1" w:name="OLE_LINK52"/>
      <w:r>
        <w:rPr>
          <w:rFonts w:hint="eastAsia" w:ascii="仿宋" w:hAnsi="仿宋" w:eastAsia="仿宋" w:cs="仿宋"/>
          <w:sz w:val="32"/>
          <w:szCs w:val="32"/>
        </w:rPr>
        <w:t>项目名称：</w:t>
      </w:r>
      <w:bookmarkEnd w:id="0"/>
      <w:bookmarkEnd w:id="1"/>
      <w:r>
        <w:rPr>
          <w:rFonts w:ascii="仿宋" w:hAnsi="仿宋" w:eastAsia="仿宋" w:cs="仿宋"/>
          <w:sz w:val="32"/>
          <w:szCs w:val="32"/>
          <w:u w:val="single"/>
        </w:rPr>
        <w:t>2023年</w:t>
      </w:r>
      <w:r>
        <w:rPr>
          <w:rFonts w:hint="eastAsia" w:ascii="仿宋" w:hAnsi="仿宋" w:eastAsia="仿宋" w:cs="仿宋"/>
          <w:sz w:val="32"/>
          <w:szCs w:val="32"/>
          <w:u w:val="single"/>
        </w:rPr>
        <w:t>临江公司危废柔性填埋场</w:t>
      </w:r>
      <w:r>
        <w:rPr>
          <w:rFonts w:ascii="仿宋" w:hAnsi="仿宋" w:eastAsia="仿宋" w:cs="仿宋"/>
          <w:sz w:val="32"/>
          <w:szCs w:val="32"/>
          <w:u w:val="single"/>
        </w:rPr>
        <w:t>（三固一期）安全性能评估服务</w:t>
      </w:r>
      <w:r>
        <w:rPr>
          <w:rFonts w:hint="eastAsia" w:ascii="仿宋" w:hAnsi="仿宋" w:eastAsia="仿宋" w:cs="仿宋"/>
          <w:sz w:val="32"/>
          <w:szCs w:val="32"/>
          <w:u w:val="single"/>
        </w:rPr>
        <w:t>采购</w:t>
      </w:r>
    </w:p>
    <w:p>
      <w:pPr>
        <w:rPr>
          <w:rFonts w:ascii="仿宋" w:hAnsi="仿宋" w:eastAsia="仿宋" w:cs="仿宋"/>
          <w:sz w:val="84"/>
        </w:rPr>
      </w:pPr>
    </w:p>
    <w:p>
      <w:pPr>
        <w:rPr>
          <w:rFonts w:ascii="仿宋" w:hAnsi="仿宋" w:eastAsia="仿宋" w:cs="仿宋"/>
          <w:sz w:val="84"/>
        </w:rPr>
      </w:pPr>
    </w:p>
    <w:p>
      <w:pPr>
        <w:rPr>
          <w:rFonts w:ascii="仿宋" w:hAnsi="仿宋" w:eastAsia="仿宋" w:cs="仿宋"/>
          <w:sz w:val="84"/>
        </w:rPr>
      </w:pPr>
    </w:p>
    <w:p>
      <w:pPr>
        <w:snapToGrid w:val="0"/>
        <w:spacing w:line="48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二○二三年</w:t>
      </w:r>
      <w:r>
        <w:rPr>
          <w:rFonts w:hint="eastAsia" w:ascii="仿宋" w:hAnsi="仿宋" w:eastAsia="仿宋" w:cs="仿宋"/>
          <w:sz w:val="32"/>
          <w:szCs w:val="32"/>
          <w:lang w:val="en-US" w:eastAsia="zh-CN"/>
        </w:rPr>
        <w:t>八</w:t>
      </w:r>
      <w:r>
        <w:rPr>
          <w:rFonts w:hint="eastAsia" w:ascii="仿宋" w:hAnsi="仿宋" w:eastAsia="仿宋" w:cs="仿宋"/>
          <w:sz w:val="32"/>
          <w:szCs w:val="32"/>
        </w:rPr>
        <w:t>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spacing w:line="360" w:lineRule="auto"/>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8"/>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8"/>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8"/>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8"/>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spacing w:line="360" w:lineRule="auto"/>
        <w:rPr>
          <w:rFonts w:ascii="仿宋" w:hAnsi="仿宋" w:eastAsia="仿宋" w:cs="仿宋"/>
          <w:sz w:val="36"/>
        </w:rPr>
      </w:pPr>
      <w:r>
        <w:rPr>
          <w:rFonts w:hint="eastAsia" w:ascii="仿宋" w:hAnsi="仿宋" w:eastAsia="仿宋" w:cs="仿宋"/>
          <w:sz w:val="36"/>
        </w:rPr>
        <w:fldChar w:fldCharType="end"/>
      </w:r>
    </w:p>
    <w:p>
      <w:pPr>
        <w:spacing w:line="360" w:lineRule="auto"/>
        <w:rPr>
          <w:rFonts w:ascii="仿宋" w:hAnsi="仿宋" w:eastAsia="仿宋" w:cs="仿宋"/>
          <w:sz w:val="36"/>
        </w:rPr>
      </w:pPr>
    </w:p>
    <w:p>
      <w:pPr>
        <w:snapToGrid w:val="0"/>
        <w:spacing w:line="360" w:lineRule="auto"/>
        <w:jc w:val="center"/>
        <w:rPr>
          <w:rFonts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ascii="仿宋" w:hAnsi="仿宋" w:eastAsia="仿宋" w:cs="仿宋"/>
          <w:sz w:val="30"/>
          <w:szCs w:val="30"/>
        </w:rPr>
        <w:t>危废</w:t>
      </w:r>
      <w:r>
        <w:rPr>
          <w:rFonts w:hint="eastAsia" w:ascii="仿宋" w:hAnsi="仿宋" w:eastAsia="仿宋" w:cs="仿宋"/>
          <w:sz w:val="30"/>
          <w:szCs w:val="30"/>
        </w:rPr>
        <w:t>柔性</w:t>
      </w:r>
      <w:r>
        <w:rPr>
          <w:rFonts w:ascii="仿宋" w:hAnsi="仿宋" w:eastAsia="仿宋" w:cs="仿宋"/>
          <w:sz w:val="30"/>
          <w:szCs w:val="30"/>
        </w:rPr>
        <w:t>填埋场（三固一期）安全性能评估服务</w:t>
      </w:r>
      <w:r>
        <w:rPr>
          <w:rFonts w:hint="eastAsia" w:ascii="仿宋" w:hAnsi="仿宋" w:eastAsia="仿宋" w:cs="仿宋"/>
          <w:sz w:val="30"/>
          <w:szCs w:val="30"/>
        </w:rPr>
        <w:t>，欢迎符合要求的供应商积极参与。</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一、采购内容及相关说明。</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1.项目编号：</w:t>
      </w:r>
      <w:r>
        <w:rPr>
          <w:rFonts w:hint="eastAsia" w:ascii="仿宋" w:hAnsi="仿宋" w:eastAsia="仿宋" w:cs="仿宋"/>
          <w:sz w:val="30"/>
          <w:szCs w:val="30"/>
          <w:lang w:eastAsia="zh-CN"/>
        </w:rPr>
        <w:t>202308001</w:t>
      </w:r>
      <w:r>
        <w:rPr>
          <w:rFonts w:hint="eastAsia" w:ascii="仿宋" w:hAnsi="仿宋" w:eastAsia="仿宋" w:cs="仿宋"/>
          <w:sz w:val="30"/>
          <w:szCs w:val="30"/>
        </w:rPr>
        <w:t xml:space="preserve">  </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2.采购内容：危废柔性填埋场</w:t>
      </w:r>
      <w:r>
        <w:rPr>
          <w:rFonts w:ascii="仿宋" w:hAnsi="仿宋" w:eastAsia="仿宋" w:cs="仿宋"/>
          <w:sz w:val="30"/>
          <w:szCs w:val="30"/>
        </w:rPr>
        <w:t>（三固一期）安全性能评估服务</w:t>
      </w:r>
      <w:r>
        <w:rPr>
          <w:rFonts w:hint="eastAsia" w:ascii="仿宋" w:hAnsi="仿宋" w:eastAsia="仿宋" w:cs="仿宋"/>
          <w:sz w:val="30"/>
          <w:szCs w:val="30"/>
        </w:rPr>
        <w:t>，详见第三部分《询价内容》。</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23.5</w:t>
      </w:r>
      <w:r>
        <w:rPr>
          <w:rFonts w:hint="eastAsia" w:ascii="仿宋" w:hAnsi="仿宋" w:eastAsia="仿宋" w:cs="仿宋"/>
          <w:sz w:val="30"/>
          <w:szCs w:val="30"/>
        </w:rPr>
        <w:t>万元。</w:t>
      </w:r>
    </w:p>
    <w:p>
      <w:pPr>
        <w:snapToGrid w:val="0"/>
        <w:spacing w:line="360" w:lineRule="auto"/>
        <w:ind w:firstLine="600" w:firstLineChars="200"/>
        <w:jc w:val="left"/>
        <w:rPr>
          <w:rFonts w:eastAsia="仿宋"/>
        </w:rPr>
      </w:pPr>
      <w:r>
        <w:rPr>
          <w:rFonts w:hint="eastAsia" w:ascii="仿宋" w:hAnsi="仿宋" w:eastAsia="仿宋" w:cs="仿宋"/>
          <w:sz w:val="30"/>
          <w:szCs w:val="30"/>
        </w:rPr>
        <w:t>4.询价文件下载地址：杭州临江环境能源有限公司网站。</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二、供应商要求。</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1.报价人必须是在中华人民共和国境内注册，具有独立法人资格和独立承担民事责任的能力，有能力提供服务。</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2.报价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3.自2019年1月1日起，报价人至少具有1个类似已完成的合同业绩(必须满足国家有关安全、环保等强制性法规、标准的要求)。业绩证明文件包括但不限于：合同、通过验收的报告等。</w:t>
      </w:r>
    </w:p>
    <w:p>
      <w:pPr>
        <w:snapToGrid w:val="0"/>
        <w:spacing w:line="360" w:lineRule="auto"/>
        <w:ind w:firstLine="600" w:firstLineChars="200"/>
        <w:jc w:val="left"/>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报价人不得为杭州临江环境能源有限公司不合格供应商或者在黑名单之内。</w:t>
      </w:r>
    </w:p>
    <w:p>
      <w:pPr>
        <w:snapToGrid w:val="0"/>
        <w:spacing w:line="360" w:lineRule="auto"/>
        <w:ind w:firstLine="600" w:firstLineChars="200"/>
        <w:jc w:val="left"/>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 xml:space="preserve">.报价单位负责人为同一人或者存在控股、管理关系的不同单位，不得同时参加本项目。  </w:t>
      </w:r>
    </w:p>
    <w:p>
      <w:pPr>
        <w:snapToGrid w:val="0"/>
        <w:spacing w:line="360" w:lineRule="auto"/>
        <w:ind w:firstLine="600" w:firstLineChars="200"/>
        <w:jc w:val="left"/>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.报价人须提供其股东信息及出资比例信息。</w:t>
      </w:r>
    </w:p>
    <w:p>
      <w:pPr>
        <w:snapToGrid w:val="0"/>
        <w:spacing w:line="360" w:lineRule="auto"/>
        <w:ind w:firstLine="600" w:firstLineChars="200"/>
        <w:jc w:val="left"/>
        <w:rPr>
          <w:rFonts w:hint="eastAsia"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8</w:t>
      </w:r>
      <w:r>
        <w:rPr>
          <w:rFonts w:hint="eastAsia" w:ascii="仿宋_GB2312" w:eastAsia="仿宋_GB2312"/>
          <w:sz w:val="30"/>
          <w:szCs w:val="30"/>
          <w:lang w:val="en-US" w:eastAsia="zh-CN"/>
        </w:rPr>
        <w:t>.报价保证金4600元，请报价人在投标截止前汇入以下账户并注明采购项目名称：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pPr>
      <w:r>
        <w:rPr>
          <w:rFonts w:hint="default" w:ascii="仿宋_GB2312" w:eastAsia="仿宋_GB2312"/>
          <w:sz w:val="30"/>
          <w:szCs w:val="30"/>
          <w:lang w:val="en-US" w:eastAsia="zh-CN"/>
        </w:rPr>
        <w:t>开户行：招商银行杭州分行滨江支行</w:t>
      </w:r>
    </w:p>
    <w:p>
      <w:pPr>
        <w:snapToGrid w:val="0"/>
        <w:spacing w:line="360" w:lineRule="auto"/>
        <w:ind w:firstLine="585"/>
        <w:jc w:val="left"/>
        <w:rPr>
          <w:rFonts w:ascii="仿宋_GB2312" w:eastAsia="仿宋_GB2312"/>
          <w:b/>
          <w:bCs/>
          <w:sz w:val="30"/>
          <w:szCs w:val="30"/>
        </w:rPr>
      </w:pPr>
      <w:bookmarkStart w:id="6" w:name="_Toc530583923"/>
      <w:bookmarkStart w:id="7" w:name="_Toc530583880"/>
      <w:r>
        <w:rPr>
          <w:rFonts w:hint="eastAsia" w:ascii="仿宋_GB2312" w:eastAsia="仿宋_GB2312"/>
          <w:b/>
          <w:bCs/>
          <w:sz w:val="30"/>
          <w:szCs w:val="30"/>
        </w:rPr>
        <w:t>三、报价</w:t>
      </w:r>
      <w:r>
        <w:rPr>
          <w:rFonts w:hint="eastAsia" w:ascii="仿宋_GB2312" w:eastAsia="仿宋_GB2312"/>
          <w:b/>
          <w:bCs/>
          <w:sz w:val="30"/>
          <w:szCs w:val="30"/>
          <w:lang w:val="en-US" w:eastAsia="zh-CN"/>
        </w:rPr>
        <w:t>截止</w:t>
      </w:r>
      <w:r>
        <w:rPr>
          <w:rFonts w:hint="eastAsia" w:ascii="仿宋_GB2312" w:eastAsia="仿宋_GB2312"/>
          <w:b/>
          <w:bCs/>
          <w:sz w:val="30"/>
          <w:szCs w:val="30"/>
        </w:rPr>
        <w:t>时间及递交方式。</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1.报价</w:t>
      </w:r>
      <w:r>
        <w:rPr>
          <w:rFonts w:hint="eastAsia" w:ascii="仿宋_GB2312" w:eastAsia="仿宋_GB2312"/>
          <w:sz w:val="30"/>
          <w:szCs w:val="30"/>
          <w:lang w:val="en-US" w:eastAsia="zh-CN"/>
        </w:rPr>
        <w:t>截止</w:t>
      </w:r>
      <w:r>
        <w:rPr>
          <w:rFonts w:hint="eastAsia" w:ascii="仿宋_GB2312" w:eastAsia="仿宋_GB2312"/>
          <w:sz w:val="30"/>
          <w:szCs w:val="30"/>
        </w:rPr>
        <w:t>时间：202</w:t>
      </w:r>
      <w:r>
        <w:rPr>
          <w:rFonts w:ascii="仿宋_GB2312" w:eastAsia="仿宋_GB2312"/>
          <w:sz w:val="30"/>
          <w:szCs w:val="30"/>
        </w:rPr>
        <w:t>3</w:t>
      </w:r>
      <w:r>
        <w:rPr>
          <w:rFonts w:hint="eastAsia" w:ascii="仿宋_GB2312" w:eastAsia="仿宋_GB2312"/>
          <w:sz w:val="30"/>
          <w:szCs w:val="30"/>
        </w:rPr>
        <w:t>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日10:</w:t>
      </w:r>
      <w:r>
        <w:rPr>
          <w:rFonts w:hint="eastAsia" w:ascii="仿宋_GB2312" w:eastAsia="仿宋_GB2312"/>
          <w:sz w:val="30"/>
          <w:szCs w:val="30"/>
          <w:lang w:val="en-US" w:eastAsia="zh-CN"/>
        </w:rPr>
        <w:t>3</w:t>
      </w:r>
      <w:r>
        <w:rPr>
          <w:rFonts w:hint="eastAsia" w:ascii="仿宋_GB2312" w:eastAsia="仿宋_GB2312"/>
          <w:sz w:val="30"/>
          <w:szCs w:val="30"/>
        </w:rPr>
        <w:t>0。</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2.报价地点：杭州市钱塘区临江街道红十五线与观十五线交叉口（杭州临江环境能源有限公司科研楼二楼开评标室）。</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3.报价文件的递交：</w:t>
      </w:r>
    </w:p>
    <w:p>
      <w:pPr>
        <w:snapToGrid w:val="0"/>
        <w:spacing w:line="360" w:lineRule="auto"/>
        <w:ind w:firstLine="585"/>
        <w:jc w:val="left"/>
        <w:rPr>
          <w:rFonts w:ascii="仿宋_GB2312" w:eastAsia="仿宋_GB2312"/>
          <w:b/>
          <w:bCs/>
          <w:sz w:val="30"/>
          <w:szCs w:val="30"/>
        </w:rPr>
      </w:pPr>
      <w:r>
        <w:rPr>
          <w:rFonts w:hint="eastAsia" w:ascii="仿宋_GB2312" w:eastAsia="仿宋_GB2312"/>
          <w:sz w:val="30"/>
          <w:szCs w:val="30"/>
        </w:rPr>
        <w:t>（1）本次询价开标采用线上和线下同时进行的方式，报价人可参与现场开标，现场提交报价文件，也可以通过线下邮寄报价文件，线上参加“腾讯会议”形式参与线上现场开标。开标期间报价人代表通过“腾讯会议”保持全程在线直至开标结束。</w:t>
      </w:r>
      <w:r>
        <w:rPr>
          <w:rFonts w:hint="eastAsia" w:ascii="仿宋_GB2312" w:eastAsia="仿宋_GB2312"/>
          <w:b/>
          <w:bCs/>
          <w:sz w:val="30"/>
          <w:szCs w:val="30"/>
        </w:rPr>
        <w:t>腾讯会议号在开标当日</w:t>
      </w:r>
      <w:r>
        <w:rPr>
          <w:rFonts w:hint="eastAsia" w:ascii="仿宋_GB2312" w:eastAsia="仿宋_GB2312"/>
          <w:b/>
          <w:bCs/>
          <w:sz w:val="30"/>
          <w:szCs w:val="30"/>
          <w:lang w:val="en-US" w:eastAsia="zh-CN"/>
        </w:rPr>
        <w:t>10</w:t>
      </w:r>
      <w:r>
        <w:rPr>
          <w:rFonts w:hint="eastAsia" w:ascii="仿宋_GB2312" w:eastAsia="仿宋_GB2312"/>
          <w:b/>
          <w:bCs/>
          <w:sz w:val="30"/>
          <w:szCs w:val="30"/>
        </w:rPr>
        <w:t>:</w:t>
      </w:r>
      <w:r>
        <w:rPr>
          <w:rFonts w:hint="eastAsia" w:ascii="仿宋_GB2312" w:eastAsia="仿宋_GB2312"/>
          <w:b/>
          <w:bCs/>
          <w:sz w:val="30"/>
          <w:szCs w:val="30"/>
          <w:lang w:val="en-US" w:eastAsia="zh-CN"/>
        </w:rPr>
        <w:t>0</w:t>
      </w:r>
      <w:bookmarkStart w:id="17" w:name="_GoBack"/>
      <w:bookmarkEnd w:id="17"/>
      <w:r>
        <w:rPr>
          <w:rFonts w:hint="eastAsia" w:ascii="仿宋_GB2312" w:eastAsia="仿宋_GB2312"/>
          <w:b/>
          <w:bCs/>
          <w:sz w:val="30"/>
          <w:szCs w:val="30"/>
        </w:rPr>
        <w:t>0之前在杭州临江环境能源有限公司网站公示，请各报价人及时关注进入会场。</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（2）密封性检查：由本项目监管人负责查验报价文件密封性情况；报价人代表对报价文件密封情况在线进行确认；</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3）结果确认：在结果确认阶段，本项目采购人通过“腾讯会议”直播间要求各报价人确认开标标录结果，各报价人在线回复确认标录结果完毕后（报价人因故未能确认标录结果的，默认报价人已确认开标结果），采购人打印开标标录，宣布开标会议结束，并负责保存“腾讯会议”录像。</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（4）见证要求：开标期间报价人因未参与现场开标或者未参加线上直播，视为认可全过程和结果，不得提出异议。</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）异议处理：报价人对开标过程有异议的，应在开标会议结束前通过“腾讯会议”在线上提出，采购人应现场予以答复，并做好记录。</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）邮寄地址：杭州市钱塘区临江街道红十五线与观十五线交叉口杭州临江环境能源有限公司科研楼投资发展部   庄工 15268125337</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7</w:t>
      </w:r>
      <w:r>
        <w:rPr>
          <w:rFonts w:hint="eastAsia" w:ascii="仿宋_GB2312" w:eastAsia="仿宋_GB2312"/>
          <w:sz w:val="30"/>
          <w:szCs w:val="30"/>
        </w:rPr>
        <w:t>）报价文件邮寄封装要求：供应商除按照文件要求封装报价文件外，</w:t>
      </w:r>
      <w:r>
        <w:rPr>
          <w:rFonts w:hint="eastAsia" w:ascii="仿宋_GB2312" w:eastAsia="仿宋_GB2312"/>
          <w:b/>
          <w:bCs/>
          <w:sz w:val="30"/>
          <w:szCs w:val="30"/>
        </w:rPr>
        <w:t>还需在快递外包装上醒目注明项目名称、询价编号，且注明报价人联系人、联系人电话</w:t>
      </w:r>
      <w:r>
        <w:rPr>
          <w:rFonts w:hint="eastAsia" w:ascii="仿宋_GB2312" w:eastAsia="仿宋_GB2312"/>
          <w:b/>
          <w:bCs/>
          <w:sz w:val="30"/>
          <w:szCs w:val="30"/>
          <w:lang w:eastAsia="zh-CN"/>
        </w:rPr>
        <w:t>（参考附件九）</w:t>
      </w:r>
      <w:r>
        <w:rPr>
          <w:rFonts w:hint="eastAsia" w:ascii="仿宋_GB2312" w:eastAsia="仿宋_GB2312"/>
          <w:b/>
          <w:bCs/>
          <w:sz w:val="30"/>
          <w:szCs w:val="30"/>
        </w:rPr>
        <w:t>；快递包装务必牢固可靠，因包装原因出现影响报价文件完整性、密封性等后果由供应商自行负责。</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8</w:t>
      </w:r>
      <w:r>
        <w:rPr>
          <w:rFonts w:hint="eastAsia" w:ascii="仿宋_GB2312" w:eastAsia="仿宋_GB2312"/>
          <w:sz w:val="30"/>
          <w:szCs w:val="30"/>
        </w:rPr>
        <w:t>）报价文件邮递递交截止时间：以邮寄签收时间为准，因邮寄原因导致报价文件不能如期送达等风险由供应商自行承担。</w:t>
      </w:r>
    </w:p>
    <w:p>
      <w:pPr>
        <w:snapToGrid w:val="0"/>
        <w:spacing w:line="360" w:lineRule="auto"/>
        <w:ind w:firstLine="585"/>
        <w:jc w:val="left"/>
        <w:rPr>
          <w:rFonts w:ascii="仿宋_GB2312" w:eastAsia="仿宋_GB2312"/>
          <w:b/>
          <w:bCs/>
          <w:sz w:val="30"/>
          <w:szCs w:val="30"/>
        </w:rPr>
      </w:pPr>
      <w:r>
        <w:rPr>
          <w:rFonts w:hint="eastAsia" w:ascii="仿宋_GB2312" w:eastAsia="仿宋_GB2312"/>
          <w:b/>
          <w:bCs/>
          <w:sz w:val="30"/>
          <w:szCs w:val="30"/>
        </w:rPr>
        <w:t>四、质疑。</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报价人如认为询价文件使自身的合法权益受到损害的，应于自报名之日起1日内以书面形式向采购人提出质疑。逾期视作无异议。</w:t>
      </w:r>
    </w:p>
    <w:p>
      <w:pPr>
        <w:snapToGrid w:val="0"/>
        <w:spacing w:line="360" w:lineRule="auto"/>
        <w:ind w:firstLine="585"/>
        <w:jc w:val="left"/>
        <w:rPr>
          <w:rFonts w:ascii="仿宋_GB2312" w:eastAsia="仿宋_GB2312"/>
          <w:sz w:val="30"/>
          <w:szCs w:val="30"/>
        </w:rPr>
      </w:pPr>
      <w:r>
        <w:rPr>
          <w:rFonts w:hint="eastAsia" w:ascii="仿宋_GB2312" w:eastAsia="仿宋_GB2312"/>
          <w:b/>
          <w:bCs/>
          <w:sz w:val="30"/>
          <w:szCs w:val="30"/>
        </w:rPr>
        <w:t>五、联系人</w:t>
      </w:r>
      <w:r>
        <w:rPr>
          <w:rFonts w:hint="eastAsia" w:ascii="仿宋_GB2312" w:eastAsia="仿宋_GB2312"/>
          <w:sz w:val="30"/>
          <w:szCs w:val="30"/>
        </w:rPr>
        <w:t xml:space="preserve">：叶工   </w:t>
      </w:r>
      <w:r>
        <w:rPr>
          <w:rFonts w:ascii="仿宋_GB2312" w:eastAsia="仿宋_GB2312"/>
          <w:sz w:val="30"/>
          <w:szCs w:val="30"/>
        </w:rPr>
        <w:t xml:space="preserve"> </w:t>
      </w:r>
      <w:r>
        <w:rPr>
          <w:rFonts w:hint="eastAsia" w:ascii="仿宋_GB2312" w:eastAsia="仿宋_GB2312"/>
          <w:sz w:val="30"/>
          <w:szCs w:val="30"/>
        </w:rPr>
        <w:t xml:space="preserve"> 联系电话：18458245</w:t>
      </w:r>
      <w:r>
        <w:rPr>
          <w:rFonts w:ascii="仿宋_GB2312" w:eastAsia="仿宋_GB2312"/>
          <w:sz w:val="30"/>
          <w:szCs w:val="30"/>
        </w:rPr>
        <w:t>7</w:t>
      </w:r>
      <w:r>
        <w:rPr>
          <w:rFonts w:hint="eastAsia" w:ascii="仿宋_GB2312" w:eastAsia="仿宋_GB2312"/>
          <w:sz w:val="30"/>
          <w:szCs w:val="30"/>
        </w:rPr>
        <w:t>64</w:t>
      </w:r>
    </w:p>
    <w:p>
      <w:pPr>
        <w:snapToGrid w:val="0"/>
        <w:spacing w:line="360" w:lineRule="auto"/>
        <w:ind w:firstLine="585"/>
        <w:jc w:val="left"/>
        <w:rPr>
          <w:rFonts w:ascii="仿宋_GB2312" w:eastAsia="仿宋_GB2312"/>
          <w:sz w:val="30"/>
          <w:szCs w:val="30"/>
        </w:rPr>
      </w:pPr>
      <w:r>
        <w:rPr>
          <w:rFonts w:hint="eastAsia" w:ascii="仿宋_GB2312" w:eastAsia="仿宋_GB2312"/>
          <w:b/>
          <w:bCs/>
          <w:sz w:val="30"/>
          <w:szCs w:val="30"/>
        </w:rPr>
        <w:t>六、监督部门</w:t>
      </w:r>
      <w:r>
        <w:rPr>
          <w:rFonts w:hint="eastAsia" w:ascii="仿宋_GB2312" w:eastAsia="仿宋_GB2312"/>
          <w:sz w:val="30"/>
          <w:szCs w:val="30"/>
        </w:rPr>
        <w:t>：李文拓 联系电话：15636132687</w:t>
      </w:r>
    </w:p>
    <w:p>
      <w:pPr>
        <w:snapToGrid w:val="0"/>
        <w:spacing w:line="360" w:lineRule="auto"/>
        <w:ind w:firstLine="585"/>
        <w:jc w:val="right"/>
        <w:rPr>
          <w:rFonts w:ascii="仿宋_GB2312" w:eastAsia="仿宋_GB2312"/>
          <w:sz w:val="30"/>
          <w:szCs w:val="30"/>
        </w:rPr>
      </w:pPr>
    </w:p>
    <w:p>
      <w:pPr>
        <w:snapToGrid w:val="0"/>
        <w:spacing w:line="360" w:lineRule="auto"/>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2023</w:t>
      </w:r>
      <w:r>
        <w:rPr>
          <w:rFonts w:ascii="仿宋_GB2312" w:eastAsia="仿宋_GB2312"/>
          <w:sz w:val="30"/>
          <w:szCs w:val="30"/>
        </w:rPr>
        <w:t>年</w:t>
      </w:r>
      <w:r>
        <w:rPr>
          <w:rFonts w:hint="eastAsia" w:ascii="仿宋_GB2312" w:eastAsia="仿宋_GB2312"/>
          <w:sz w:val="30"/>
          <w:szCs w:val="30"/>
        </w:rPr>
        <w:t xml:space="preserve"> </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w:t>
      </w:r>
      <w:r>
        <w:rPr>
          <w:rFonts w:hint="eastAsia" w:ascii="仿宋_GB2312" w:eastAsia="仿宋_GB2312"/>
          <w:sz w:val="30"/>
          <w:szCs w:val="30"/>
        </w:rPr>
        <w:t>日</w:t>
      </w: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b/>
          <w:snapToGrid w:val="0"/>
          <w:color w:val="000000"/>
          <w:kern w:val="44"/>
          <w:sz w:val="44"/>
          <w:szCs w:val="44"/>
        </w:rPr>
        <w:t>第二部分   采购须知</w:t>
      </w:r>
      <w:bookmarkEnd w:id="8"/>
      <w:bookmarkEnd w:id="9"/>
    </w:p>
    <w:p>
      <w:pPr>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无论询价采购过程和结果如何，报价人自行承担全部费用。</w:t>
      </w:r>
    </w:p>
    <w:p>
      <w:pPr>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（二）“报价人”系指向采购人提交报价文件的商家。</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（四）“中标人”系指向经评审确定为本次询价成交商家</w:t>
      </w:r>
    </w:p>
    <w:p>
      <w:pPr>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三、采购报价。</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（二）报价人应按询价文件要求认真制作《报价一览表》，报价时，报价文件中的报价金额如有大写和小写不一致的，以大写金额为准；总价金额与按单价汇总金额不一致的，以单价金额计算结果为准。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（三）报价人报价应为一次性报价。如果出现两个或两个以上报价，则报价无效。报价人报价超过最高限价的，作无效报价处理。报价人报价应包括人工费和税费等。</w:t>
      </w:r>
    </w:p>
    <w:p>
      <w:pPr>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（二）特殊情况下，采购人可与报价人协商延缓报价有效期，这种要求和答复均以书面形式进行。</w:t>
      </w:r>
    </w:p>
    <w:p>
      <w:pPr>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五、报价文件的组成。</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报价文件</w:t>
      </w:r>
      <w:r>
        <w:rPr>
          <w:rFonts w:hint="eastAsia" w:ascii="仿宋_GB2312" w:hAnsi="宋体" w:eastAsia="仿宋_GB2312"/>
          <w:sz w:val="30"/>
          <w:szCs w:val="30"/>
          <w:lang w:eastAsia="zh-CN"/>
        </w:rPr>
        <w:t>应</w:t>
      </w:r>
      <w:r>
        <w:rPr>
          <w:rFonts w:hint="eastAsia" w:ascii="仿宋_GB2312" w:hAnsi="宋体" w:eastAsia="仿宋_GB2312"/>
          <w:sz w:val="30"/>
          <w:szCs w:val="30"/>
        </w:rPr>
        <w:t>装订密封，并在封套的封口处</w:t>
      </w:r>
      <w:r>
        <w:rPr>
          <w:rFonts w:hint="eastAsia" w:ascii="仿宋_GB2312" w:hAnsi="宋体" w:eastAsia="仿宋_GB2312"/>
          <w:b/>
          <w:bCs/>
          <w:sz w:val="30"/>
          <w:szCs w:val="30"/>
        </w:rPr>
        <w:t>加盖</w:t>
      </w:r>
      <w:r>
        <w:rPr>
          <w:rFonts w:hint="eastAsia" w:ascii="仿宋_GB2312" w:hAnsi="宋体" w:eastAsia="仿宋_GB2312"/>
          <w:b/>
          <w:bCs/>
          <w:sz w:val="30"/>
          <w:szCs w:val="30"/>
          <w:lang w:eastAsia="zh-CN"/>
        </w:rPr>
        <w:t>报价</w:t>
      </w:r>
      <w:r>
        <w:rPr>
          <w:rFonts w:hint="eastAsia" w:ascii="仿宋_GB2312" w:hAnsi="宋体" w:eastAsia="仿宋_GB2312"/>
          <w:b/>
          <w:bCs/>
          <w:sz w:val="30"/>
          <w:szCs w:val="30"/>
        </w:rPr>
        <w:t>单位公章</w:t>
      </w:r>
      <w:r>
        <w:rPr>
          <w:rFonts w:hint="eastAsia" w:ascii="仿宋_GB2312" w:hAnsi="宋体" w:eastAsia="仿宋_GB2312"/>
          <w:sz w:val="30"/>
          <w:szCs w:val="30"/>
        </w:rPr>
        <w:t>或由投标人的法定代表人或其授权的代理人签字。</w:t>
      </w:r>
    </w:p>
    <w:p>
      <w:pPr>
        <w:snapToGrid w:val="0"/>
        <w:spacing w:line="360" w:lineRule="auto"/>
        <w:ind w:firstLine="602" w:firstLineChars="200"/>
        <w:rPr>
          <w:rFonts w:hint="eastAsia" w:ascii="仿宋_GB2312" w:hAnsi="宋体" w:eastAsia="仿宋_GB2312"/>
          <w:sz w:val="30"/>
          <w:szCs w:val="30"/>
        </w:rPr>
      </w:pPr>
      <w:r>
        <w:rPr>
          <w:rFonts w:hint="eastAsia" w:ascii="仿宋_GB2312" w:hAnsi="宋体" w:eastAsia="仿宋_GB2312"/>
          <w:b/>
          <w:bCs/>
          <w:sz w:val="30"/>
          <w:szCs w:val="30"/>
          <w:lang w:eastAsia="zh-CN"/>
        </w:rPr>
        <w:t>报价人应</w:t>
      </w:r>
      <w:r>
        <w:rPr>
          <w:rFonts w:hint="eastAsia" w:ascii="仿宋_GB2312" w:hAnsi="宋体" w:eastAsia="仿宋_GB2312"/>
          <w:b/>
          <w:bCs/>
          <w:sz w:val="30"/>
          <w:szCs w:val="30"/>
        </w:rPr>
        <w:t>在封面上注明：采购项目名称、采购项目编号、报价单位名称、联系人、联系方式；</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1.报价文件密封封面（附件一）；</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2.法定代表人授权书（附件二）；</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3.报价一览表（附件三）；</w:t>
      </w:r>
    </w:p>
    <w:p>
      <w:pPr>
        <w:snapToGrid w:val="0"/>
        <w:spacing w:line="360" w:lineRule="auto"/>
        <w:ind w:firstLine="600" w:firstLineChars="200"/>
        <w:rPr>
          <w:rFonts w:eastAsia="仿宋_GB2312"/>
        </w:rPr>
      </w:pPr>
      <w:r>
        <w:rPr>
          <w:rFonts w:hint="eastAsia" w:ascii="仿宋_GB2312" w:hAnsi="宋体" w:eastAsia="仿宋_GB2312"/>
          <w:sz w:val="30"/>
          <w:szCs w:val="30"/>
        </w:rPr>
        <w:t>4.诚信廉洁承诺函（附件四）；</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5.有效资质证明并加盖公章：通过年检的营业执照复印件、业绩证明材料。</w:t>
      </w:r>
    </w:p>
    <w:p>
      <w:pPr>
        <w:snapToGrid w:val="0"/>
        <w:spacing w:line="360" w:lineRule="auto"/>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6.股东信息及出资比例信息（附件五）。</w:t>
      </w:r>
    </w:p>
    <w:p>
      <w:pPr>
        <w:snapToGrid w:val="0"/>
        <w:spacing w:line="360" w:lineRule="auto"/>
        <w:ind w:firstLine="600" w:firstLineChars="200"/>
        <w:rPr>
          <w:rFonts w:hint="eastAsia" w:ascii="仿宋_GB2312" w:hAnsi="宋体" w:eastAsia="仿宋_GB2312" w:cs="Times New Roman"/>
          <w:sz w:val="30"/>
          <w:szCs w:val="30"/>
        </w:rPr>
      </w:pPr>
      <w:r>
        <w:rPr>
          <w:rFonts w:hint="default" w:ascii="仿宋_GB2312" w:hAnsi="宋体" w:eastAsia="仿宋_GB2312" w:cs="Times New Roman"/>
          <w:sz w:val="30"/>
          <w:szCs w:val="30"/>
          <w:lang w:val="en-US" w:eastAsia="zh-CN"/>
        </w:rPr>
        <w:t>7</w:t>
      </w:r>
      <w:r>
        <w:rPr>
          <w:rFonts w:hint="eastAsia" w:ascii="仿宋_GB2312" w:hAnsi="宋体" w:eastAsia="仿宋_GB2312" w:cs="Times New Roman"/>
          <w:sz w:val="30"/>
          <w:szCs w:val="30"/>
          <w:lang w:val="en-US" w:eastAsia="zh-CN"/>
        </w:rPr>
        <w:t>.报价保证金银行汇款单复印件。</w:t>
      </w:r>
    </w:p>
    <w:p>
      <w:pPr>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六、报价文件的签署和份数。</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w:t>
      </w:r>
      <w:r>
        <w:rPr>
          <w:rFonts w:hint="eastAsia" w:ascii="仿宋_GB2312" w:eastAsia="仿宋_GB2312"/>
          <w:sz w:val="30"/>
          <w:szCs w:val="30"/>
          <w:lang w:eastAsia="zh-CN"/>
        </w:rPr>
        <w:t>或</w:t>
      </w:r>
      <w:r>
        <w:rPr>
          <w:rFonts w:hint="eastAsia" w:ascii="仿宋_GB2312" w:eastAsia="仿宋_GB2312"/>
          <w:sz w:val="30"/>
          <w:szCs w:val="30"/>
        </w:rPr>
        <w:t>由法定代表人或授权代表签署，报价人单位应写全称。</w:t>
      </w:r>
    </w:p>
    <w:p>
      <w:pPr>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（三）报价人应按照询价文件的格式要求制作报价文件，报价文件正本1份，副本2份。</w:t>
      </w:r>
    </w:p>
    <w:p>
      <w:pPr>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（一）如果报价人未加写标记，采购人对报价文件的误投和提前启封不负责任。</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（二）采购人接受报价人报价文件时间：在报价截止时间前接受报价文件。</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（三）报价截止时间前，报价人可以书面形式向采购人已递交的报价文件提出补充和修改，采购人以最后的补充和修改为准。该书面材料应密封，由法定代表人或授权委托人签字并加盖公章。</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spacing w:line="360" w:lineRule="auto"/>
        <w:ind w:left="1" w:firstLine="774" w:firstLineChars="257"/>
        <w:rPr>
          <w:rFonts w:ascii="仿宋_GB2312" w:eastAsia="仿宋_GB2312"/>
          <w:b/>
          <w:bCs/>
          <w:sz w:val="30"/>
          <w:szCs w:val="30"/>
        </w:rPr>
      </w:pPr>
      <w:r>
        <w:rPr>
          <w:rFonts w:hint="eastAsia" w:ascii="仿宋_GB2312" w:eastAsia="仿宋_GB2312"/>
          <w:b/>
          <w:bCs/>
          <w:sz w:val="30"/>
          <w:szCs w:val="30"/>
        </w:rPr>
        <w:t>八、无效报价。</w:t>
      </w:r>
    </w:p>
    <w:p>
      <w:pPr>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spacing w:line="360" w:lineRule="auto"/>
        <w:jc w:val="left"/>
        <w:rPr>
          <w:rFonts w:ascii="仿宋_GB2312" w:eastAsia="仿宋_GB2312"/>
          <w:sz w:val="30"/>
          <w:szCs w:val="30"/>
        </w:rPr>
      </w:pPr>
      <w:r>
        <w:rPr>
          <w:rFonts w:hint="eastAsia" w:ascii="仿宋_GB2312" w:eastAsia="仿宋_GB2312"/>
          <w:sz w:val="30"/>
          <w:szCs w:val="30"/>
        </w:rPr>
        <w:t xml:space="preserve">    （四）报价总价超过最高限价的。</w:t>
      </w:r>
    </w:p>
    <w:p>
      <w:pPr>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（六）报价不全，存在缺项、漏项的。</w:t>
      </w:r>
    </w:p>
    <w:p>
      <w:pPr>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（七）不符合法律、法规和本询价文件规定的其他要求的。</w:t>
      </w:r>
    </w:p>
    <w:p>
      <w:pPr>
        <w:pageBreakBefore w:val="0"/>
        <w:kinsoku/>
        <w:wordWrap/>
        <w:topLinePunct w:val="0"/>
        <w:bidi w:val="0"/>
        <w:snapToGrid w:val="0"/>
        <w:spacing w:line="360" w:lineRule="auto"/>
        <w:ind w:firstLine="600" w:firstLineChars="200"/>
        <w:jc w:val="left"/>
      </w:pPr>
      <w:r>
        <w:rPr>
          <w:rFonts w:hint="eastAsia" w:ascii="仿宋_GB2312" w:eastAsia="仿宋_GB2312"/>
          <w:sz w:val="30"/>
          <w:szCs w:val="30"/>
          <w:lang w:val="en-US" w:eastAsia="zh-CN"/>
        </w:rPr>
        <w:t>（八）未按要求缴纳报价保证金的。</w:t>
      </w:r>
    </w:p>
    <w:p>
      <w:pPr>
        <w:snapToGrid w:val="0"/>
        <w:spacing w:line="360" w:lineRule="auto"/>
        <w:jc w:val="left"/>
        <w:rPr>
          <w:rFonts w:ascii="仿宋_GB2312" w:eastAsia="仿宋_GB2312"/>
          <w:sz w:val="30"/>
          <w:szCs w:val="30"/>
        </w:rPr>
      </w:pPr>
      <w:r>
        <w:rPr>
          <w:rFonts w:hint="eastAsia" w:ascii="仿宋_GB2312" w:eastAsia="仿宋_GB2312"/>
          <w:sz w:val="30"/>
          <w:szCs w:val="30"/>
        </w:rPr>
        <w:t>　</w:t>
      </w:r>
      <w:r>
        <w:rPr>
          <w:rFonts w:hint="eastAsia" w:ascii="仿宋_GB2312" w:eastAsia="仿宋_GB2312"/>
          <w:b/>
          <w:bCs/>
          <w:sz w:val="30"/>
          <w:szCs w:val="30"/>
        </w:rPr>
        <w:t xml:space="preserve">  九、询价过程。</w:t>
      </w:r>
    </w:p>
    <w:p>
      <w:pPr>
        <w:snapToGrid w:val="0"/>
        <w:spacing w:line="360" w:lineRule="auto"/>
        <w:jc w:val="left"/>
        <w:rPr>
          <w:rFonts w:ascii="仿宋_GB2312" w:eastAsia="仿宋_GB2312"/>
          <w:sz w:val="30"/>
          <w:szCs w:val="30"/>
        </w:rPr>
      </w:pPr>
      <w:r>
        <w:rPr>
          <w:rFonts w:hint="eastAsia" w:ascii="仿宋_GB2312" w:eastAsia="仿宋_GB2312"/>
          <w:sz w:val="30"/>
          <w:szCs w:val="30"/>
        </w:rPr>
        <w:t xml:space="preserve">    （一）采购人组织3人或3人以上组成询价评审小组。</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spacing w:line="360" w:lineRule="auto"/>
        <w:ind w:right="-176" w:rightChars="-84" w:firstLine="600"/>
        <w:rPr>
          <w:rFonts w:ascii="仿宋_GB2312" w:eastAsia="仿宋_GB2312"/>
          <w:b/>
          <w:bCs/>
          <w:sz w:val="30"/>
          <w:szCs w:val="30"/>
        </w:rPr>
      </w:pPr>
      <w:r>
        <w:rPr>
          <w:rFonts w:hint="eastAsia" w:ascii="仿宋_GB2312" w:eastAsia="仿宋_GB2312"/>
          <w:b/>
          <w:bCs/>
          <w:sz w:val="30"/>
          <w:szCs w:val="30"/>
        </w:rPr>
        <w:t>十、重新询价和不再询价。</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（一）重新询价</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询价截止时间止，报价人少于3家的或经评审后有效标不足3家，采购人将重新询价。</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（二）不再询价</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重新询价后报价人仍少于3个或者经评审有效标不足3家，直接转为竞争性谈判，询价文件即为谈判文件，评标小组成员即为谈判小组成员，报价保证金转为谈判保证金。</w:t>
      </w:r>
    </w:p>
    <w:p>
      <w:pPr>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十一、成交原则与方法。</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中标单位，若出现税率不一致的情况，以除税总金额相对比。如果出现相同总金额最低报价情况时，总金额最低报价相同的报价人再进行一轮报价。如报价再相同，则由采购人抽签决定中标单位。</w:t>
      </w:r>
    </w:p>
    <w:p>
      <w:pPr>
        <w:snapToGrid w:val="0"/>
        <w:spacing w:line="360" w:lineRule="auto"/>
        <w:jc w:val="left"/>
        <w:rPr>
          <w:rFonts w:ascii="仿宋_GB2312" w:eastAsia="仿宋_GB2312"/>
          <w:sz w:val="30"/>
          <w:szCs w:val="30"/>
        </w:rPr>
      </w:pPr>
      <w:r>
        <w:rPr>
          <w:rFonts w:hint="eastAsia" w:ascii="仿宋_GB2312" w:eastAsia="仿宋_GB2312"/>
          <w:sz w:val="30"/>
          <w:szCs w:val="30"/>
        </w:rPr>
        <w:t xml:space="preserve">   （二）采购人不向未中标单位解释未成交原因，不退还报价文件。</w:t>
      </w:r>
    </w:p>
    <w:p>
      <w:pPr>
        <w:pStyle w:val="20"/>
        <w:widowControl w:val="0"/>
        <w:snapToGrid w:val="0"/>
        <w:spacing w:line="360" w:lineRule="auto"/>
        <w:ind w:firstLine="601"/>
        <w:rPr>
          <w:rFonts w:ascii="仿宋_GB2312" w:eastAsia="仿宋_GB2312"/>
          <w:b/>
          <w:bCs/>
          <w:szCs w:val="30"/>
        </w:rPr>
      </w:pPr>
      <w:r>
        <w:rPr>
          <w:rFonts w:hint="eastAsia" w:ascii="仿宋_GB2312" w:eastAsia="仿宋_GB2312"/>
          <w:b/>
          <w:bCs/>
          <w:szCs w:val="30"/>
        </w:rPr>
        <w:t>十二、合同。</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合同签订：报价人按照上述第十一条规定确定中标单位，并签订采购合同，签约单位为杭州临江环境能源有限公司。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b/>
          <w:bCs/>
          <w:color w:val="auto"/>
          <w:sz w:val="30"/>
          <w:szCs w:val="30"/>
          <w:lang w:eastAsia="zh-CN"/>
        </w:rPr>
        <w:t>报价人先</w:t>
      </w:r>
      <w:r>
        <w:rPr>
          <w:rFonts w:hint="eastAsia" w:ascii="仿宋_GB2312" w:eastAsia="仿宋_GB2312"/>
          <w:b/>
          <w:bCs/>
          <w:color w:val="auto"/>
          <w:sz w:val="30"/>
          <w:szCs w:val="30"/>
        </w:rPr>
        <w:t>必须提供加盖公章或财务专用章的收款收据</w:t>
      </w:r>
      <w:r>
        <w:rPr>
          <w:rFonts w:hint="eastAsia" w:ascii="仿宋_GB2312" w:eastAsia="仿宋_GB2312"/>
          <w:b/>
          <w:bCs/>
          <w:color w:val="auto"/>
          <w:sz w:val="30"/>
          <w:szCs w:val="30"/>
          <w:lang w:eastAsia="zh-CN"/>
        </w:rPr>
        <w:t>（如附件八样式）</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宋体" w:eastAsia="仿宋_GB2312"/>
          <w:sz w:val="30"/>
          <w:szCs w:val="30"/>
        </w:rPr>
      </w:pPr>
      <w:r>
        <w:rPr>
          <w:rFonts w:hint="eastAsia" w:ascii="仿宋_GB2312" w:eastAsia="仿宋_GB2312"/>
          <w:sz w:val="30"/>
          <w:szCs w:val="30"/>
        </w:rPr>
        <w:t>（4）法律、法规规定的其他情形。</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（一）如果有证据证明各报价人之间存在串通等舞弊、违法行为，采购人有权拒绝存在此行为的报价人报价，并列入杭州临江环境能源有限公司不合格供应商名录。</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pPr>
      <w:r>
        <w:rPr>
          <w:rFonts w:ascii="仿宋_GB2312" w:hAnsi="宋体" w:eastAsia="仿宋_GB2312"/>
          <w:kern w:val="0"/>
          <w:sz w:val="28"/>
        </w:rPr>
        <w:br w:type="page"/>
      </w:r>
    </w:p>
    <w:p>
      <w:pPr>
        <w:pStyle w:val="3"/>
        <w:numPr>
          <w:ilvl w:val="0"/>
          <w:numId w:val="0"/>
        </w:numPr>
        <w:jc w:val="center"/>
        <w:rPr>
          <w:rFonts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adjustRightInd w:val="0"/>
        <w:snapToGrid w:val="0"/>
        <w:spacing w:line="360" w:lineRule="auto"/>
        <w:ind w:left="585"/>
        <w:jc w:val="left"/>
        <w:textAlignment w:val="baseline"/>
        <w:rPr>
          <w:rFonts w:ascii="仿宋" w:hAnsi="仿宋" w:eastAsia="仿宋" w:cs="仿宋"/>
          <w:b/>
          <w:bCs/>
          <w:sz w:val="30"/>
          <w:szCs w:val="30"/>
          <w:u w:color="000000"/>
        </w:rPr>
      </w:pPr>
      <w:r>
        <w:rPr>
          <w:rFonts w:hint="eastAsia" w:ascii="仿宋" w:hAnsi="仿宋" w:eastAsia="仿宋" w:cs="仿宋"/>
          <w:b/>
          <w:bCs/>
          <w:sz w:val="30"/>
          <w:szCs w:val="30"/>
          <w:u w:color="000000"/>
        </w:rPr>
        <w:t>一、柔性填埋场简介</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三固项目填埋场一期自2021年开始使用，总占地面积约3.5万m2，采取半填半挖的形式构筑，有效库容约31.1万m3。填埋场的防渗系统采用HDPE复合防渗层，其中场底10层，边坡7层，达到欧盟建设标准，同时考虑场地地处海湾堆积平原、地下水位较高，采用环场垂直防渗帷幕+地下水导排措施，使填埋场库区的地下水水位低于周边区域，从地下水流场上防止及控制污染扩散。另外还设有地下水导排及抽排系统工程、渗滤液导排抽排系统、雨水清污分流系统等。填埋场周边</w:t>
      </w:r>
      <w:r>
        <w:rPr>
          <w:rFonts w:hint="eastAsia" w:ascii="仿宋" w:hAnsi="仿宋" w:eastAsia="仿宋" w:cs="仿宋"/>
          <w:color w:val="auto"/>
          <w:kern w:val="2"/>
          <w:szCs w:val="30"/>
          <w:lang w:eastAsia="zh-CN"/>
        </w:rPr>
        <w:t>现</w:t>
      </w:r>
      <w:r>
        <w:rPr>
          <w:rFonts w:hint="eastAsia" w:ascii="仿宋" w:hAnsi="仿宋" w:eastAsia="仿宋" w:cs="仿宋"/>
          <w:color w:val="auto"/>
          <w:kern w:val="2"/>
          <w:szCs w:val="30"/>
        </w:rPr>
        <w:t>设有</w:t>
      </w:r>
      <w:r>
        <w:rPr>
          <w:rFonts w:hint="eastAsia" w:ascii="仿宋" w:hAnsi="仿宋" w:eastAsia="仿宋" w:cs="仿宋"/>
          <w:color w:val="FF0000"/>
          <w:kern w:val="2"/>
          <w:szCs w:val="30"/>
        </w:rPr>
        <w:t>6个</w:t>
      </w:r>
      <w:r>
        <w:rPr>
          <w:rFonts w:hint="eastAsia" w:ascii="仿宋" w:hAnsi="仿宋" w:eastAsia="仿宋" w:cs="仿宋"/>
          <w:color w:val="auto"/>
          <w:kern w:val="2"/>
          <w:szCs w:val="30"/>
        </w:rPr>
        <w:t>地下水监测井，定期监测地下水水质，确保安全填埋。目前，一分区正在填埋废物，二分区已建成但未投入使用，如下图。</w:t>
      </w:r>
    </w:p>
    <w:p>
      <w:pPr>
        <w:pStyle w:val="20"/>
        <w:snapToGrid w:val="0"/>
        <w:spacing w:line="360" w:lineRule="auto"/>
        <w:ind w:firstLine="601"/>
        <w:rPr>
          <w:rFonts w:ascii="仿宋" w:hAnsi="仿宋" w:eastAsia="仿宋" w:cs="仿宋"/>
          <w:color w:val="auto"/>
          <w:kern w:val="2"/>
          <w:szCs w:val="30"/>
        </w:rPr>
      </w:pP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drawing>
          <wp:inline distT="0" distB="0" distL="114300" distR="114300">
            <wp:extent cx="5431155" cy="3060065"/>
            <wp:effectExtent l="0" t="0" r="17145" b="6985"/>
            <wp:docPr id="1" name="图片 1" descr="88ce1bad717de72e17c0e8515cd0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ce1bad717de72e17c0e8515cd0a30"/>
                    <pic:cNvPicPr>
                      <a:picLocks noChangeAspect="1"/>
                    </pic:cNvPicPr>
                  </pic:nvPicPr>
                  <pic:blipFill>
                    <a:blip r:embed="rId5"/>
                    <a:srcRect t="835"/>
                    <a:stretch>
                      <a:fillRect/>
                    </a:stretch>
                  </pic:blipFill>
                  <pic:spPr>
                    <a:xfrm>
                      <a:off x="0" y="0"/>
                      <a:ext cx="5431155" cy="3060065"/>
                    </a:xfrm>
                    <a:prstGeom prst="rect">
                      <a:avLst/>
                    </a:prstGeom>
                  </pic:spPr>
                </pic:pic>
              </a:graphicData>
            </a:graphic>
          </wp:inline>
        </w:drawing>
      </w:r>
    </w:p>
    <w:p>
      <w:pPr>
        <w:pStyle w:val="20"/>
        <w:snapToGrid w:val="0"/>
        <w:spacing w:line="360" w:lineRule="auto"/>
        <w:ind w:firstLine="601"/>
        <w:rPr>
          <w:rFonts w:ascii="仿宋" w:hAnsi="仿宋" w:eastAsia="仿宋" w:cs="仿宋"/>
          <w:color w:val="auto"/>
          <w:kern w:val="2"/>
          <w:szCs w:val="30"/>
        </w:rPr>
      </w:pPr>
    </w:p>
    <w:p>
      <w:pPr>
        <w:pStyle w:val="20"/>
        <w:snapToGrid w:val="0"/>
        <w:spacing w:line="360" w:lineRule="auto"/>
        <w:ind w:firstLine="602" w:firstLineChars="200"/>
        <w:rPr>
          <w:rFonts w:ascii="仿宋" w:hAnsi="仿宋" w:eastAsia="仿宋" w:cs="仿宋"/>
          <w:b/>
          <w:bCs/>
          <w:color w:val="auto"/>
          <w:kern w:val="2"/>
          <w:szCs w:val="30"/>
        </w:rPr>
      </w:pPr>
      <w:r>
        <w:rPr>
          <w:rFonts w:hint="eastAsia" w:ascii="仿宋" w:hAnsi="仿宋" w:eastAsia="仿宋" w:cs="仿宋"/>
          <w:b/>
          <w:bCs/>
          <w:color w:val="auto"/>
          <w:kern w:val="2"/>
          <w:szCs w:val="30"/>
        </w:rPr>
        <w:t>二、采购内容</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对一分区（如上图）的危废柔性填埋场根据《GB18598—2019危险废物填埋污染控制标准》进行安全性能评估</w:t>
      </w:r>
      <w:r>
        <w:rPr>
          <w:rFonts w:hint="eastAsia" w:ascii="仿宋" w:hAnsi="仿宋" w:eastAsia="仿宋" w:cs="仿宋"/>
          <w:color w:val="auto"/>
          <w:kern w:val="2"/>
          <w:szCs w:val="30"/>
          <w:lang w:eastAsia="zh-CN"/>
        </w:rPr>
        <w:t>，同时对</w:t>
      </w:r>
      <w:r>
        <w:rPr>
          <w:rFonts w:hint="eastAsia" w:ascii="仿宋" w:hAnsi="仿宋" w:eastAsia="仿宋" w:cs="仿宋"/>
          <w:color w:val="FF0000"/>
          <w:kern w:val="2"/>
          <w:szCs w:val="30"/>
        </w:rPr>
        <w:t>防渗膜完整性检测、</w:t>
      </w:r>
      <w:r>
        <w:rPr>
          <w:rFonts w:hint="eastAsia" w:ascii="仿宋" w:hAnsi="仿宋" w:eastAsia="仿宋" w:cs="仿宋"/>
          <w:color w:val="FF0000"/>
          <w:kern w:val="2"/>
          <w:szCs w:val="30"/>
          <w:lang w:eastAsia="zh-CN"/>
        </w:rPr>
        <w:t>新增</w:t>
      </w:r>
      <w:r>
        <w:rPr>
          <w:rFonts w:hint="eastAsia" w:ascii="仿宋" w:hAnsi="仿宋" w:eastAsia="仿宋" w:cs="仿宋"/>
          <w:color w:val="FF0000"/>
          <w:kern w:val="2"/>
          <w:szCs w:val="30"/>
          <w:lang w:val="en-US" w:eastAsia="zh-CN"/>
        </w:rPr>
        <w:t>6</w:t>
      </w:r>
      <w:r>
        <w:rPr>
          <w:rFonts w:hint="eastAsia" w:ascii="仿宋" w:hAnsi="仿宋" w:eastAsia="仿宋" w:cs="仿宋"/>
          <w:color w:val="FF0000"/>
          <w:kern w:val="2"/>
          <w:szCs w:val="30"/>
        </w:rPr>
        <w:t>个地下水检测井</w:t>
      </w:r>
      <w:r>
        <w:rPr>
          <w:rFonts w:hint="eastAsia" w:ascii="仿宋" w:hAnsi="仿宋" w:eastAsia="仿宋" w:cs="仿宋"/>
          <w:color w:val="FF0000"/>
          <w:kern w:val="2"/>
          <w:szCs w:val="30"/>
          <w:lang w:eastAsia="zh-CN"/>
        </w:rPr>
        <w:t>（深9米、直径110mm）并检测</w:t>
      </w:r>
      <w:r>
        <w:rPr>
          <w:rFonts w:hint="eastAsia" w:ascii="仿宋" w:hAnsi="仿宋" w:eastAsia="仿宋" w:cs="仿宋"/>
          <w:color w:val="auto"/>
          <w:kern w:val="2"/>
          <w:szCs w:val="30"/>
        </w:rPr>
        <w:t>。</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目前，采购人开展的相关检测如下：</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1、</w:t>
      </w:r>
      <w:r>
        <w:rPr>
          <w:rFonts w:hint="eastAsia" w:ascii="仿宋" w:hAnsi="仿宋" w:eastAsia="仿宋" w:cs="仿宋"/>
          <w:color w:val="auto"/>
          <w:kern w:val="2"/>
          <w:szCs w:val="30"/>
          <w:lang w:eastAsia="zh-CN"/>
        </w:rPr>
        <w:t>原有</w:t>
      </w:r>
      <w:r>
        <w:rPr>
          <w:rFonts w:hint="eastAsia" w:ascii="仿宋" w:hAnsi="仿宋" w:eastAsia="仿宋" w:cs="仿宋"/>
          <w:color w:val="FF0000"/>
          <w:kern w:val="2"/>
          <w:szCs w:val="30"/>
        </w:rPr>
        <w:t>六个地下水监测</w:t>
      </w:r>
      <w:r>
        <w:rPr>
          <w:rFonts w:hint="eastAsia" w:ascii="仿宋" w:hAnsi="仿宋" w:eastAsia="仿宋" w:cs="仿宋"/>
          <w:color w:val="auto"/>
          <w:kern w:val="2"/>
          <w:szCs w:val="30"/>
        </w:rPr>
        <w:t>井正常监测水质（第三方检测）；</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2、渗滤液原液全分析检测（采购人自行检测）；</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3、入厂填埋废物的检测（采购人自行检测）。</w:t>
      </w:r>
    </w:p>
    <w:p>
      <w:pPr>
        <w:pStyle w:val="20"/>
        <w:snapToGrid w:val="0"/>
        <w:spacing w:line="360" w:lineRule="auto"/>
        <w:ind w:firstLine="602" w:firstLineChars="200"/>
        <w:rPr>
          <w:rFonts w:ascii="仿宋" w:hAnsi="仿宋" w:eastAsia="仿宋" w:cs="仿宋"/>
          <w:b/>
          <w:bCs/>
          <w:color w:val="auto"/>
          <w:kern w:val="2"/>
          <w:szCs w:val="30"/>
        </w:rPr>
      </w:pPr>
      <w:r>
        <w:rPr>
          <w:rFonts w:hint="eastAsia" w:ascii="仿宋" w:hAnsi="仿宋" w:eastAsia="仿宋" w:cs="仿宋"/>
          <w:b/>
          <w:bCs/>
          <w:color w:val="auto"/>
          <w:kern w:val="2"/>
          <w:szCs w:val="30"/>
        </w:rPr>
        <w:t>三、技术要求</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按照《危险废物填埋污染控制标准》（GB18598-2019）等技术规范要求，根据渗滤液水位、渗滤液产生量、渗滤液组分及浓度、土壤及地下水检测数据等资料，对填埋场环境安全性能进行评估。</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1、填埋场建设运行情况分析</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（1）汇总填埋场设施建设情况，明确设施建设是否符合设计要求、环评要求及规范要求。</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2）汇总分析填埋场运行现状，收集填埋场运行台账资料、固化稳定化方案、分区填埋方案、环保设施运行记录及检测数据等资料，分析填埋场日常管理现状、检测及固化稳定化、危险废物分区填埋、导排系统运行、环保设施运行等环节是否符合要求。</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（3）</w:t>
      </w:r>
      <w:r>
        <w:rPr>
          <w:rFonts w:hint="eastAsia" w:ascii="仿宋" w:hAnsi="仿宋" w:eastAsia="仿宋" w:cs="仿宋"/>
          <w:color w:val="FF0000"/>
          <w:kern w:val="2"/>
          <w:szCs w:val="30"/>
        </w:rPr>
        <w:t>开展防渗膜完整性检测并出具报告，</w:t>
      </w:r>
      <w:r>
        <w:rPr>
          <w:rFonts w:hint="eastAsia" w:ascii="仿宋" w:hAnsi="仿宋" w:eastAsia="仿宋" w:cs="仿宋"/>
          <w:color w:val="auto"/>
          <w:kern w:val="2"/>
          <w:szCs w:val="30"/>
        </w:rPr>
        <w:t>结合渗滤液水位、渗滤液产生量等计算及复核设施防渗及导排是否符合要求，分析评估防渗层的有效性及完整性。</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（4）稳定性分析</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根据堆体及周边岩体分析计算堆体稳定性及地基稳定性，出具堆体稳定报告。</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2、土壤与地下水监测情况分析</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FF0000"/>
          <w:kern w:val="2"/>
          <w:szCs w:val="30"/>
        </w:rPr>
        <w:t>根据规范要求新建6个地下水检测井（深9米、直径110mm</w:t>
      </w:r>
      <w:r>
        <w:rPr>
          <w:rFonts w:ascii="仿宋" w:hAnsi="仿宋" w:eastAsia="仿宋" w:cs="仿宋"/>
          <w:color w:val="FF0000"/>
          <w:kern w:val="2"/>
          <w:szCs w:val="30"/>
        </w:rPr>
        <w:t>）</w:t>
      </w:r>
      <w:r>
        <w:rPr>
          <w:rFonts w:hint="eastAsia" w:ascii="仿宋" w:hAnsi="仿宋" w:eastAsia="仿宋" w:cs="仿宋"/>
          <w:color w:val="FF0000"/>
          <w:kern w:val="2"/>
          <w:szCs w:val="30"/>
        </w:rPr>
        <w:t>并检测，同时收集业主现有</w:t>
      </w:r>
      <w:r>
        <w:rPr>
          <w:rFonts w:hint="eastAsia" w:ascii="仿宋" w:hAnsi="仿宋" w:eastAsia="仿宋" w:cs="仿宋"/>
          <w:color w:val="auto"/>
          <w:kern w:val="2"/>
          <w:szCs w:val="30"/>
        </w:rPr>
        <w:t>土壤及地下水例行检测记录、自行检测报告等资料，评估填埋场土壤地下水现状，明确填埋场运行期间土壤地下水是否异常</w:t>
      </w:r>
      <w:r>
        <w:rPr>
          <w:rFonts w:hint="eastAsia" w:ascii="仿宋" w:hAnsi="仿宋" w:eastAsia="仿宋" w:cs="仿宋"/>
          <w:color w:val="FF0000"/>
          <w:kern w:val="2"/>
          <w:szCs w:val="30"/>
        </w:rPr>
        <w:t>。</w:t>
      </w:r>
    </w:p>
    <w:p>
      <w:pPr>
        <w:pStyle w:val="20"/>
        <w:snapToGrid w:val="0"/>
        <w:spacing w:line="360" w:lineRule="auto"/>
        <w:ind w:firstLine="600" w:firstLineChars="200"/>
        <w:rPr>
          <w:rFonts w:ascii="仿宋" w:hAnsi="仿宋" w:eastAsia="仿宋" w:cs="仿宋"/>
          <w:color w:val="auto"/>
          <w:kern w:val="2"/>
          <w:szCs w:val="30"/>
        </w:rPr>
      </w:pPr>
      <w:r>
        <w:rPr>
          <w:rFonts w:hint="eastAsia" w:ascii="仿宋" w:hAnsi="仿宋" w:eastAsia="仿宋" w:cs="仿宋"/>
          <w:color w:val="auto"/>
          <w:kern w:val="2"/>
          <w:szCs w:val="30"/>
        </w:rPr>
        <w:t>3、填埋场环境安全性能分析</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综合渗滤液水位、渗滤液产生量、渗滤液组分及浓度、土壤及地下水检测数据等资料，对填埋场环境安全性能进行评估分析，并根据评估结果确定是否对填埋场后续运行计划进行修改以及采取必要的应急处置措施。</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4、组织召开专家评审会</w:t>
      </w:r>
      <w:r>
        <w:rPr>
          <w:rFonts w:hint="default" w:ascii="仿宋" w:hAnsi="仿宋" w:eastAsia="仿宋" w:cs="仿宋"/>
          <w:color w:val="auto"/>
          <w:kern w:val="2"/>
          <w:szCs w:val="30"/>
          <w:lang w:val="en-US"/>
        </w:rPr>
        <w:t>,</w:t>
      </w:r>
      <w:r>
        <w:rPr>
          <w:rFonts w:hint="eastAsia" w:ascii="仿宋" w:hAnsi="仿宋" w:eastAsia="仿宋" w:cs="仿宋"/>
          <w:color w:val="auto"/>
          <w:kern w:val="2"/>
          <w:szCs w:val="30"/>
          <w:lang w:val="en-US" w:eastAsia="zh-CN"/>
        </w:rPr>
        <w:t>邀请的评审专家职称和人数应符合法律法规要求</w:t>
      </w:r>
      <w:r>
        <w:rPr>
          <w:rFonts w:hint="eastAsia" w:ascii="仿宋" w:hAnsi="仿宋" w:eastAsia="仿宋" w:cs="仿宋"/>
          <w:color w:val="auto"/>
          <w:kern w:val="2"/>
          <w:szCs w:val="30"/>
        </w:rPr>
        <w:t>。</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5、根据评估结果对填埋场运行提出管理建议。</w:t>
      </w:r>
    </w:p>
    <w:p>
      <w:pPr>
        <w:pStyle w:val="20"/>
        <w:snapToGrid w:val="0"/>
        <w:spacing w:line="360" w:lineRule="auto"/>
        <w:ind w:firstLine="601"/>
        <w:rPr>
          <w:rFonts w:ascii="仿宋" w:hAnsi="仿宋" w:eastAsia="仿宋" w:cs="仿宋"/>
          <w:b/>
          <w:bCs/>
          <w:color w:val="auto"/>
          <w:kern w:val="2"/>
          <w:szCs w:val="30"/>
        </w:rPr>
      </w:pPr>
      <w:r>
        <w:rPr>
          <w:rFonts w:hint="eastAsia" w:ascii="仿宋" w:hAnsi="仿宋" w:eastAsia="仿宋" w:cs="仿宋"/>
          <w:b/>
          <w:bCs/>
          <w:color w:val="auto"/>
          <w:kern w:val="2"/>
          <w:szCs w:val="30"/>
        </w:rPr>
        <w:t>四、服务要求</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1、专家费及召开评审会的费用，均由中标人承担，采购人不再另外支付任何费用；邀请的评审专家须符合法律法规要求；</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2、合同签订后，采购人按照中标人要求提供资料后，中标人45天内递交通过专家评审的合格评估报告。</w:t>
      </w:r>
    </w:p>
    <w:p>
      <w:pPr>
        <w:pStyle w:val="20"/>
        <w:snapToGrid w:val="0"/>
        <w:spacing w:line="360" w:lineRule="auto"/>
        <w:ind w:firstLine="601"/>
        <w:rPr>
          <w:rFonts w:ascii="仿宋" w:hAnsi="仿宋" w:eastAsia="仿宋" w:cs="仿宋"/>
          <w:b/>
          <w:bCs/>
          <w:color w:val="auto"/>
          <w:kern w:val="2"/>
          <w:szCs w:val="30"/>
        </w:rPr>
      </w:pPr>
      <w:r>
        <w:rPr>
          <w:rFonts w:hint="eastAsia" w:ascii="仿宋" w:hAnsi="仿宋" w:eastAsia="仿宋" w:cs="仿宋"/>
          <w:b/>
          <w:bCs/>
          <w:color w:val="auto"/>
          <w:kern w:val="2"/>
          <w:szCs w:val="30"/>
        </w:rPr>
        <w:t>五、付款方式</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中标人的评估报通过验收后，提供经双方确认的增值税专用发票，采购人自收到报告和发票后，30日内完成费用支付。</w:t>
      </w:r>
    </w:p>
    <w:p>
      <w:pPr>
        <w:pStyle w:val="20"/>
        <w:snapToGrid w:val="0"/>
        <w:spacing w:line="360" w:lineRule="auto"/>
        <w:ind w:firstLine="601"/>
        <w:rPr>
          <w:rFonts w:ascii="仿宋" w:hAnsi="仿宋" w:eastAsia="仿宋" w:cs="仿宋"/>
          <w:b/>
          <w:bCs/>
          <w:color w:val="auto"/>
          <w:kern w:val="2"/>
          <w:szCs w:val="30"/>
        </w:rPr>
      </w:pPr>
      <w:r>
        <w:rPr>
          <w:rFonts w:hint="eastAsia" w:ascii="仿宋" w:hAnsi="仿宋" w:eastAsia="仿宋" w:cs="仿宋"/>
          <w:b/>
          <w:bCs/>
          <w:color w:val="auto"/>
          <w:kern w:val="2"/>
          <w:szCs w:val="30"/>
        </w:rPr>
        <w:t>六、售后服务</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1.中标人必须满足采购人售后服务要求。中标人须在接到采购人通知后24小时内做出书面答复并提供解决方案。若需要派遣技术人员，则应在接到采购人通知后48小时内派人员到达现场进行免费指导解决问题。</w:t>
      </w:r>
    </w:p>
    <w:p>
      <w:pPr>
        <w:pStyle w:val="20"/>
        <w:snapToGrid w:val="0"/>
        <w:spacing w:line="360" w:lineRule="auto"/>
        <w:ind w:firstLine="601"/>
        <w:rPr>
          <w:rFonts w:ascii="仿宋" w:hAnsi="仿宋" w:eastAsia="仿宋" w:cs="仿宋"/>
          <w:color w:val="auto"/>
          <w:kern w:val="2"/>
          <w:szCs w:val="30"/>
        </w:rPr>
      </w:pPr>
      <w:r>
        <w:rPr>
          <w:rFonts w:hint="eastAsia" w:ascii="仿宋" w:hAnsi="仿宋" w:eastAsia="仿宋" w:cs="仿宋"/>
          <w:color w:val="auto"/>
          <w:kern w:val="2"/>
          <w:szCs w:val="30"/>
        </w:rPr>
        <w:t>2.采购人不再对任何售后服务进行付费。中标人的派遣人员产生的一切费用由中标人承担。</w:t>
      </w:r>
    </w:p>
    <w:p>
      <w:pPr>
        <w:pStyle w:val="3"/>
        <w:numPr>
          <w:ilvl w:val="0"/>
          <w:numId w:val="0"/>
        </w:numPr>
        <w:jc w:val="center"/>
        <w:rPr>
          <w:rFonts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ascii="仿宋" w:hAnsi="仿宋" w:eastAsia="仿宋" w:cs="仿宋"/>
          <w:b/>
          <w:sz w:val="28"/>
        </w:rPr>
      </w:pPr>
      <w:r>
        <w:rPr>
          <w:rStyle w:val="21"/>
          <w:rFonts w:hint="eastAsia" w:ascii="仿宋" w:hAnsi="仿宋" w:eastAsia="仿宋" w:cs="仿宋"/>
          <w:sz w:val="30"/>
        </w:rPr>
        <w:t>附件一：</w:t>
      </w:r>
    </w:p>
    <w:p>
      <w:pPr>
        <w:spacing w:line="480" w:lineRule="auto"/>
        <w:jc w:val="right"/>
        <w:rPr>
          <w:rFonts w:ascii="仿宋" w:hAnsi="仿宋" w:eastAsia="仿宋" w:cs="仿宋"/>
          <w:sz w:val="32"/>
        </w:rPr>
      </w:pPr>
    </w:p>
    <w:p>
      <w:pPr>
        <w:rPr>
          <w:rFonts w:ascii="仿宋" w:hAnsi="仿宋" w:eastAsia="仿宋" w:cs="仿宋"/>
          <w:sz w:val="44"/>
        </w:rPr>
      </w:pPr>
    </w:p>
    <w:p>
      <w:pPr>
        <w:spacing w:line="360" w:lineRule="auto"/>
        <w:jc w:val="center"/>
        <w:rPr>
          <w:rFonts w:ascii="仿宋" w:hAnsi="仿宋" w:eastAsia="仿宋" w:cs="仿宋"/>
          <w:sz w:val="52"/>
        </w:rPr>
      </w:pPr>
      <w:r>
        <w:rPr>
          <w:rFonts w:ascii="仿宋" w:hAnsi="仿宋" w:eastAsia="仿宋" w:cs="仿宋"/>
          <w:sz w:val="52"/>
        </w:rPr>
        <w:t>2023年</w:t>
      </w:r>
      <w:r>
        <w:rPr>
          <w:rFonts w:hint="eastAsia" w:ascii="仿宋" w:hAnsi="仿宋" w:eastAsia="仿宋" w:cs="仿宋"/>
          <w:sz w:val="52"/>
        </w:rPr>
        <w:t>临江公司危废柔性填埋场</w:t>
      </w:r>
      <w:r>
        <w:rPr>
          <w:rFonts w:ascii="仿宋" w:hAnsi="仿宋" w:eastAsia="仿宋" w:cs="仿宋"/>
          <w:sz w:val="52"/>
        </w:rPr>
        <w:t>（三固一期）安全性能评估服务</w:t>
      </w:r>
      <w:r>
        <w:rPr>
          <w:rFonts w:hint="eastAsia" w:ascii="仿宋" w:hAnsi="仿宋" w:eastAsia="仿宋" w:cs="仿宋"/>
          <w:sz w:val="52"/>
        </w:rPr>
        <w:t>采购项目</w:t>
      </w:r>
    </w:p>
    <w:p>
      <w:pPr>
        <w:spacing w:line="360" w:lineRule="auto"/>
        <w:jc w:val="center"/>
        <w:rPr>
          <w:rFonts w:hint="eastAsia" w:ascii="仿宋" w:hAnsi="仿宋" w:eastAsia="仿宋" w:cs="仿宋"/>
          <w:sz w:val="36"/>
          <w:lang w:eastAsia="zh-CN"/>
        </w:rPr>
      </w:pPr>
      <w:r>
        <w:rPr>
          <w:rFonts w:hint="eastAsia" w:ascii="仿宋" w:hAnsi="仿宋" w:eastAsia="仿宋" w:cs="仿宋"/>
          <w:sz w:val="36"/>
        </w:rPr>
        <w:t>采购编号：</w:t>
      </w:r>
      <w:r>
        <w:rPr>
          <w:rFonts w:hint="eastAsia" w:ascii="仿宋" w:hAnsi="仿宋" w:eastAsia="仿宋" w:cs="仿宋"/>
          <w:sz w:val="36"/>
          <w:lang w:eastAsia="zh-CN"/>
        </w:rPr>
        <w:t>202308001</w:t>
      </w:r>
    </w:p>
    <w:p>
      <w:pPr>
        <w:rPr>
          <w:rFonts w:ascii="仿宋" w:hAnsi="仿宋" w:eastAsia="仿宋" w:cs="仿宋"/>
          <w:sz w:val="44"/>
        </w:rPr>
      </w:pPr>
    </w:p>
    <w:p>
      <w:pPr>
        <w:rPr>
          <w:rFonts w:ascii="仿宋" w:hAnsi="仿宋" w:eastAsia="仿宋" w:cs="仿宋"/>
          <w:sz w:val="44"/>
        </w:rPr>
      </w:pPr>
    </w:p>
    <w:p>
      <w:pPr>
        <w:rPr>
          <w:rFonts w:ascii="仿宋" w:hAnsi="仿宋" w:eastAsia="仿宋" w:cs="仿宋"/>
          <w:sz w:val="84"/>
        </w:rPr>
      </w:pPr>
    </w:p>
    <w:p>
      <w:pPr>
        <w:jc w:val="center"/>
        <w:rPr>
          <w:rFonts w:ascii="仿宋" w:hAnsi="仿宋" w:eastAsia="仿宋" w:cs="仿宋"/>
          <w:sz w:val="84"/>
        </w:rPr>
      </w:pPr>
      <w:r>
        <w:rPr>
          <w:rFonts w:hint="eastAsia" w:ascii="仿宋" w:hAnsi="仿宋" w:eastAsia="仿宋" w:cs="仿宋"/>
          <w:sz w:val="84"/>
        </w:rPr>
        <w:t>报价文件</w:t>
      </w:r>
    </w:p>
    <w:p>
      <w:pPr>
        <w:jc w:val="center"/>
        <w:rPr>
          <w:rFonts w:ascii="仿宋" w:hAnsi="仿宋" w:eastAsia="仿宋" w:cs="仿宋"/>
          <w:sz w:val="24"/>
        </w:rPr>
      </w:pPr>
    </w:p>
    <w:p>
      <w:pPr>
        <w:jc w:val="center"/>
        <w:rPr>
          <w:rFonts w:ascii="仿宋" w:hAnsi="仿宋" w:eastAsia="仿宋" w:cs="仿宋"/>
          <w:sz w:val="24"/>
        </w:rPr>
      </w:pPr>
    </w:p>
    <w:p>
      <w:pPr>
        <w:spacing w:line="480" w:lineRule="auto"/>
        <w:jc w:val="center"/>
        <w:rPr>
          <w:rFonts w:ascii="仿宋" w:hAnsi="仿宋" w:eastAsia="仿宋" w:cs="仿宋"/>
          <w:sz w:val="24"/>
        </w:rPr>
      </w:pPr>
    </w:p>
    <w:p>
      <w:pPr>
        <w:spacing w:line="480" w:lineRule="auto"/>
        <w:jc w:val="center"/>
        <w:rPr>
          <w:rFonts w:ascii="仿宋" w:hAnsi="仿宋" w:eastAsia="仿宋" w:cs="仿宋"/>
          <w:sz w:val="24"/>
        </w:rPr>
      </w:pPr>
    </w:p>
    <w:p>
      <w:pPr>
        <w:spacing w:line="480" w:lineRule="auto"/>
        <w:jc w:val="center"/>
        <w:rPr>
          <w:rFonts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ascii="仿宋" w:hAnsi="仿宋" w:eastAsia="仿宋" w:cs="仿宋"/>
          <w:sz w:val="36"/>
        </w:rPr>
      </w:pPr>
      <w:r>
        <w:rPr>
          <w:rFonts w:ascii="仿宋" w:hAnsi="仿宋" w:eastAsia="仿宋" w:cs="仿宋"/>
          <w:sz w:val="36"/>
        </w:rPr>
        <w:t>2023年</w:t>
      </w:r>
      <w:r>
        <w:rPr>
          <w:rFonts w:hint="eastAsia" w:ascii="仿宋" w:hAnsi="仿宋" w:eastAsia="仿宋" w:cs="仿宋"/>
          <w:sz w:val="36"/>
        </w:rPr>
        <w:t xml:space="preserve">   月  日</w:t>
      </w:r>
    </w:p>
    <w:p>
      <w:pPr>
        <w:spacing w:line="480" w:lineRule="auto"/>
        <w:jc w:val="left"/>
        <w:rPr>
          <w:rStyle w:val="21"/>
          <w:rFonts w:ascii="仿宋" w:hAnsi="仿宋" w:eastAsia="仿宋" w:cs="仿宋"/>
          <w:sz w:val="30"/>
        </w:rPr>
      </w:pPr>
      <w:r>
        <w:rPr>
          <w:rStyle w:val="21"/>
          <w:rFonts w:hint="eastAsia" w:ascii="仿宋" w:hAnsi="仿宋" w:eastAsia="仿宋" w:cs="仿宋"/>
          <w:sz w:val="30"/>
        </w:rPr>
        <w:br w:type="page"/>
      </w:r>
      <w:r>
        <w:rPr>
          <w:rStyle w:val="21"/>
          <w:rFonts w:hint="eastAsia" w:ascii="仿宋" w:hAnsi="仿宋" w:eastAsia="仿宋" w:cs="仿宋"/>
          <w:sz w:val="30"/>
        </w:rPr>
        <w:t>附件二</w:t>
      </w:r>
    </w:p>
    <w:p>
      <w:pPr>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rPr>
      </w:pPr>
      <w:r>
        <w:rPr>
          <w:rFonts w:hint="eastAsia" w:ascii="仿宋" w:hAnsi="仿宋" w:eastAsia="仿宋" w:cs="仿宋"/>
          <w:sz w:val="30"/>
        </w:rPr>
        <w:t>杭州临江环境能源有限公司：</w:t>
      </w:r>
    </w:p>
    <w:p>
      <w:pPr>
        <w:spacing w:line="360" w:lineRule="auto"/>
        <w:rPr>
          <w:rFonts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法定代表人授权（全名、职务、身份证号码）为授权代表，参加贵方组织的</w:t>
      </w:r>
      <w:r>
        <w:rPr>
          <w:rFonts w:ascii="仿宋" w:hAnsi="仿宋" w:eastAsia="仿宋" w:cs="仿宋"/>
          <w:sz w:val="30"/>
          <w:u w:val="single"/>
        </w:rPr>
        <w:t>2023年</w:t>
      </w:r>
      <w:r>
        <w:rPr>
          <w:rFonts w:hint="eastAsia" w:ascii="仿宋" w:hAnsi="仿宋" w:eastAsia="仿宋" w:cs="仿宋"/>
          <w:sz w:val="30"/>
          <w:u w:val="single"/>
        </w:rPr>
        <w:t>临江公司危废柔性填埋场</w:t>
      </w:r>
      <w:r>
        <w:rPr>
          <w:rFonts w:ascii="仿宋" w:hAnsi="仿宋" w:eastAsia="仿宋" w:cs="仿宋"/>
          <w:sz w:val="30"/>
          <w:u w:val="single"/>
        </w:rPr>
        <w:t>（三固一期）安全性能评估服务</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202308001</w:t>
      </w:r>
      <w:r>
        <w:rPr>
          <w:rFonts w:hint="eastAsia" w:ascii="仿宋" w:hAnsi="仿宋" w:eastAsia="仿宋" w:cs="仿宋"/>
          <w:sz w:val="30"/>
          <w:u w:val="single"/>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rPr>
        <w:t xml:space="preserve">   </w:t>
      </w:r>
      <w:r>
        <w:rPr>
          <w:rFonts w:hint="eastAsia" w:ascii="仿宋" w:hAnsi="仿宋" w:eastAsia="仿宋" w:cs="仿宋"/>
          <w:sz w:val="30"/>
        </w:rPr>
        <w:t xml:space="preserve"> 。</w:t>
      </w:r>
    </w:p>
    <w:p>
      <w:pPr>
        <w:spacing w:line="360" w:lineRule="auto"/>
        <w:ind w:firstLine="150" w:firstLineChars="50"/>
        <w:jc w:val="left"/>
        <w:rPr>
          <w:rFonts w:ascii="仿宋" w:hAnsi="仿宋" w:eastAsia="仿宋" w:cs="仿宋"/>
          <w:snapToGrid w:val="0"/>
          <w:sz w:val="30"/>
        </w:rPr>
      </w:pPr>
      <w:r>
        <w:rPr>
          <w:rFonts w:hint="eastAsia" w:ascii="仿宋" w:hAnsi="仿宋" w:eastAsia="仿宋" w:cs="仿宋"/>
          <w:snapToGrid w:val="0"/>
          <w:sz w:val="30"/>
        </w:rPr>
        <w:t xml:space="preserve">    授权代表无转委托权。</w:t>
      </w:r>
    </w:p>
    <w:p>
      <w:pPr>
        <w:spacing w:line="360" w:lineRule="auto"/>
        <w:ind w:firstLine="750" w:firstLineChars="250"/>
        <w:jc w:val="left"/>
        <w:rPr>
          <w:rFonts w:ascii="仿宋" w:hAnsi="仿宋" w:eastAsia="仿宋" w:cs="仿宋"/>
          <w:snapToGrid w:val="0"/>
          <w:sz w:val="30"/>
        </w:rPr>
      </w:pPr>
      <w:r>
        <w:rPr>
          <w:rFonts w:hint="eastAsia" w:ascii="仿宋" w:hAnsi="仿宋" w:eastAsia="仿宋" w:cs="仿宋"/>
          <w:snapToGrid w:val="0"/>
          <w:sz w:val="30"/>
        </w:rPr>
        <w:t>附：法定代表人、授权代表身份证明</w:t>
      </w:r>
    </w:p>
    <w:p>
      <w:pPr>
        <w:spacing w:line="600" w:lineRule="exact"/>
        <w:ind w:left="540" w:firstLine="30"/>
        <w:jc w:val="left"/>
        <w:rPr>
          <w:rFonts w:ascii="仿宋" w:hAnsi="仿宋" w:eastAsia="仿宋" w:cs="仿宋"/>
          <w:snapToGrid w:val="0"/>
          <w:sz w:val="30"/>
        </w:rPr>
      </w:pPr>
    </w:p>
    <w:p>
      <w:pPr>
        <w:spacing w:line="600" w:lineRule="exact"/>
        <w:ind w:left="540" w:firstLine="30"/>
        <w:jc w:val="left"/>
        <w:rPr>
          <w:rFonts w:ascii="仿宋" w:hAnsi="仿宋" w:eastAsia="仿宋" w:cs="仿宋"/>
          <w:sz w:val="30"/>
        </w:rPr>
      </w:pPr>
    </w:p>
    <w:p>
      <w:pPr>
        <w:spacing w:line="600" w:lineRule="exact"/>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ascii="仿宋" w:hAnsi="仿宋" w:eastAsia="仿宋" w:cs="仿宋"/>
          <w:sz w:val="30"/>
          <w:u w:val="single"/>
        </w:rPr>
      </w:pPr>
      <w:r>
        <w:rPr>
          <w:rFonts w:hint="eastAsia" w:ascii="仿宋" w:hAnsi="仿宋" w:eastAsia="仿宋" w:cs="仿宋"/>
          <w:sz w:val="30"/>
        </w:rPr>
        <w:t>授权代表签字：</w:t>
      </w:r>
    </w:p>
    <w:p>
      <w:pPr>
        <w:spacing w:line="360" w:lineRule="auto"/>
        <w:ind w:left="540" w:leftChars="257" w:firstLine="1086" w:firstLineChars="362"/>
        <w:jc w:val="left"/>
        <w:rPr>
          <w:rFonts w:ascii="仿宋" w:hAnsi="仿宋" w:eastAsia="仿宋" w:cs="仿宋"/>
          <w:sz w:val="30"/>
        </w:rPr>
      </w:pPr>
      <w:r>
        <w:rPr>
          <w:rFonts w:hint="eastAsia" w:ascii="仿宋" w:hAnsi="仿宋" w:eastAsia="仿宋" w:cs="仿宋"/>
          <w:sz w:val="30"/>
        </w:rPr>
        <w:t>授权代表联系方式：</w:t>
      </w:r>
    </w:p>
    <w:p>
      <w:pPr>
        <w:adjustRightInd w:val="0"/>
        <w:snapToGrid w:val="0"/>
        <w:spacing w:line="360" w:lineRule="auto"/>
        <w:ind w:right="480"/>
        <w:jc w:val="left"/>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ascii="仿宋" w:hAnsi="仿宋" w:eastAsia="仿宋" w:cs="仿宋"/>
          <w:sz w:val="30"/>
          <w:u w:val="single"/>
        </w:rPr>
        <w:t>2023年</w:t>
      </w:r>
      <w:r>
        <w:rPr>
          <w:rFonts w:hint="eastAsia" w:ascii="仿宋" w:hAnsi="仿宋" w:eastAsia="仿宋" w:cs="仿宋"/>
          <w:sz w:val="30"/>
        </w:rPr>
        <w:t xml:space="preserve">   月  日</w:t>
      </w:r>
    </w:p>
    <w:p>
      <w:pPr>
        <w:adjustRightInd w:val="0"/>
        <w:snapToGrid w:val="0"/>
        <w:spacing w:line="360" w:lineRule="auto"/>
        <w:ind w:right="480"/>
        <w:jc w:val="left"/>
        <w:rPr>
          <w:rStyle w:val="21"/>
          <w:rFonts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1"/>
          <w:rFonts w:ascii="仿宋" w:hAnsi="仿宋" w:eastAsia="仿宋" w:cs="仿宋"/>
          <w:sz w:val="30"/>
        </w:rPr>
      </w:pPr>
      <w:r>
        <w:rPr>
          <w:rStyle w:val="21"/>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pStyle w:val="22"/>
        <w:snapToGrid w:val="0"/>
        <w:spacing w:line="360" w:lineRule="auto"/>
        <w:jc w:val="left"/>
        <w:rPr>
          <w:rFonts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spacing w:line="360" w:lineRule="auto"/>
        <w:ind w:firstLine="600" w:firstLineChars="200"/>
        <w:jc w:val="left"/>
        <w:rPr>
          <w:rFonts w:ascii="仿宋" w:hAnsi="仿宋" w:eastAsia="仿宋" w:cs="仿宋"/>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2023年临江公司危废柔性填埋场</w:t>
      </w:r>
      <w:r>
        <w:rPr>
          <w:rFonts w:ascii="仿宋" w:hAnsi="仿宋" w:eastAsia="仿宋" w:cs="仿宋"/>
          <w:sz w:val="30"/>
          <w:szCs w:val="30"/>
          <w:u w:val="single"/>
        </w:rPr>
        <w:t>（三固一期）安全性能评估服务</w:t>
      </w:r>
      <w:r>
        <w:rPr>
          <w:rFonts w:hint="eastAsia" w:ascii="仿宋" w:hAnsi="仿宋" w:eastAsia="仿宋" w:cs="仿宋"/>
          <w:sz w:val="30"/>
          <w:szCs w:val="30"/>
          <w:u w:val="single"/>
        </w:rPr>
        <w:t xml:space="preserve">采购 </w:t>
      </w:r>
      <w:r>
        <w:rPr>
          <w:rFonts w:hint="eastAsia" w:ascii="仿宋" w:hAnsi="仿宋" w:eastAsia="仿宋" w:cs="仿宋"/>
          <w:sz w:val="30"/>
          <w:szCs w:val="30"/>
        </w:rPr>
        <w:t>项目，本次采购项目限额</w:t>
      </w:r>
      <w:r>
        <w:rPr>
          <w:rFonts w:hint="eastAsia" w:ascii="仿宋" w:hAnsi="仿宋" w:eastAsia="仿宋" w:cs="仿宋"/>
          <w:sz w:val="30"/>
          <w:szCs w:val="30"/>
          <w:u w:val="single"/>
          <w:lang w:val="en-US" w:eastAsia="zh-CN"/>
        </w:rPr>
        <w:t>23.5</w:t>
      </w:r>
      <w:r>
        <w:rPr>
          <w:rFonts w:hint="eastAsia" w:ascii="仿宋" w:hAnsi="仿宋" w:eastAsia="仿宋" w:cs="仿宋"/>
          <w:sz w:val="30"/>
          <w:szCs w:val="30"/>
        </w:rPr>
        <w:t>万元，本次报价总金额为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%，具体如下：</w:t>
      </w:r>
    </w:p>
    <w:p>
      <w:pPr>
        <w:rPr>
          <w:rFonts w:ascii="仿宋" w:hAnsi="仿宋" w:eastAsia="仿宋" w:cs="仿宋"/>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1508"/>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136" w:type="dxa"/>
            <w:vAlign w:val="center"/>
          </w:tcPr>
          <w:p>
            <w:pPr>
              <w:pStyle w:val="6"/>
              <w:jc w:val="center"/>
              <w:rPr>
                <w:rFonts w:ascii="仿宋" w:hAnsi="仿宋" w:eastAsia="仿宋" w:cs="仿宋"/>
                <w:sz w:val="30"/>
                <w:szCs w:val="30"/>
              </w:rPr>
            </w:pPr>
            <w:r>
              <w:rPr>
                <w:rFonts w:hint="eastAsia" w:ascii="仿宋" w:hAnsi="仿宋" w:eastAsia="仿宋" w:cs="仿宋"/>
                <w:sz w:val="30"/>
                <w:szCs w:val="30"/>
              </w:rPr>
              <w:t>服务内容</w:t>
            </w:r>
          </w:p>
        </w:tc>
        <w:tc>
          <w:tcPr>
            <w:tcW w:w="1508" w:type="dxa"/>
            <w:vAlign w:val="center"/>
          </w:tcPr>
          <w:p>
            <w:pPr>
              <w:pStyle w:val="6"/>
              <w:jc w:val="center"/>
              <w:rPr>
                <w:rFonts w:ascii="仿宋" w:hAnsi="仿宋" w:eastAsia="仿宋" w:cs="仿宋"/>
                <w:sz w:val="30"/>
                <w:szCs w:val="30"/>
              </w:rPr>
            </w:pPr>
            <w:r>
              <w:rPr>
                <w:rFonts w:hint="eastAsia" w:ascii="仿宋" w:hAnsi="仿宋" w:eastAsia="仿宋" w:cs="仿宋"/>
                <w:sz w:val="30"/>
                <w:szCs w:val="30"/>
              </w:rPr>
              <w:t>金额</w:t>
            </w:r>
          </w:p>
        </w:tc>
        <w:tc>
          <w:tcPr>
            <w:tcW w:w="2322" w:type="dxa"/>
            <w:vAlign w:val="center"/>
          </w:tcPr>
          <w:p>
            <w:pPr>
              <w:pStyle w:val="6"/>
              <w:jc w:val="center"/>
              <w:rPr>
                <w:rFonts w:ascii="仿宋" w:hAnsi="仿宋" w:eastAsia="仿宋" w:cs="仿宋"/>
                <w:sz w:val="30"/>
                <w:szCs w:val="30"/>
              </w:rPr>
            </w:pPr>
            <w:r>
              <w:rPr>
                <w:rFonts w:hint="eastAsia" w:ascii="仿宋" w:hAnsi="仿宋" w:eastAsia="仿宋" w:cs="仿宋"/>
                <w:sz w:val="30"/>
                <w:szCs w:val="30"/>
              </w:rPr>
              <w:t>税率</w:t>
            </w:r>
          </w:p>
        </w:tc>
        <w:tc>
          <w:tcPr>
            <w:tcW w:w="2322" w:type="dxa"/>
            <w:vAlign w:val="center"/>
          </w:tcPr>
          <w:p>
            <w:pPr>
              <w:pStyle w:val="6"/>
              <w:jc w:val="center"/>
              <w:rPr>
                <w:rFonts w:ascii="仿宋" w:hAnsi="仿宋" w:eastAsia="仿宋" w:cs="仿宋"/>
                <w:sz w:val="30"/>
                <w:szCs w:val="30"/>
              </w:rPr>
            </w:pPr>
            <w:r>
              <w:rPr>
                <w:rFonts w:hint="eastAsia" w:ascii="仿宋" w:hAnsi="仿宋" w:eastAsia="仿宋" w:cs="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vAlign w:val="center"/>
          </w:tcPr>
          <w:p>
            <w:pPr>
              <w:pStyle w:val="6"/>
              <w:jc w:val="center"/>
              <w:rPr>
                <w:rFonts w:hint="eastAsia" w:ascii="仿宋" w:hAnsi="仿宋" w:eastAsia="仿宋" w:cs="仿宋"/>
                <w:sz w:val="30"/>
                <w:szCs w:val="30"/>
                <w:lang w:eastAsia="zh-CN"/>
              </w:rPr>
            </w:pPr>
            <w:r>
              <w:rPr>
                <w:rFonts w:hint="eastAsia" w:ascii="仿宋" w:hAnsi="仿宋" w:eastAsia="仿宋" w:cs="仿宋"/>
                <w:sz w:val="30"/>
                <w:szCs w:val="30"/>
              </w:rPr>
              <w:t>危废柔性填埋场（三固一期）安全性能评估服务采购</w:t>
            </w:r>
            <w:r>
              <w:rPr>
                <w:rFonts w:hint="eastAsia" w:ascii="仿宋" w:hAnsi="仿宋" w:eastAsia="仿宋" w:cs="仿宋"/>
                <w:sz w:val="30"/>
                <w:szCs w:val="30"/>
                <w:lang w:eastAsia="zh-CN"/>
              </w:rPr>
              <w:t>（具体详见询价内容）</w:t>
            </w:r>
          </w:p>
        </w:tc>
        <w:tc>
          <w:tcPr>
            <w:tcW w:w="1508" w:type="dxa"/>
            <w:vAlign w:val="center"/>
          </w:tcPr>
          <w:p>
            <w:pPr>
              <w:pStyle w:val="6"/>
              <w:jc w:val="center"/>
              <w:rPr>
                <w:rFonts w:ascii="仿宋" w:hAnsi="仿宋" w:eastAsia="仿宋" w:cs="仿宋"/>
                <w:sz w:val="30"/>
                <w:szCs w:val="30"/>
              </w:rPr>
            </w:pPr>
          </w:p>
        </w:tc>
        <w:tc>
          <w:tcPr>
            <w:tcW w:w="2322" w:type="dxa"/>
            <w:vAlign w:val="center"/>
          </w:tcPr>
          <w:p>
            <w:pPr>
              <w:pStyle w:val="6"/>
              <w:jc w:val="center"/>
              <w:rPr>
                <w:rFonts w:ascii="仿宋" w:hAnsi="仿宋" w:eastAsia="仿宋" w:cs="仿宋"/>
                <w:sz w:val="30"/>
                <w:szCs w:val="30"/>
              </w:rPr>
            </w:pPr>
          </w:p>
        </w:tc>
        <w:tc>
          <w:tcPr>
            <w:tcW w:w="2322" w:type="dxa"/>
            <w:vAlign w:val="center"/>
          </w:tcPr>
          <w:p>
            <w:pPr>
              <w:pStyle w:val="6"/>
              <w:jc w:val="center"/>
              <w:rPr>
                <w:rFonts w:ascii="仿宋" w:hAnsi="仿宋" w:eastAsia="仿宋" w:cs="仿宋"/>
                <w:sz w:val="30"/>
                <w:szCs w:val="30"/>
              </w:rPr>
            </w:pPr>
            <w:r>
              <w:rPr>
                <w:rFonts w:hint="eastAsia" w:ascii="仿宋" w:hAnsi="仿宋" w:eastAsia="仿宋" w:cs="仿宋"/>
                <w:sz w:val="30"/>
                <w:szCs w:val="30"/>
              </w:rPr>
              <w:t>含专家费及召开评审会的费用，均由中标人承担，采购人不再另外支付任何费用</w:t>
            </w:r>
          </w:p>
        </w:tc>
      </w:tr>
    </w:tbl>
    <w:p>
      <w:pPr>
        <w:pStyle w:val="6"/>
      </w:pPr>
    </w:p>
    <w:p>
      <w:pPr>
        <w:pStyle w:val="2"/>
        <w:rPr>
          <w:rFonts w:ascii="仿宋" w:hAnsi="仿宋" w:eastAsia="仿宋" w:cs="仿宋"/>
        </w:rPr>
      </w:pPr>
    </w:p>
    <w:p>
      <w:pPr>
        <w:snapToGrid w:val="0"/>
        <w:ind w:firstLine="480" w:firstLineChars="200"/>
        <w:jc w:val="right"/>
        <w:rPr>
          <w:rFonts w:ascii="仿宋" w:hAnsi="仿宋" w:eastAsia="仿宋" w:cs="仿宋"/>
          <w:sz w:val="24"/>
          <w:szCs w:val="24"/>
        </w:rPr>
      </w:pPr>
    </w:p>
    <w:p>
      <w:pPr>
        <w:pStyle w:val="2"/>
      </w:pPr>
    </w:p>
    <w:p>
      <w:pPr>
        <w:snapToGrid w:val="0"/>
        <w:ind w:firstLine="480" w:firstLineChars="200"/>
        <w:jc w:val="right"/>
        <w:rPr>
          <w:rFonts w:ascii="仿宋" w:hAnsi="仿宋" w:eastAsia="仿宋" w:cs="仿宋"/>
          <w:sz w:val="24"/>
          <w:szCs w:val="24"/>
        </w:rPr>
      </w:pPr>
    </w:p>
    <w:p>
      <w:pPr>
        <w:snapToGrid w:val="0"/>
        <w:ind w:firstLine="480" w:firstLineChars="200"/>
        <w:jc w:val="right"/>
        <w:rPr>
          <w:rFonts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center"/>
        <w:rPr>
          <w:rFonts w:ascii="仿宋" w:hAnsi="仿宋" w:eastAsia="仿宋" w:cs="仿宋"/>
          <w:sz w:val="24"/>
          <w:szCs w:val="24"/>
        </w:rPr>
        <w:sectPr>
          <w:pgSz w:w="11906" w:h="16838"/>
          <w:pgMar w:top="1134" w:right="1417" w:bottom="1701" w:left="1417" w:header="851" w:footer="992" w:gutter="0"/>
          <w:cols w:space="0" w:num="1"/>
          <w:docGrid w:linePitch="312" w:charSpace="0"/>
        </w:sectPr>
      </w:pPr>
      <w:r>
        <w:rPr>
          <w:rFonts w:hint="eastAsia" w:ascii="仿宋" w:hAnsi="仿宋" w:eastAsia="仿宋" w:cs="仿宋"/>
          <w:sz w:val="24"/>
          <w:szCs w:val="24"/>
        </w:rPr>
        <w:t xml:space="preserve">                                               </w:t>
      </w:r>
      <w:r>
        <w:rPr>
          <w:rFonts w:ascii="仿宋" w:hAnsi="仿宋" w:eastAsia="仿宋" w:cs="仿宋"/>
          <w:sz w:val="24"/>
          <w:szCs w:val="24"/>
        </w:rPr>
        <w:t>2023年</w:t>
      </w:r>
      <w:r>
        <w:rPr>
          <w:rFonts w:hint="eastAsia" w:ascii="仿宋" w:hAnsi="仿宋" w:eastAsia="仿宋" w:cs="仿宋"/>
          <w:sz w:val="24"/>
          <w:szCs w:val="24"/>
        </w:rPr>
        <w:t xml:space="preserve">  月  日</w:t>
      </w:r>
    </w:p>
    <w:p>
      <w:pPr>
        <w:spacing w:line="480" w:lineRule="auto"/>
        <w:jc w:val="left"/>
        <w:rPr>
          <w:rStyle w:val="21"/>
          <w:rFonts w:ascii="仿宋" w:hAnsi="仿宋" w:eastAsia="仿宋" w:cs="仿宋"/>
          <w:sz w:val="30"/>
        </w:rPr>
      </w:pPr>
      <w:bookmarkStart w:id="11" w:name="_Toc108839328"/>
      <w:bookmarkStart w:id="12" w:name="_Toc103165678"/>
      <w:r>
        <w:rPr>
          <w:rStyle w:val="21"/>
          <w:rFonts w:hint="eastAsia" w:ascii="仿宋" w:hAnsi="仿宋" w:eastAsia="仿宋" w:cs="仿宋"/>
          <w:sz w:val="30"/>
        </w:rPr>
        <w:t>附件</w:t>
      </w:r>
      <w:bookmarkEnd w:id="11"/>
      <w:bookmarkEnd w:id="12"/>
      <w:r>
        <w:rPr>
          <w:rStyle w:val="21"/>
          <w:rFonts w:hint="eastAsia" w:ascii="仿宋" w:hAnsi="仿宋" w:eastAsia="仿宋" w:cs="仿宋"/>
          <w:sz w:val="30"/>
        </w:rPr>
        <w:t>四</w:t>
      </w:r>
    </w:p>
    <w:p>
      <w:pPr>
        <w:spacing w:line="480" w:lineRule="auto"/>
        <w:jc w:val="center"/>
        <w:rPr>
          <w:rStyle w:val="21"/>
          <w:rFonts w:ascii="仿宋" w:hAnsi="仿宋" w:eastAsia="仿宋" w:cs="仿宋"/>
          <w:sz w:val="30"/>
        </w:rPr>
      </w:pPr>
      <w:r>
        <w:rPr>
          <w:rStyle w:val="21"/>
          <w:rFonts w:hint="eastAsia" w:ascii="仿宋" w:hAnsi="仿宋" w:eastAsia="仿宋" w:cs="仿宋"/>
          <w:sz w:val="30"/>
        </w:rPr>
        <w:t>诚信廉洁承诺函</w:t>
      </w:r>
    </w:p>
    <w:p>
      <w:pPr>
        <w:snapToGrid w:val="0"/>
        <w:spacing w:line="360" w:lineRule="auto"/>
        <w:rPr>
          <w:rFonts w:ascii="仿宋" w:hAnsi="仿宋" w:eastAsia="仿宋" w:cs="仿宋"/>
          <w:sz w:val="28"/>
          <w:szCs w:val="28"/>
        </w:rPr>
      </w:pPr>
      <w:r>
        <w:rPr>
          <w:rFonts w:hint="eastAsia" w:ascii="仿宋" w:hAnsi="仿宋" w:eastAsia="仿宋" w:cs="仿宋"/>
          <w:sz w:val="28"/>
          <w:szCs w:val="28"/>
        </w:rPr>
        <w:t>杭州临江环境能源有限公司：</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承诺提供的信息（含报价资料、各项应答及承诺）是真实可靠，并能在价格有效期内忠实履行的。</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在双方签订的采购合同中有以下条款：如经采购人查实，报价人在报价时针对本项目提供不实信息，或报价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如我公司在报价过程中，通过提供不真实的数据或信息，而获取中标资格的供应商，采购人有权将我公司列入供应商不良行为记录名单（即黑名单），取消我公司被列入名单后二年内在采购人的任何招标或询价中的供应商资格。</w:t>
      </w:r>
    </w:p>
    <w:p>
      <w:pPr>
        <w:spacing w:line="360" w:lineRule="auto"/>
        <w:jc w:val="center"/>
        <w:rPr>
          <w:rFonts w:ascii="宋体" w:hAnsi="宋体" w:cs="宋体"/>
          <w:sz w:val="24"/>
        </w:rPr>
      </w:pPr>
    </w:p>
    <w:p>
      <w:pPr>
        <w:spacing w:line="360" w:lineRule="auto"/>
        <w:jc w:val="center"/>
        <w:rPr>
          <w:rFonts w:ascii="宋体" w:hAnsi="宋体" w:cs="宋体"/>
          <w:sz w:val="18"/>
          <w:szCs w:val="1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报价单位名称（公章）：</w:t>
      </w:r>
    </w:p>
    <w:p>
      <w:pPr>
        <w:snapToGrid w:val="0"/>
        <w:spacing w:line="360" w:lineRule="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二○二三年 月  日</w:t>
      </w:r>
    </w:p>
    <w:p>
      <w:pPr>
        <w:spacing w:line="360" w:lineRule="auto"/>
        <w:rPr>
          <w:rFonts w:ascii="仿宋" w:hAnsi="仿宋" w:eastAsia="仿宋" w:cs="仿宋"/>
          <w:sz w:val="28"/>
          <w:szCs w:val="28"/>
        </w:rPr>
      </w:pPr>
    </w:p>
    <w:p>
      <w:pPr>
        <w:pStyle w:val="2"/>
      </w:pPr>
    </w:p>
    <w:p/>
    <w:p>
      <w:pPr>
        <w:pStyle w:val="6"/>
      </w:pPr>
    </w:p>
    <w:p>
      <w:pPr>
        <w:pStyle w:val="7"/>
        <w:ind w:firstLine="210"/>
      </w:pPr>
    </w:p>
    <w:p/>
    <w:p/>
    <w:p>
      <w:pPr>
        <w:spacing w:line="480" w:lineRule="auto"/>
        <w:jc w:val="left"/>
        <w:rPr>
          <w:rStyle w:val="21"/>
          <w:rFonts w:ascii="仿宋" w:hAnsi="仿宋" w:eastAsia="仿宋" w:cs="仿宋"/>
          <w:sz w:val="30"/>
        </w:rPr>
      </w:pPr>
      <w:r>
        <w:rPr>
          <w:rStyle w:val="21"/>
          <w:rFonts w:hint="eastAsia" w:ascii="仿宋" w:hAnsi="仿宋" w:eastAsia="仿宋" w:cs="仿宋"/>
          <w:sz w:val="30"/>
        </w:rPr>
        <w:t>附件五</w:t>
      </w:r>
    </w:p>
    <w:p>
      <w:pPr>
        <w:spacing w:line="480" w:lineRule="auto"/>
        <w:jc w:val="center"/>
        <w:rPr>
          <w:rStyle w:val="21"/>
          <w:rFonts w:ascii="仿宋" w:hAnsi="仿宋" w:eastAsia="仿宋" w:cs="仿宋"/>
          <w:sz w:val="30"/>
        </w:rPr>
      </w:pPr>
      <w:bookmarkStart w:id="13" w:name="_Toc509229875"/>
      <w:bookmarkStart w:id="14" w:name="_Toc473012596"/>
      <w:bookmarkStart w:id="15" w:name="_Toc509228412"/>
      <w:r>
        <w:rPr>
          <w:rStyle w:val="21"/>
          <w:rFonts w:hint="eastAsia" w:ascii="仿宋" w:hAnsi="仿宋" w:eastAsia="仿宋" w:cs="仿宋"/>
          <w:sz w:val="30"/>
        </w:rPr>
        <w:t>投标人股东信息及出资比例信息表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1616"/>
        <w:gridCol w:w="2482"/>
        <w:gridCol w:w="3120"/>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gridSpan w:val="2"/>
          </w:tcPr>
          <w:p>
            <w:pPr>
              <w:spacing w:line="360" w:lineRule="auto"/>
              <w:jc w:val="center"/>
              <w:rPr>
                <w:rFonts w:hint="eastAsia" w:ascii="仿宋" w:hAnsi="仿宋" w:eastAsia="仿宋" w:cs="仿宋"/>
                <w:color w:val="000000"/>
                <w:spacing w:val="-1"/>
              </w:rPr>
            </w:pPr>
            <w:r>
              <w:rPr>
                <w:rFonts w:hint="eastAsia" w:ascii="仿宋" w:hAnsi="仿宋" w:eastAsia="仿宋" w:cs="仿宋"/>
                <w:color w:val="000000"/>
                <w:spacing w:val="-1"/>
              </w:rPr>
              <w:t>序号</w:t>
            </w:r>
          </w:p>
        </w:tc>
        <w:tc>
          <w:tcPr>
            <w:tcW w:w="2482" w:type="dxa"/>
          </w:tcPr>
          <w:p>
            <w:pPr>
              <w:spacing w:line="360" w:lineRule="auto"/>
              <w:jc w:val="center"/>
              <w:rPr>
                <w:rFonts w:hint="eastAsia" w:ascii="仿宋" w:hAnsi="仿宋" w:eastAsia="仿宋" w:cs="仿宋"/>
                <w:color w:val="000000"/>
                <w:spacing w:val="-1"/>
              </w:rPr>
            </w:pPr>
            <w:r>
              <w:rPr>
                <w:rFonts w:hint="eastAsia" w:ascii="仿宋" w:hAnsi="仿宋" w:eastAsia="仿宋" w:cs="仿宋"/>
                <w:color w:val="000000"/>
                <w:spacing w:val="-1"/>
              </w:rPr>
              <w:t>股东</w:t>
            </w:r>
          </w:p>
        </w:tc>
        <w:tc>
          <w:tcPr>
            <w:tcW w:w="3172" w:type="dxa"/>
            <w:gridSpan w:val="2"/>
          </w:tcPr>
          <w:p>
            <w:pPr>
              <w:spacing w:line="360" w:lineRule="auto"/>
              <w:jc w:val="center"/>
              <w:rPr>
                <w:rFonts w:hint="eastAsia" w:ascii="仿宋" w:hAnsi="仿宋" w:eastAsia="仿宋" w:cs="仿宋"/>
                <w:color w:val="000000"/>
                <w:spacing w:val="-1"/>
              </w:rPr>
            </w:pPr>
            <w:r>
              <w:rPr>
                <w:rFonts w:hint="eastAsia" w:ascii="仿宋" w:hAnsi="仿宋" w:eastAsia="仿宋" w:cs="仿宋"/>
                <w:color w:val="000000"/>
                <w:spacing w:val="-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52" w:type="dxa"/>
          <w:jc w:val="center"/>
        </w:trPr>
        <w:tc>
          <w:tcPr>
            <w:tcW w:w="1616" w:type="dxa"/>
          </w:tcPr>
          <w:p>
            <w:pPr>
              <w:spacing w:line="360" w:lineRule="auto"/>
              <w:ind w:leftChars="-7" w:hanging="14" w:hangingChars="7"/>
              <w:rPr>
                <w:rFonts w:hint="eastAsia" w:ascii="仿宋" w:hAnsi="仿宋" w:eastAsia="仿宋" w:cs="仿宋"/>
                <w:color w:val="000000"/>
                <w:spacing w:val="-1"/>
              </w:rPr>
            </w:pPr>
          </w:p>
        </w:tc>
        <w:tc>
          <w:tcPr>
            <w:tcW w:w="2482" w:type="dxa"/>
          </w:tcPr>
          <w:p>
            <w:pPr>
              <w:spacing w:line="360" w:lineRule="auto"/>
              <w:rPr>
                <w:rFonts w:hint="eastAsia" w:ascii="仿宋" w:hAnsi="仿宋" w:eastAsia="仿宋" w:cs="仿宋"/>
                <w:color w:val="000000"/>
                <w:spacing w:val="-1"/>
              </w:rPr>
            </w:pPr>
          </w:p>
        </w:tc>
        <w:tc>
          <w:tcPr>
            <w:tcW w:w="3120" w:type="dxa"/>
          </w:tcPr>
          <w:p>
            <w:pPr>
              <w:spacing w:line="360" w:lineRule="auto"/>
              <w:rPr>
                <w:rFonts w:hint="eastAsia" w:ascii="仿宋" w:hAnsi="仿宋" w:eastAsia="仿宋" w:cs="仿宋"/>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gridSpan w:val="2"/>
          </w:tcPr>
          <w:p>
            <w:pPr>
              <w:spacing w:line="360" w:lineRule="auto"/>
              <w:rPr>
                <w:rFonts w:hint="eastAsia" w:ascii="仿宋" w:hAnsi="仿宋" w:eastAsia="仿宋" w:cs="仿宋"/>
                <w:color w:val="000000"/>
                <w:spacing w:val="-1"/>
              </w:rPr>
            </w:pPr>
          </w:p>
        </w:tc>
        <w:tc>
          <w:tcPr>
            <w:tcW w:w="2482" w:type="dxa"/>
          </w:tcPr>
          <w:p>
            <w:pPr>
              <w:spacing w:line="360" w:lineRule="auto"/>
              <w:rPr>
                <w:rFonts w:hint="eastAsia" w:ascii="仿宋" w:hAnsi="仿宋" w:eastAsia="仿宋" w:cs="仿宋"/>
                <w:color w:val="000000"/>
                <w:spacing w:val="-1"/>
              </w:rPr>
            </w:pPr>
          </w:p>
        </w:tc>
        <w:tc>
          <w:tcPr>
            <w:tcW w:w="3172" w:type="dxa"/>
            <w:gridSpan w:val="2"/>
          </w:tcPr>
          <w:p>
            <w:pPr>
              <w:spacing w:line="360" w:lineRule="auto"/>
              <w:rPr>
                <w:rFonts w:hint="eastAsia" w:ascii="仿宋" w:hAnsi="仿宋" w:eastAsia="仿宋" w:cs="仿宋"/>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6" w:type="dxa"/>
            <w:gridSpan w:val="2"/>
          </w:tcPr>
          <w:p>
            <w:pPr>
              <w:spacing w:line="360" w:lineRule="auto"/>
              <w:rPr>
                <w:rFonts w:hint="eastAsia" w:ascii="仿宋" w:hAnsi="仿宋" w:eastAsia="仿宋" w:cs="仿宋"/>
                <w:color w:val="000000"/>
                <w:spacing w:val="-1"/>
              </w:rPr>
            </w:pPr>
            <w:r>
              <w:rPr>
                <w:rFonts w:hint="eastAsia" w:ascii="仿宋" w:hAnsi="仿宋" w:eastAsia="仿宋" w:cs="仿宋"/>
                <w:color w:val="000000"/>
                <w:spacing w:val="-1"/>
              </w:rPr>
              <w:t>……</w:t>
            </w:r>
          </w:p>
        </w:tc>
        <w:tc>
          <w:tcPr>
            <w:tcW w:w="2482" w:type="dxa"/>
          </w:tcPr>
          <w:p>
            <w:pPr>
              <w:spacing w:line="360" w:lineRule="auto"/>
              <w:ind w:left="-178" w:leftChars="-85" w:firstLine="178" w:firstLineChars="86"/>
              <w:rPr>
                <w:rFonts w:hint="eastAsia" w:ascii="仿宋" w:hAnsi="仿宋" w:eastAsia="仿宋" w:cs="仿宋"/>
                <w:color w:val="000000"/>
                <w:spacing w:val="-1"/>
              </w:rPr>
            </w:pPr>
          </w:p>
        </w:tc>
        <w:tc>
          <w:tcPr>
            <w:tcW w:w="3172" w:type="dxa"/>
            <w:gridSpan w:val="2"/>
          </w:tcPr>
          <w:p>
            <w:pPr>
              <w:spacing w:line="360" w:lineRule="auto"/>
              <w:rPr>
                <w:rFonts w:hint="eastAsia" w:ascii="仿宋" w:hAnsi="仿宋" w:eastAsia="仿宋" w:cs="仿宋"/>
                <w:color w:val="000000"/>
                <w:spacing w:val="-1"/>
              </w:rPr>
            </w:pPr>
          </w:p>
        </w:tc>
      </w:tr>
    </w:tbl>
    <w:p>
      <w:pPr>
        <w:spacing w:line="440" w:lineRule="exact"/>
        <w:ind w:firstLine="1260" w:firstLineChars="600"/>
        <w:contextualSpacing/>
        <w:rPr>
          <w:rFonts w:hint="eastAsia" w:ascii="仿宋" w:hAnsi="仿宋" w:eastAsia="仿宋" w:cs="仿宋"/>
          <w:color w:val="000000"/>
        </w:rPr>
      </w:pPr>
      <w:r>
        <w:rPr>
          <w:rFonts w:hint="eastAsia" w:ascii="仿宋" w:hAnsi="仿宋" w:eastAsia="仿宋" w:cs="仿宋"/>
          <w:color w:val="000000"/>
        </w:rPr>
        <w:t>投标人</w:t>
      </w:r>
      <w:r>
        <w:rPr>
          <w:rFonts w:hint="eastAsia" w:ascii="仿宋" w:hAnsi="仿宋" w:eastAsia="仿宋" w:cs="仿宋"/>
          <w:color w:val="000000"/>
          <w:spacing w:val="-1"/>
        </w:rPr>
        <w:t>：</w:t>
      </w:r>
      <w:r>
        <w:rPr>
          <w:rFonts w:hint="eastAsia" w:ascii="仿宋" w:hAnsi="仿宋" w:eastAsia="仿宋" w:cs="仿宋"/>
          <w:color w:val="000000"/>
        </w:rPr>
        <w:t>（盖单位公章）</w:t>
      </w:r>
    </w:p>
    <w:p>
      <w:pPr>
        <w:spacing w:line="440" w:lineRule="exact"/>
        <w:ind w:firstLine="1260" w:firstLineChars="600"/>
        <w:contextualSpacing/>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spacing w:line="360" w:lineRule="auto"/>
        <w:ind w:firstLine="1248" w:firstLineChars="600"/>
        <w:rPr>
          <w:rFonts w:hint="eastAsia" w:ascii="仿宋" w:hAnsi="仿宋" w:eastAsia="仿宋" w:cs="仿宋"/>
          <w:color w:val="000000"/>
          <w:spacing w:val="-1"/>
        </w:rPr>
      </w:pPr>
      <w:r>
        <w:rPr>
          <w:rFonts w:hint="eastAsia" w:ascii="仿宋" w:hAnsi="仿宋" w:eastAsia="仿宋" w:cs="仿宋"/>
          <w:color w:val="000000"/>
          <w:spacing w:val="-1"/>
        </w:rPr>
        <w:t xml:space="preserve">日期：     年     月 </w:t>
      </w:r>
      <w:r>
        <w:rPr>
          <w:rFonts w:hint="eastAsia" w:ascii="仿宋" w:hAnsi="仿宋" w:eastAsia="仿宋" w:cs="仿宋"/>
          <w:color w:val="000000"/>
          <w:spacing w:val="-1"/>
        </w:rPr>
        <w:tab/>
      </w:r>
      <w:r>
        <w:rPr>
          <w:rFonts w:hint="eastAsia" w:ascii="仿宋" w:hAnsi="仿宋" w:eastAsia="仿宋" w:cs="仿宋"/>
          <w:color w:val="000000"/>
          <w:spacing w:val="-1"/>
        </w:rPr>
        <w:t xml:space="preserve">  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vAlign w:val="center"/>
          </w:tcPr>
          <w:p>
            <w:pPr>
              <w:spacing w:line="360" w:lineRule="auto"/>
              <w:jc w:val="center"/>
              <w:rPr>
                <w:rFonts w:hint="eastAsia" w:ascii="仿宋" w:hAnsi="仿宋" w:eastAsia="仿宋" w:cs="仿宋"/>
                <w:color w:val="000000"/>
              </w:rPr>
            </w:pPr>
            <w:r>
              <w:rPr>
                <w:rFonts w:hint="eastAsia" w:ascii="仿宋" w:hAnsi="仿宋" w:eastAsia="仿宋" w:cs="仿宋"/>
                <w:color w:val="000000"/>
              </w:rPr>
              <w:t>序号</w:t>
            </w:r>
          </w:p>
        </w:tc>
        <w:tc>
          <w:tcPr>
            <w:tcW w:w="5387" w:type="dxa"/>
            <w:vAlign w:val="center"/>
          </w:tcPr>
          <w:p>
            <w:pPr>
              <w:spacing w:line="360" w:lineRule="auto"/>
              <w:jc w:val="center"/>
              <w:rPr>
                <w:rFonts w:hint="eastAsia" w:ascii="仿宋" w:hAnsi="仿宋" w:eastAsia="仿宋" w:cs="仿宋"/>
                <w:color w:val="000000"/>
              </w:rPr>
            </w:pPr>
            <w:r>
              <w:rPr>
                <w:rFonts w:hint="eastAsia" w:ascii="仿宋" w:hAnsi="仿宋" w:eastAsia="仿宋" w:cs="仿宋"/>
                <w:color w:val="00000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440" w:lineRule="exact"/>
        <w:ind w:firstLine="1050" w:firstLineChars="500"/>
        <w:contextualSpacing/>
        <w:rPr>
          <w:rFonts w:hint="eastAsia" w:ascii="仿宋" w:hAnsi="仿宋" w:eastAsia="仿宋" w:cs="仿宋"/>
          <w:color w:val="000000"/>
        </w:rPr>
      </w:pPr>
      <w:r>
        <w:rPr>
          <w:rFonts w:hint="eastAsia" w:ascii="仿宋" w:hAnsi="仿宋" w:eastAsia="仿宋" w:cs="仿宋"/>
          <w:color w:val="000000"/>
        </w:rPr>
        <w:t>投标人</w:t>
      </w:r>
      <w:r>
        <w:rPr>
          <w:rFonts w:hint="eastAsia" w:ascii="仿宋" w:hAnsi="仿宋" w:eastAsia="仿宋" w:cs="仿宋"/>
          <w:color w:val="000000"/>
          <w:spacing w:val="-1"/>
        </w:rPr>
        <w:t>：</w:t>
      </w:r>
      <w:r>
        <w:rPr>
          <w:rFonts w:hint="eastAsia" w:ascii="仿宋" w:hAnsi="仿宋" w:eastAsia="仿宋" w:cs="仿宋"/>
          <w:color w:val="000000"/>
        </w:rPr>
        <w:t>（盖单位公章）</w:t>
      </w:r>
    </w:p>
    <w:p>
      <w:pPr>
        <w:spacing w:line="440" w:lineRule="exact"/>
        <w:ind w:firstLine="1050" w:firstLineChars="500"/>
        <w:contextualSpacing/>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spacing w:line="440" w:lineRule="exact"/>
        <w:ind w:firstLine="1050" w:firstLineChars="500"/>
        <w:contextualSpacing/>
        <w:rPr>
          <w:rFonts w:hint="eastAsia" w:ascii="仿宋" w:hAnsi="仿宋" w:eastAsia="仿宋" w:cs="仿宋"/>
          <w:color w:val="000000"/>
        </w:rPr>
      </w:pPr>
      <w:r>
        <w:rPr>
          <w:rFonts w:hint="eastAsia" w:ascii="仿宋" w:hAnsi="仿宋" w:eastAsia="仿宋" w:cs="仿宋"/>
          <w:color w:val="000000"/>
        </w:rPr>
        <w:t xml:space="preserve">日期：     年     月 </w:t>
      </w:r>
      <w:r>
        <w:rPr>
          <w:rFonts w:hint="eastAsia" w:ascii="仿宋" w:hAnsi="仿宋" w:eastAsia="仿宋" w:cs="仿宋"/>
          <w:color w:val="000000"/>
        </w:rPr>
        <w:tab/>
      </w:r>
      <w:r>
        <w:rPr>
          <w:rFonts w:hint="eastAsia" w:ascii="仿宋" w:hAnsi="仿宋" w:eastAsia="仿宋" w:cs="仿宋"/>
          <w:color w:val="000000"/>
        </w:rPr>
        <w:t xml:space="preserve">  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1、若投标人为非事业单位，则填写《投标人股东信息及出资比例信息表》；若投标人为事业单位，则填写《管理关系表》。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2、若投标人未按实际情况填写或填写虚假信息或漏填错填，经评标委员会讨论后，应作废标处理。</w:t>
      </w:r>
    </w:p>
    <w:p>
      <w:pPr>
        <w:pStyle w:val="4"/>
        <w:jc w:val="center"/>
      </w:pPr>
    </w:p>
    <w:p>
      <w:pPr>
        <w:spacing w:line="480" w:lineRule="auto"/>
        <w:jc w:val="left"/>
        <w:rPr>
          <w:rStyle w:val="21"/>
          <w:rFonts w:ascii="仿宋" w:hAnsi="仿宋" w:eastAsia="仿宋" w:cs="仿宋"/>
          <w:sz w:val="30"/>
        </w:rPr>
      </w:pPr>
    </w:p>
    <w:p>
      <w:pPr>
        <w:pStyle w:val="6"/>
        <w:rPr>
          <w:rStyle w:val="21"/>
          <w:rFonts w:ascii="仿宋" w:hAnsi="仿宋" w:eastAsia="仿宋" w:cs="仿宋"/>
          <w:sz w:val="30"/>
        </w:rPr>
      </w:pPr>
    </w:p>
    <w:p>
      <w:pPr>
        <w:rPr>
          <w:rStyle w:val="21"/>
          <w:rFonts w:ascii="仿宋" w:hAnsi="仿宋" w:eastAsia="仿宋" w:cs="仿宋"/>
          <w:sz w:val="30"/>
        </w:rPr>
      </w:pPr>
    </w:p>
    <w:p>
      <w:pPr>
        <w:pStyle w:val="6"/>
      </w:pPr>
    </w:p>
    <w:p>
      <w:pPr>
        <w:spacing w:line="480" w:lineRule="auto"/>
        <w:jc w:val="left"/>
        <w:rPr>
          <w:rStyle w:val="21"/>
          <w:rFonts w:ascii="仿宋" w:hAnsi="仿宋" w:eastAsia="仿宋" w:cs="仿宋"/>
          <w:sz w:val="30"/>
        </w:rPr>
      </w:pPr>
      <w:r>
        <w:rPr>
          <w:rStyle w:val="21"/>
          <w:rFonts w:hint="eastAsia" w:ascii="仿宋" w:hAnsi="仿宋" w:eastAsia="仿宋" w:cs="仿宋"/>
          <w:sz w:val="30"/>
        </w:rPr>
        <w:t>附件六</w:t>
      </w:r>
    </w:p>
    <w:p>
      <w:pPr>
        <w:spacing w:line="480" w:lineRule="auto"/>
        <w:jc w:val="center"/>
        <w:rPr>
          <w:rStyle w:val="21"/>
          <w:rFonts w:ascii="仿宋" w:hAnsi="仿宋" w:eastAsia="仿宋" w:cs="仿宋"/>
          <w:sz w:val="30"/>
        </w:rPr>
      </w:pPr>
      <w:bookmarkStart w:id="16" w:name="_Toc102529523"/>
      <w:r>
        <w:rPr>
          <w:rStyle w:val="21"/>
          <w:rFonts w:hint="eastAsia" w:ascii="仿宋" w:hAnsi="仿宋" w:eastAsia="仿宋" w:cs="仿宋"/>
          <w:sz w:val="30"/>
        </w:rPr>
        <w:t>询价要求偏离说明表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rPr>
        <w:t>报价人名称：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eastAsia="zh-CN"/>
        </w:rPr>
        <w:t>202308001</w:t>
      </w:r>
      <w:r>
        <w:rPr>
          <w:rFonts w:hint="eastAsia" w:ascii="仿宋_GB2312" w:eastAsia="仿宋_GB2312"/>
          <w:sz w:val="30"/>
          <w:u w:val="single"/>
        </w:rPr>
        <w:t xml:space="preserve">   </w:t>
      </w:r>
    </w:p>
    <w:tbl>
      <w:tblPr>
        <w:tblStyle w:val="14"/>
        <w:tblW w:w="49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7"/>
        <w:gridCol w:w="2494"/>
        <w:gridCol w:w="1977"/>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13" w:type="pct"/>
            <w:tcBorders>
              <w:tl2br w:val="nil"/>
              <w:tr2bl w:val="nil"/>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6" w:type="pct"/>
            <w:tcBorders>
              <w:tl2br w:val="nil"/>
              <w:tr2bl w:val="nil"/>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70" w:type="pct"/>
            <w:tcBorders>
              <w:tl2br w:val="nil"/>
              <w:tr2bl w:val="nil"/>
            </w:tcBorders>
            <w:vAlign w:val="center"/>
          </w:tcPr>
          <w:p>
            <w:pPr>
              <w:jc w:val="center"/>
              <w:rPr>
                <w:rFonts w:ascii="仿宋_GB2312" w:hAnsi="宋体" w:eastAsia="仿宋_GB2312"/>
                <w:sz w:val="24"/>
              </w:rPr>
            </w:pPr>
            <w:r>
              <w:rPr>
                <w:rFonts w:hint="eastAsia" w:ascii="仿宋_GB2312" w:hAnsi="宋体" w:eastAsia="仿宋_GB2312"/>
                <w:sz w:val="24"/>
              </w:rPr>
              <w:t>询价要求</w:t>
            </w:r>
          </w:p>
        </w:tc>
        <w:tc>
          <w:tcPr>
            <w:tcW w:w="1086" w:type="pct"/>
            <w:tcBorders>
              <w:tl2br w:val="nil"/>
              <w:tr2bl w:val="nil"/>
            </w:tcBorders>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222" w:type="pct"/>
            <w:tcBorders>
              <w:tl2br w:val="nil"/>
              <w:tr2bl w:val="nil"/>
            </w:tcBorders>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13" w:type="pct"/>
            <w:tcBorders>
              <w:tl2br w:val="nil"/>
              <w:tr2bl w:val="nil"/>
            </w:tcBorders>
          </w:tcPr>
          <w:p>
            <w:pPr>
              <w:jc w:val="center"/>
              <w:rPr>
                <w:rFonts w:ascii="宋体" w:hAnsi="宋体"/>
                <w:sz w:val="24"/>
              </w:rPr>
            </w:pPr>
          </w:p>
        </w:tc>
        <w:tc>
          <w:tcPr>
            <w:tcW w:w="806" w:type="pct"/>
            <w:tcBorders>
              <w:tl2br w:val="nil"/>
              <w:tr2bl w:val="nil"/>
            </w:tcBorders>
          </w:tcPr>
          <w:p>
            <w:pPr>
              <w:jc w:val="center"/>
              <w:rPr>
                <w:rFonts w:ascii="宋体" w:hAnsi="宋体"/>
                <w:sz w:val="24"/>
              </w:rPr>
            </w:pPr>
          </w:p>
        </w:tc>
        <w:tc>
          <w:tcPr>
            <w:tcW w:w="1370" w:type="pct"/>
            <w:tcBorders>
              <w:tl2br w:val="nil"/>
              <w:tr2bl w:val="nil"/>
            </w:tcBorders>
          </w:tcPr>
          <w:p>
            <w:pPr>
              <w:jc w:val="center"/>
              <w:rPr>
                <w:rFonts w:ascii="宋体" w:hAnsi="宋体"/>
                <w:sz w:val="24"/>
              </w:rPr>
            </w:pPr>
          </w:p>
        </w:tc>
        <w:tc>
          <w:tcPr>
            <w:tcW w:w="1086" w:type="pct"/>
            <w:tcBorders>
              <w:tl2br w:val="nil"/>
              <w:tr2bl w:val="nil"/>
            </w:tcBorders>
          </w:tcPr>
          <w:p>
            <w:pPr>
              <w:jc w:val="center"/>
              <w:rPr>
                <w:rFonts w:ascii="宋体" w:hAnsi="宋体"/>
                <w:sz w:val="24"/>
              </w:rPr>
            </w:pPr>
          </w:p>
        </w:tc>
        <w:tc>
          <w:tcPr>
            <w:tcW w:w="1222" w:type="pct"/>
            <w:tcBorders>
              <w:tl2br w:val="nil"/>
              <w:tr2bl w:val="nil"/>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240" w:beforeLines="100" w:line="540" w:lineRule="exact"/>
        <w:ind w:left="539" w:firstLine="28"/>
        <w:rPr>
          <w:rFonts w:ascii="宋体" w:hAnsi="宋体"/>
          <w:sz w:val="24"/>
        </w:rPr>
      </w:pPr>
    </w:p>
    <w:p>
      <w:pPr>
        <w:spacing w:before="240"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21"/>
          <w:rFonts w:ascii="仿宋" w:hAnsi="仿宋" w:eastAsia="仿宋" w:cs="仿宋"/>
          <w:sz w:val="30"/>
          <w:szCs w:val="22"/>
          <w:lang w:val="en-GB"/>
        </w:rPr>
      </w:pPr>
    </w:p>
    <w:p>
      <w:pPr>
        <w:jc w:val="left"/>
        <w:rPr>
          <w:rStyle w:val="21"/>
          <w:rFonts w:ascii="仿宋" w:hAnsi="仿宋" w:eastAsia="仿宋" w:cs="仿宋"/>
          <w:sz w:val="30"/>
          <w:szCs w:val="22"/>
          <w:lang w:val="en-GB"/>
        </w:rPr>
      </w:pPr>
    </w:p>
    <w:p>
      <w:pPr>
        <w:jc w:val="left"/>
        <w:rPr>
          <w:rStyle w:val="21"/>
          <w:rFonts w:ascii="仿宋" w:hAnsi="仿宋" w:eastAsia="仿宋" w:cs="仿宋"/>
          <w:sz w:val="30"/>
          <w:szCs w:val="22"/>
          <w:lang w:val="en-GB"/>
        </w:rPr>
      </w:pPr>
    </w:p>
    <w:p>
      <w:pPr>
        <w:jc w:val="left"/>
        <w:rPr>
          <w:rStyle w:val="21"/>
          <w:rFonts w:ascii="仿宋" w:hAnsi="仿宋" w:eastAsia="仿宋" w:cs="仿宋"/>
          <w:sz w:val="30"/>
          <w:szCs w:val="22"/>
          <w:lang w:val="en-GB"/>
        </w:rPr>
      </w:pPr>
    </w:p>
    <w:p>
      <w:pPr>
        <w:jc w:val="left"/>
        <w:rPr>
          <w:rStyle w:val="21"/>
          <w:rFonts w:ascii="仿宋" w:hAnsi="仿宋" w:eastAsia="仿宋" w:cs="仿宋"/>
          <w:sz w:val="30"/>
          <w:szCs w:val="22"/>
        </w:rPr>
      </w:pPr>
      <w:r>
        <w:rPr>
          <w:rStyle w:val="21"/>
          <w:rFonts w:hint="eastAsia" w:ascii="仿宋" w:hAnsi="仿宋" w:eastAsia="仿宋" w:cs="仿宋"/>
          <w:sz w:val="30"/>
          <w:szCs w:val="22"/>
          <w:lang w:val="en-GB"/>
        </w:rPr>
        <w:t>附件七</w:t>
      </w:r>
    </w:p>
    <w:p>
      <w:pPr>
        <w:pStyle w:val="13"/>
        <w:spacing w:line="360" w:lineRule="auto"/>
        <w:rPr>
          <w:rStyle w:val="21"/>
          <w:rFonts w:ascii="仿宋" w:hAnsi="仿宋" w:eastAsia="仿宋" w:cs="仿宋"/>
          <w:b/>
          <w:spacing w:val="0"/>
          <w:sz w:val="44"/>
          <w:lang w:val="en-GB"/>
        </w:rPr>
      </w:pPr>
      <w:r>
        <w:rPr>
          <w:rStyle w:val="21"/>
          <w:rFonts w:hint="eastAsia" w:ascii="仿宋" w:hAnsi="仿宋" w:eastAsia="仿宋" w:cs="仿宋"/>
          <w:b/>
          <w:spacing w:val="0"/>
          <w:sz w:val="44"/>
          <w:lang w:val="en-GB"/>
        </w:rPr>
        <w:t xml:space="preserve">  合同</w:t>
      </w:r>
      <w:bookmarkEnd w:id="13"/>
      <w:bookmarkEnd w:id="14"/>
      <w:bookmarkEnd w:id="15"/>
      <w:r>
        <w:rPr>
          <w:rStyle w:val="21"/>
          <w:rFonts w:hint="eastAsia" w:ascii="仿宋" w:hAnsi="仿宋" w:eastAsia="仿宋" w:cs="仿宋"/>
          <w:b/>
          <w:spacing w:val="0"/>
          <w:sz w:val="44"/>
          <w:lang w:val="en-GB"/>
        </w:rPr>
        <w:t>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根据《中华人民共和国民法典》等法律法，双方经协商一致，</w:t>
      </w:r>
      <w:r>
        <w:rPr>
          <w:rFonts w:hint="eastAsia" w:ascii="仿宋" w:hAnsi="仿宋" w:eastAsia="仿宋" w:cs="仿宋"/>
          <w:sz w:val="24"/>
          <w:szCs w:val="24"/>
        </w:rPr>
        <w:t>就甲方向乙方采购危废柔性填埋场</w:t>
      </w:r>
      <w:r>
        <w:rPr>
          <w:rFonts w:ascii="仿宋" w:hAnsi="仿宋" w:eastAsia="仿宋" w:cs="仿宋"/>
          <w:sz w:val="24"/>
          <w:szCs w:val="24"/>
        </w:rPr>
        <w:t>（三固一期）安全性能评估服务</w:t>
      </w:r>
      <w:r>
        <w:rPr>
          <w:rFonts w:hint="eastAsia" w:ascii="仿宋" w:hAnsi="仿宋" w:eastAsia="仿宋" w:cs="仿宋"/>
          <w:sz w:val="24"/>
          <w:szCs w:val="24"/>
        </w:rPr>
        <w:t>事宜达成如下条款：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一、服务单价、金额及要求如下：</w:t>
      </w:r>
    </w:p>
    <w:p>
      <w:pPr>
        <w:widowControl/>
        <w:jc w:val="left"/>
        <w:rPr>
          <w:rFonts w:ascii="仿宋" w:hAnsi="仿宋" w:eastAsia="仿宋" w:cs="仿宋"/>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557"/>
        <w:gridCol w:w="1734"/>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085" w:type="dxa"/>
            <w:vAlign w:val="center"/>
          </w:tcPr>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服务内容</w:t>
            </w:r>
          </w:p>
        </w:tc>
        <w:tc>
          <w:tcPr>
            <w:tcW w:w="1557" w:type="dxa"/>
            <w:vAlign w:val="center"/>
          </w:tcPr>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金额</w:t>
            </w:r>
          </w:p>
        </w:tc>
        <w:tc>
          <w:tcPr>
            <w:tcW w:w="1734" w:type="dxa"/>
            <w:vAlign w:val="center"/>
          </w:tcPr>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税率</w:t>
            </w:r>
          </w:p>
        </w:tc>
        <w:tc>
          <w:tcPr>
            <w:tcW w:w="2910" w:type="dxa"/>
            <w:vAlign w:val="center"/>
          </w:tcPr>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危废柔性填埋场（三固一期</w:t>
            </w:r>
            <w:r>
              <w:rPr>
                <w:rFonts w:hint="eastAsia" w:ascii="仿宋" w:hAnsi="仿宋" w:eastAsia="仿宋" w:cs="仿宋"/>
                <w:sz w:val="24"/>
                <w:szCs w:val="24"/>
                <w:lang w:eastAsia="zh-CN"/>
              </w:rPr>
              <w:t>一分区，如下图</w:t>
            </w:r>
            <w:r>
              <w:rPr>
                <w:rFonts w:hint="eastAsia" w:ascii="仿宋" w:hAnsi="仿宋" w:eastAsia="仿宋" w:cs="仿宋"/>
                <w:sz w:val="24"/>
                <w:szCs w:val="24"/>
              </w:rPr>
              <w:t>）安全性能评估服务采购</w:t>
            </w:r>
          </w:p>
        </w:tc>
        <w:tc>
          <w:tcPr>
            <w:tcW w:w="1557" w:type="dxa"/>
            <w:vAlign w:val="center"/>
          </w:tcPr>
          <w:p>
            <w:pPr>
              <w:spacing w:line="360" w:lineRule="auto"/>
              <w:ind w:firstLine="520" w:firstLineChars="217"/>
              <w:rPr>
                <w:rFonts w:ascii="仿宋" w:hAnsi="仿宋" w:eastAsia="仿宋" w:cs="仿宋"/>
                <w:sz w:val="24"/>
                <w:szCs w:val="24"/>
              </w:rPr>
            </w:pPr>
          </w:p>
        </w:tc>
        <w:tc>
          <w:tcPr>
            <w:tcW w:w="1734" w:type="dxa"/>
            <w:vAlign w:val="center"/>
          </w:tcPr>
          <w:p>
            <w:pPr>
              <w:spacing w:line="360" w:lineRule="auto"/>
              <w:ind w:firstLine="520" w:firstLineChars="217"/>
              <w:rPr>
                <w:rFonts w:ascii="仿宋" w:hAnsi="仿宋" w:eastAsia="仿宋" w:cs="仿宋"/>
                <w:sz w:val="24"/>
                <w:szCs w:val="24"/>
              </w:rPr>
            </w:pPr>
          </w:p>
        </w:tc>
        <w:tc>
          <w:tcPr>
            <w:tcW w:w="291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含专家费及召开评审会的费用，均由乙方承担，甲方不再另外支付任何费用</w:t>
            </w:r>
          </w:p>
        </w:tc>
      </w:tr>
    </w:tbl>
    <w:p>
      <w:pPr>
        <w:spacing w:line="360" w:lineRule="auto"/>
        <w:ind w:firstLine="480" w:firstLineChars="200"/>
        <w:rPr>
          <w:rFonts w:hint="eastAsia" w:ascii="仿宋" w:hAnsi="仿宋" w:eastAsia="仿宋" w:cs="仿宋"/>
          <w:sz w:val="24"/>
          <w:szCs w:val="24"/>
        </w:rPr>
      </w:pPr>
    </w:p>
    <w:p>
      <w:pPr>
        <w:spacing w:line="360" w:lineRule="auto"/>
        <w:ind w:firstLine="420" w:firstLineChars="200"/>
        <w:rPr>
          <w:rFonts w:hint="eastAsia" w:ascii="仿宋" w:hAnsi="仿宋" w:eastAsia="仿宋" w:cs="仿宋"/>
          <w:color w:val="auto"/>
          <w:kern w:val="2"/>
          <w:szCs w:val="30"/>
        </w:rPr>
      </w:pPr>
      <w:r>
        <w:rPr>
          <w:rFonts w:hint="eastAsia" w:ascii="仿宋" w:hAnsi="仿宋" w:eastAsia="仿宋" w:cs="仿宋"/>
          <w:color w:val="auto"/>
          <w:kern w:val="2"/>
          <w:szCs w:val="30"/>
        </w:rPr>
        <w:drawing>
          <wp:inline distT="0" distB="0" distL="114300" distR="114300">
            <wp:extent cx="5431155" cy="2753360"/>
            <wp:effectExtent l="0" t="0" r="17145" b="8890"/>
            <wp:docPr id="2" name="图片 2" descr="88ce1bad717de72e17c0e8515cd0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ce1bad717de72e17c0e8515cd0a30"/>
                    <pic:cNvPicPr>
                      <a:picLocks noChangeAspect="1"/>
                    </pic:cNvPicPr>
                  </pic:nvPicPr>
                  <pic:blipFill>
                    <a:blip r:embed="rId5"/>
                    <a:srcRect t="835"/>
                    <a:stretch>
                      <a:fillRect/>
                    </a:stretch>
                  </pic:blipFill>
                  <pic:spPr>
                    <a:xfrm>
                      <a:off x="0" y="0"/>
                      <a:ext cx="5431155" cy="2753360"/>
                    </a:xfrm>
                    <a:prstGeom prst="rect">
                      <a:avLst/>
                    </a:prstGeom>
                  </pic:spPr>
                </pic:pic>
              </a:graphicData>
            </a:graphic>
          </wp:inline>
        </w:drawing>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按照《危险废物填埋污染控制标准》（GB18598-2019）等技术规范要求，根据渗滤液水位、渗滤液产生量、渗滤液组分及浓度、土壤及地下水检测数据等资料，对填埋场环境安全性能进行评估</w:t>
      </w:r>
      <w:r>
        <w:rPr>
          <w:rFonts w:hint="eastAsia" w:ascii="仿宋" w:hAnsi="仿宋" w:eastAsia="仿宋" w:cs="仿宋"/>
          <w:sz w:val="24"/>
          <w:szCs w:val="24"/>
          <w:lang w:eastAsia="zh-CN"/>
        </w:rPr>
        <w:t>，同时对防渗膜完整性检测、新增6个地下水检测井（深9米、直径110mm）并检测。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1、填埋场建设运行情况分析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（1）汇总填埋场设施建设情况，明确设施建设是否符合设计要求、环评要求及规范要求。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汇总分析填埋场运行现状，收集填埋场运行台账资料、固化稳定化方案、分区填埋方案、环保设施运行记录及检测数据等资料，分析填埋场日常管理现状、检测及固化稳定化、危险废物分区填埋、导排系统运行、环保设施运行等环节是否符合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（3）开展防渗膜完整性检测并出具报告，结合渗滤液水位、渗滤液产生量等计算及复核设施防渗及导排是否符合要求，分析评估防渗层的有效性及完整性。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（4）稳定性分析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根据堆体及周边岩体分析计算堆体稳定性及地基稳定性，出具堆体稳定报告。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2、土壤与地下水监测情况分析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根据规范要求新建6个地下水检测井（深9米、直径110mm）并检测，同时收集业主现有土壤及地下水例行检测记录、自行检测报告等资料，评估填埋场土壤地下水现状，明确填埋场运行期间土壤地下水是否异常。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3、填埋场环境安全性能分析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综合渗滤液水位、渗滤液产生量、渗滤液组分及浓度、土壤及地下水检测数据等资料，对填埋场环境安全性能进行评估分析，并根据评估结果确定是否对填埋场后续运行计划进行修改以及采取必要的应急处置措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4、组织召开专家评审会</w:t>
      </w:r>
      <w:r>
        <w:rPr>
          <w:rFonts w:hint="eastAsia" w:ascii="仿宋" w:hAnsi="仿宋" w:eastAsia="仿宋" w:cs="仿宋"/>
          <w:sz w:val="24"/>
          <w:szCs w:val="24"/>
          <w:lang w:eastAsia="zh-CN"/>
        </w:rPr>
        <w:t>，邀请的评审专家职称和人数应符合法律法规要求。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5、根据评估结果对填埋场运行提出管理建议。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服务要求</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1、乙方保证所供评估报告符合GB18598-2019《危险废物填埋污染控制标准》要求，若不符合的，乙方应重新编制报告并组织专家评审。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2、专家费及召开评审会的费用均由乙方承担，甲方不再另外支付任何费用；乙方邀请的评审专家须符合法律法规要求；</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3、合同签订后，甲方按照乙方要求提供资料后，乙方45天内递交通过专家评审的合格评估报告。</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6"/>
        <w:ind w:firstLine="482" w:firstLineChars="200"/>
        <w:rPr>
          <w:rFonts w:ascii="仿宋" w:hAnsi="仿宋" w:eastAsia="仿宋" w:cs="仿宋"/>
          <w:b/>
          <w:bCs/>
          <w:sz w:val="24"/>
          <w:szCs w:val="24"/>
        </w:rPr>
      </w:pPr>
      <w:r>
        <w:rPr>
          <w:rFonts w:hint="eastAsia" w:ascii="仿宋" w:hAnsi="仿宋" w:eastAsia="仿宋" w:cs="仿宋"/>
          <w:b/>
          <w:bCs/>
          <w:sz w:val="24"/>
          <w:szCs w:val="24"/>
        </w:rPr>
        <w:t>账户信息如下：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户    名：杭州临江环境能源有限公司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开户银行：招商银行杭州分行滨江支行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帐    号：571911871110866</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、售后服务。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1、乙方必须满足甲方售后服务要求。乙方须在接到甲方通知后24小时内做出书面答复并提供解决方案。若需要派遣技术人员，则应在接到甲方通知后48小时内派人员到达现场进行免费指导解决问题。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2、甲方不再对任何售后服务进行付费。乙方的派遣人员产生的一切费用由乙方承担。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、费用支付。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乙方的评估报通过验收后，提供经双方确认的增值税专用发票，甲方自收到报告和发票后，30日内完成费用支付。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、其它约定。</w:t>
      </w:r>
    </w:p>
    <w:p>
      <w:pPr>
        <w:spacing w:line="360" w:lineRule="auto"/>
        <w:ind w:firstLine="520" w:firstLineChars="217"/>
        <w:rPr>
          <w:rFonts w:eastAsia="仿宋"/>
        </w:rPr>
      </w:pPr>
      <w:r>
        <w:rPr>
          <w:rFonts w:hint="eastAsia" w:ascii="仿宋" w:hAnsi="仿宋" w:eastAsia="仿宋" w:cs="仿宋"/>
          <w:sz w:val="24"/>
          <w:szCs w:val="24"/>
        </w:rPr>
        <w:t>若因甲方提供的资料问题导致未能按期完成评估报告的，验收日期相应顺延。</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逾期递交报告的,每逾期3天，向甲方偿付合同总价2%的违约金；乙方逾期5天不能交付的，向甲方偿付合同总价3%的违约金；乙方逾期10天不能交付的，应向甲方偿付合同总价5%的违约金，同时甲方有权终止合同，并没收履约保证金。</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1、本合同经甲、乙双方法定代表人或其委托人签字盖章后生效。询价文件、报价文件及询价过程中有关澄清文件、承诺书等，以及合同附件均为本合同的组成部分，与本合同具有同等效力。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2、本合同一式肆份，甲方、乙方各执两份，效力相同。</w:t>
      </w:r>
    </w:p>
    <w:p>
      <w:pPr>
        <w:spacing w:line="360" w:lineRule="auto"/>
        <w:ind w:left="239" w:leftChars="114" w:firstLine="0" w:firstLineChars="0"/>
        <w:jc w:val="left"/>
        <w:rPr>
          <w:rFonts w:ascii="仿宋" w:hAnsi="仿宋" w:eastAsia="仿宋" w:cs="仿宋"/>
          <w:bCs/>
          <w:sz w:val="24"/>
          <w:szCs w:val="24"/>
        </w:rPr>
      </w:pPr>
      <w:r>
        <w:rPr>
          <w:rFonts w:hint="eastAsia" w:ascii="仿宋" w:hAnsi="仿宋" w:eastAsia="仿宋" w:cs="仿宋"/>
          <w:bCs/>
          <w:sz w:val="24"/>
          <w:szCs w:val="24"/>
        </w:rPr>
        <w:t xml:space="preserve">甲  方：杭州临江环境能源有限公司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乙方：委托代理人：                        委托代理人：</w:t>
      </w:r>
    </w:p>
    <w:p>
      <w:pPr>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 xml:space="preserve">税号：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税号：</w:t>
      </w:r>
    </w:p>
    <w:p>
      <w:pPr>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Cs w:val="24"/>
          <w:lang w:val="en-US" w:eastAsia="zh-CN"/>
        </w:rPr>
        <w:t xml:space="preserve"> </w:t>
      </w:r>
      <w:r>
        <w:rPr>
          <w:rFonts w:hint="eastAsia" w:ascii="仿宋" w:hAnsi="仿宋" w:eastAsia="仿宋" w:cs="仿宋"/>
          <w:sz w:val="24"/>
          <w:szCs w:val="24"/>
        </w:rPr>
        <w:t>开户行：</w:t>
      </w:r>
    </w:p>
    <w:p>
      <w:pPr>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 xml:space="preserve">银行账号：571911871110866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银行账号：</w:t>
      </w:r>
    </w:p>
    <w:p>
      <w:pPr>
        <w:spacing w:line="360" w:lineRule="auto"/>
        <w:ind w:firstLine="240" w:firstLineChars="100"/>
        <w:jc w:val="left"/>
        <w:rPr>
          <w:rStyle w:val="21"/>
          <w:rFonts w:ascii="仿宋" w:hAnsi="仿宋" w:eastAsia="仿宋" w:cs="仿宋"/>
          <w:sz w:val="30"/>
        </w:rPr>
      </w:pPr>
      <w:r>
        <w:rPr>
          <w:rFonts w:hint="eastAsia" w:ascii="仿宋" w:hAnsi="仿宋" w:eastAsia="仿宋" w:cs="仿宋"/>
          <w:sz w:val="24"/>
          <w:szCs w:val="24"/>
        </w:rPr>
        <w:t xml:space="preserve">联系电话：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21"/>
          <w:rFonts w:hint="eastAsia" w:ascii="仿宋" w:hAnsi="仿宋" w:eastAsia="仿宋" w:cs="仿宋"/>
          <w:sz w:val="30"/>
          <w:szCs w:val="22"/>
          <w:lang w:val="en-GB"/>
        </w:rPr>
      </w:pPr>
      <w:r>
        <w:rPr>
          <w:rStyle w:val="21"/>
          <w:rFonts w:hint="eastAsia" w:ascii="仿宋" w:hAnsi="仿宋" w:eastAsia="仿宋" w:cs="仿宋"/>
          <w:sz w:val="30"/>
          <w:szCs w:val="22"/>
          <w:lang w:val="en-GB"/>
        </w:rPr>
        <w:t>附件八</w:t>
      </w:r>
    </w:p>
    <w:p>
      <w:pPr>
        <w:pStyle w:val="2"/>
        <w:jc w:val="center"/>
      </w:pPr>
      <w:r>
        <w:rPr>
          <w:rStyle w:val="21"/>
          <w:rFonts w:hint="eastAsia" w:ascii="仿宋" w:hAnsi="仿宋" w:eastAsia="仿宋" w:cs="仿宋"/>
          <w:b/>
          <w:sz w:val="30"/>
          <w:szCs w:val="22"/>
          <w:lang w:val="en-GB"/>
        </w:rPr>
        <w:t>保证金退还收据样式</w:t>
      </w:r>
    </w:p>
    <w:p>
      <w:pPr>
        <w:pStyle w:val="2"/>
      </w:pPr>
    </w:p>
    <w:p>
      <w:pPr>
        <w:pStyle w:val="2"/>
      </w:pPr>
      <w:r>
        <w:drawing>
          <wp:inline distT="0" distB="0" distL="114300" distR="114300">
            <wp:extent cx="5749925" cy="3265805"/>
            <wp:effectExtent l="0" t="0" r="317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749925" cy="3265805"/>
                    </a:xfrm>
                    <a:prstGeom prst="rect">
                      <a:avLst/>
                    </a:prstGeom>
                    <a:noFill/>
                    <a:ln>
                      <a:noFill/>
                    </a:ln>
                  </pic:spPr>
                </pic:pic>
              </a:graphicData>
            </a:graphic>
          </wp:inline>
        </w:drawing>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21"/>
          <w:rFonts w:hint="eastAsia" w:ascii="仿宋" w:hAnsi="仿宋" w:eastAsia="仿宋" w:cs="仿宋"/>
          <w:sz w:val="30"/>
          <w:szCs w:val="22"/>
          <w:lang w:val="en-US" w:eastAsia="zh-CN"/>
        </w:rPr>
      </w:pPr>
      <w:r>
        <w:rPr>
          <w:rStyle w:val="21"/>
          <w:rFonts w:hint="eastAsia" w:ascii="仿宋" w:hAnsi="仿宋" w:eastAsia="仿宋" w:cs="仿宋"/>
          <w:sz w:val="30"/>
          <w:szCs w:val="22"/>
          <w:lang w:val="en-US" w:eastAsia="zh-CN"/>
        </w:rPr>
        <w:t>附件九</w:t>
      </w:r>
    </w:p>
    <w:p>
      <w:pPr>
        <w:pStyle w:val="2"/>
        <w:rPr>
          <w:rStyle w:val="21"/>
          <w:rFonts w:hint="eastAsia" w:ascii="仿宋" w:hAnsi="仿宋" w:eastAsia="仿宋" w:cs="仿宋"/>
          <w:b/>
          <w:sz w:val="30"/>
          <w:szCs w:val="22"/>
          <w:lang w:val="en-US" w:eastAsia="zh-CN"/>
        </w:rPr>
      </w:pPr>
    </w:p>
    <w:p>
      <w:pPr>
        <w:jc w:val="center"/>
        <w:rPr>
          <w:rStyle w:val="21"/>
          <w:rFonts w:hint="eastAsia" w:ascii="仿宋" w:hAnsi="仿宋" w:eastAsia="仿宋" w:cs="仿宋"/>
          <w:caps/>
          <w:kern w:val="2"/>
          <w:sz w:val="30"/>
          <w:szCs w:val="22"/>
          <w:lang w:val="en-US" w:eastAsia="zh-CN" w:bidi="ar-SA"/>
        </w:rPr>
      </w:pPr>
      <w:r>
        <w:rPr>
          <w:rStyle w:val="21"/>
          <w:rFonts w:hint="eastAsia" w:ascii="仿宋" w:hAnsi="仿宋" w:eastAsia="仿宋" w:cs="仿宋"/>
          <w:caps/>
          <w:kern w:val="2"/>
          <w:sz w:val="30"/>
          <w:szCs w:val="22"/>
          <w:lang w:val="en-US" w:eastAsia="zh-CN" w:bidi="ar-SA"/>
        </w:rPr>
        <w:t>标书密封推荐样式</w:t>
      </w:r>
    </w:p>
    <w:p>
      <w:pPr>
        <w:pStyle w:val="2"/>
        <w:rPr>
          <w:rFonts w:hint="eastAsia"/>
          <w:lang w:val="en-US" w:eastAsia="zh-CN"/>
        </w:rPr>
      </w:pPr>
    </w:p>
    <w:p>
      <w:pPr>
        <w:pStyle w:val="2"/>
        <w:rPr>
          <w:rFonts w:hint="default"/>
          <w:lang w:val="en-US"/>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628640" cy="7609840"/>
                    </a:xfrm>
                    <a:prstGeom prst="rect">
                      <a:avLst/>
                    </a:prstGeom>
                    <a:noFill/>
                    <a:ln>
                      <a:noFill/>
                    </a:ln>
                  </pic:spPr>
                </pic:pic>
              </a:graphicData>
            </a:graphic>
          </wp:inline>
        </w:drawing>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11</w:t>
    </w:r>
    <w:r>
      <w:fldChar w:fldCharType="end"/>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1297576D"/>
    <w:rsid w:val="0022403F"/>
    <w:rsid w:val="0029396E"/>
    <w:rsid w:val="00326A55"/>
    <w:rsid w:val="003A657B"/>
    <w:rsid w:val="0049373C"/>
    <w:rsid w:val="00517D5D"/>
    <w:rsid w:val="005926A3"/>
    <w:rsid w:val="008746A5"/>
    <w:rsid w:val="00887535"/>
    <w:rsid w:val="00A55D77"/>
    <w:rsid w:val="00B574EC"/>
    <w:rsid w:val="00D77F5B"/>
    <w:rsid w:val="00D85C6D"/>
    <w:rsid w:val="00E03AED"/>
    <w:rsid w:val="01180404"/>
    <w:rsid w:val="01367D15"/>
    <w:rsid w:val="016E5167"/>
    <w:rsid w:val="01D22213"/>
    <w:rsid w:val="02834D04"/>
    <w:rsid w:val="02DA7875"/>
    <w:rsid w:val="03443F47"/>
    <w:rsid w:val="038D5656"/>
    <w:rsid w:val="041A14B3"/>
    <w:rsid w:val="04605697"/>
    <w:rsid w:val="04E15716"/>
    <w:rsid w:val="0519526F"/>
    <w:rsid w:val="05BF1523"/>
    <w:rsid w:val="05D22118"/>
    <w:rsid w:val="06057AB3"/>
    <w:rsid w:val="06587B9E"/>
    <w:rsid w:val="06F85F55"/>
    <w:rsid w:val="071A5FC4"/>
    <w:rsid w:val="074C4BA7"/>
    <w:rsid w:val="076328DA"/>
    <w:rsid w:val="08186607"/>
    <w:rsid w:val="08470072"/>
    <w:rsid w:val="089D12AA"/>
    <w:rsid w:val="08B20DF9"/>
    <w:rsid w:val="08F93082"/>
    <w:rsid w:val="09025031"/>
    <w:rsid w:val="09717ADB"/>
    <w:rsid w:val="097479E0"/>
    <w:rsid w:val="0A0C6ADD"/>
    <w:rsid w:val="0A32752C"/>
    <w:rsid w:val="0A6071C9"/>
    <w:rsid w:val="0B166110"/>
    <w:rsid w:val="0B8F62A1"/>
    <w:rsid w:val="0BC12699"/>
    <w:rsid w:val="0BCC31F9"/>
    <w:rsid w:val="0C5A16A4"/>
    <w:rsid w:val="0CBE35FD"/>
    <w:rsid w:val="0CD951B9"/>
    <w:rsid w:val="0D44139E"/>
    <w:rsid w:val="0D5C1813"/>
    <w:rsid w:val="0DC35837"/>
    <w:rsid w:val="0DE61498"/>
    <w:rsid w:val="0E0B1B42"/>
    <w:rsid w:val="0E0E11CA"/>
    <w:rsid w:val="0E187F42"/>
    <w:rsid w:val="0E526A55"/>
    <w:rsid w:val="0E892E0E"/>
    <w:rsid w:val="110C39D4"/>
    <w:rsid w:val="120632BE"/>
    <w:rsid w:val="125059A6"/>
    <w:rsid w:val="1297576D"/>
    <w:rsid w:val="12BF4C87"/>
    <w:rsid w:val="12E51F30"/>
    <w:rsid w:val="12E70A09"/>
    <w:rsid w:val="14693C36"/>
    <w:rsid w:val="14C90AF0"/>
    <w:rsid w:val="150E12CA"/>
    <w:rsid w:val="15463692"/>
    <w:rsid w:val="164F6705"/>
    <w:rsid w:val="16EB793D"/>
    <w:rsid w:val="16FE5921"/>
    <w:rsid w:val="17367C2F"/>
    <w:rsid w:val="17676F1E"/>
    <w:rsid w:val="17B042A1"/>
    <w:rsid w:val="182A0557"/>
    <w:rsid w:val="1852409B"/>
    <w:rsid w:val="19A12BBD"/>
    <w:rsid w:val="1A134167"/>
    <w:rsid w:val="1A2B7D96"/>
    <w:rsid w:val="1A9D7BBA"/>
    <w:rsid w:val="1B0E7F16"/>
    <w:rsid w:val="1BD33B78"/>
    <w:rsid w:val="1D6D770B"/>
    <w:rsid w:val="1E1A21EF"/>
    <w:rsid w:val="1F971487"/>
    <w:rsid w:val="201E3BAA"/>
    <w:rsid w:val="203B090D"/>
    <w:rsid w:val="21135480"/>
    <w:rsid w:val="212C3971"/>
    <w:rsid w:val="214D7086"/>
    <w:rsid w:val="21BA7E4E"/>
    <w:rsid w:val="21DA4ABB"/>
    <w:rsid w:val="229A729C"/>
    <w:rsid w:val="22DF5956"/>
    <w:rsid w:val="22ED7F5E"/>
    <w:rsid w:val="23156242"/>
    <w:rsid w:val="23483A3F"/>
    <w:rsid w:val="23B7135E"/>
    <w:rsid w:val="23FB4FBB"/>
    <w:rsid w:val="24042BD9"/>
    <w:rsid w:val="24130D0C"/>
    <w:rsid w:val="2526790D"/>
    <w:rsid w:val="254E083A"/>
    <w:rsid w:val="25661DC7"/>
    <w:rsid w:val="259E2C64"/>
    <w:rsid w:val="26F76768"/>
    <w:rsid w:val="275F3C2F"/>
    <w:rsid w:val="27F03E2A"/>
    <w:rsid w:val="27FE02E6"/>
    <w:rsid w:val="29084622"/>
    <w:rsid w:val="29634A6F"/>
    <w:rsid w:val="29862CCB"/>
    <w:rsid w:val="29F704EF"/>
    <w:rsid w:val="2AC220DE"/>
    <w:rsid w:val="2ADB5E21"/>
    <w:rsid w:val="2ADF08BA"/>
    <w:rsid w:val="2B285D1E"/>
    <w:rsid w:val="2B494F2C"/>
    <w:rsid w:val="2B8D039B"/>
    <w:rsid w:val="2C083572"/>
    <w:rsid w:val="2C0C01DE"/>
    <w:rsid w:val="2C305EB2"/>
    <w:rsid w:val="2CD9238D"/>
    <w:rsid w:val="2D1C5F06"/>
    <w:rsid w:val="2E003054"/>
    <w:rsid w:val="2E0E51FE"/>
    <w:rsid w:val="2EB2531B"/>
    <w:rsid w:val="2F1176A4"/>
    <w:rsid w:val="2F3D045F"/>
    <w:rsid w:val="2F566FFE"/>
    <w:rsid w:val="2F6F3EAC"/>
    <w:rsid w:val="2F7D3F84"/>
    <w:rsid w:val="2F844FB7"/>
    <w:rsid w:val="2F956D34"/>
    <w:rsid w:val="2FA36F57"/>
    <w:rsid w:val="2FC55661"/>
    <w:rsid w:val="30256074"/>
    <w:rsid w:val="302C4175"/>
    <w:rsid w:val="309235D2"/>
    <w:rsid w:val="30DB21E2"/>
    <w:rsid w:val="310E4E7E"/>
    <w:rsid w:val="31132259"/>
    <w:rsid w:val="321B41E3"/>
    <w:rsid w:val="32B04D2F"/>
    <w:rsid w:val="331A65AF"/>
    <w:rsid w:val="334A5B0D"/>
    <w:rsid w:val="337A7E6A"/>
    <w:rsid w:val="33A35EAC"/>
    <w:rsid w:val="3464504B"/>
    <w:rsid w:val="34662DD0"/>
    <w:rsid w:val="34EA0EDE"/>
    <w:rsid w:val="34F65301"/>
    <w:rsid w:val="359033E2"/>
    <w:rsid w:val="36216F0D"/>
    <w:rsid w:val="362F3EC8"/>
    <w:rsid w:val="3728326A"/>
    <w:rsid w:val="37647620"/>
    <w:rsid w:val="38333445"/>
    <w:rsid w:val="385C0D57"/>
    <w:rsid w:val="38C91EDE"/>
    <w:rsid w:val="392134A8"/>
    <w:rsid w:val="398E418A"/>
    <w:rsid w:val="39A55AE7"/>
    <w:rsid w:val="3A2D3944"/>
    <w:rsid w:val="3A351BE0"/>
    <w:rsid w:val="3B0953A4"/>
    <w:rsid w:val="3BF9560A"/>
    <w:rsid w:val="3C302F1C"/>
    <w:rsid w:val="3C991F43"/>
    <w:rsid w:val="3CAB05F9"/>
    <w:rsid w:val="3CE46170"/>
    <w:rsid w:val="3D7933CA"/>
    <w:rsid w:val="3DAC3CC7"/>
    <w:rsid w:val="3DF92478"/>
    <w:rsid w:val="3E16524F"/>
    <w:rsid w:val="3EA30F9B"/>
    <w:rsid w:val="3EF061F1"/>
    <w:rsid w:val="3F0C5963"/>
    <w:rsid w:val="3F2D02B4"/>
    <w:rsid w:val="3F667647"/>
    <w:rsid w:val="3F705581"/>
    <w:rsid w:val="3F76656C"/>
    <w:rsid w:val="3FF90D18"/>
    <w:rsid w:val="406B2371"/>
    <w:rsid w:val="407E15A7"/>
    <w:rsid w:val="40963132"/>
    <w:rsid w:val="409D025C"/>
    <w:rsid w:val="40AA3B81"/>
    <w:rsid w:val="410D2F00"/>
    <w:rsid w:val="411C5733"/>
    <w:rsid w:val="41E8496E"/>
    <w:rsid w:val="42892A5A"/>
    <w:rsid w:val="42A67657"/>
    <w:rsid w:val="42D465D4"/>
    <w:rsid w:val="436A096E"/>
    <w:rsid w:val="44544A76"/>
    <w:rsid w:val="454E6BC5"/>
    <w:rsid w:val="45530393"/>
    <w:rsid w:val="45560921"/>
    <w:rsid w:val="4564475B"/>
    <w:rsid w:val="460677EC"/>
    <w:rsid w:val="468C48C7"/>
    <w:rsid w:val="46991FE4"/>
    <w:rsid w:val="469F7AF8"/>
    <w:rsid w:val="475812CD"/>
    <w:rsid w:val="475D1115"/>
    <w:rsid w:val="478F3581"/>
    <w:rsid w:val="47B96D86"/>
    <w:rsid w:val="47D615F1"/>
    <w:rsid w:val="47F72214"/>
    <w:rsid w:val="48034DA7"/>
    <w:rsid w:val="48141018"/>
    <w:rsid w:val="486F4BB5"/>
    <w:rsid w:val="48832614"/>
    <w:rsid w:val="48E14418"/>
    <w:rsid w:val="491635D4"/>
    <w:rsid w:val="49E50EBD"/>
    <w:rsid w:val="49E7480F"/>
    <w:rsid w:val="4A9D28FF"/>
    <w:rsid w:val="4B473ED9"/>
    <w:rsid w:val="4B556A54"/>
    <w:rsid w:val="4B9339AE"/>
    <w:rsid w:val="4C870D35"/>
    <w:rsid w:val="4C9F4092"/>
    <w:rsid w:val="4D2832EB"/>
    <w:rsid w:val="4DF6368D"/>
    <w:rsid w:val="4E376DB9"/>
    <w:rsid w:val="4E407F4D"/>
    <w:rsid w:val="4E5417EE"/>
    <w:rsid w:val="4E716394"/>
    <w:rsid w:val="4ECC39F8"/>
    <w:rsid w:val="4F0A3ECF"/>
    <w:rsid w:val="4F4203AF"/>
    <w:rsid w:val="4F595384"/>
    <w:rsid w:val="4F7E5B35"/>
    <w:rsid w:val="4F7F3CCA"/>
    <w:rsid w:val="4F8922EB"/>
    <w:rsid w:val="50076192"/>
    <w:rsid w:val="502844C8"/>
    <w:rsid w:val="50513F03"/>
    <w:rsid w:val="51D845E4"/>
    <w:rsid w:val="51FE74ED"/>
    <w:rsid w:val="52130FBB"/>
    <w:rsid w:val="529C4ECA"/>
    <w:rsid w:val="52EE6121"/>
    <w:rsid w:val="533444FB"/>
    <w:rsid w:val="5364772A"/>
    <w:rsid w:val="53725E70"/>
    <w:rsid w:val="53A472CF"/>
    <w:rsid w:val="54256655"/>
    <w:rsid w:val="55B43CCB"/>
    <w:rsid w:val="55C54FE9"/>
    <w:rsid w:val="55E07717"/>
    <w:rsid w:val="56397366"/>
    <w:rsid w:val="56853B17"/>
    <w:rsid w:val="56BB027E"/>
    <w:rsid w:val="58080247"/>
    <w:rsid w:val="58445001"/>
    <w:rsid w:val="585C6BB8"/>
    <w:rsid w:val="58B83643"/>
    <w:rsid w:val="58CD4E39"/>
    <w:rsid w:val="58D63BA7"/>
    <w:rsid w:val="5950112B"/>
    <w:rsid w:val="5A1C766A"/>
    <w:rsid w:val="5AA80B76"/>
    <w:rsid w:val="5ACD5E09"/>
    <w:rsid w:val="5B4A1675"/>
    <w:rsid w:val="5BC20ACA"/>
    <w:rsid w:val="5C441F61"/>
    <w:rsid w:val="5C7E6D7D"/>
    <w:rsid w:val="5CE81F44"/>
    <w:rsid w:val="5CF528AB"/>
    <w:rsid w:val="5D334BE5"/>
    <w:rsid w:val="5E364898"/>
    <w:rsid w:val="5F4D3990"/>
    <w:rsid w:val="5F7C579E"/>
    <w:rsid w:val="5F910E18"/>
    <w:rsid w:val="5FC4408E"/>
    <w:rsid w:val="603518DC"/>
    <w:rsid w:val="604320B5"/>
    <w:rsid w:val="604F360B"/>
    <w:rsid w:val="612A3DEE"/>
    <w:rsid w:val="6188720C"/>
    <w:rsid w:val="62B67083"/>
    <w:rsid w:val="62EC67E6"/>
    <w:rsid w:val="635750E6"/>
    <w:rsid w:val="649C599A"/>
    <w:rsid w:val="64DA5A17"/>
    <w:rsid w:val="66B027B6"/>
    <w:rsid w:val="671A2875"/>
    <w:rsid w:val="67214A8B"/>
    <w:rsid w:val="67B628F5"/>
    <w:rsid w:val="67BA5260"/>
    <w:rsid w:val="68343D65"/>
    <w:rsid w:val="68582657"/>
    <w:rsid w:val="69A94E0C"/>
    <w:rsid w:val="69DB0FEE"/>
    <w:rsid w:val="6A276272"/>
    <w:rsid w:val="6A856377"/>
    <w:rsid w:val="6B0B19AE"/>
    <w:rsid w:val="6B656B47"/>
    <w:rsid w:val="6B7E1643"/>
    <w:rsid w:val="6C714475"/>
    <w:rsid w:val="6C757E0E"/>
    <w:rsid w:val="6CDB032D"/>
    <w:rsid w:val="6D717D67"/>
    <w:rsid w:val="6D9D7236"/>
    <w:rsid w:val="6DBD736C"/>
    <w:rsid w:val="6DF45A5A"/>
    <w:rsid w:val="6E1833D1"/>
    <w:rsid w:val="6E5526FF"/>
    <w:rsid w:val="6F2B1820"/>
    <w:rsid w:val="6F97463D"/>
    <w:rsid w:val="701B6B38"/>
    <w:rsid w:val="70422316"/>
    <w:rsid w:val="707E74C2"/>
    <w:rsid w:val="70C9069C"/>
    <w:rsid w:val="710D0440"/>
    <w:rsid w:val="71306835"/>
    <w:rsid w:val="71C5585F"/>
    <w:rsid w:val="71E642BB"/>
    <w:rsid w:val="72460CC8"/>
    <w:rsid w:val="72947E87"/>
    <w:rsid w:val="73082083"/>
    <w:rsid w:val="73A1381E"/>
    <w:rsid w:val="747D7D00"/>
    <w:rsid w:val="7481790F"/>
    <w:rsid w:val="7634282C"/>
    <w:rsid w:val="76D96E05"/>
    <w:rsid w:val="76E71522"/>
    <w:rsid w:val="77D476E8"/>
    <w:rsid w:val="77DB4C03"/>
    <w:rsid w:val="77E93727"/>
    <w:rsid w:val="7A500C84"/>
    <w:rsid w:val="7AE21E9E"/>
    <w:rsid w:val="7B09318D"/>
    <w:rsid w:val="7B6004E6"/>
    <w:rsid w:val="7C0B708E"/>
    <w:rsid w:val="7C2110F4"/>
    <w:rsid w:val="7C4C470C"/>
    <w:rsid w:val="7CD03426"/>
    <w:rsid w:val="7DFA5FDE"/>
    <w:rsid w:val="7E596B54"/>
    <w:rsid w:val="7EC124B5"/>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b/>
      <w:bCs/>
      <w:kern w:val="0"/>
      <w:sz w:val="2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annotation text"/>
    <w:basedOn w:val="1"/>
    <w:qFormat/>
    <w:uiPriority w:val="0"/>
    <w:pPr>
      <w:jc w:val="left"/>
    </w:pPr>
  </w:style>
  <w:style w:type="paragraph" w:styleId="6">
    <w:name w:val="Body Text"/>
    <w:basedOn w:val="1"/>
    <w:next w:val="7"/>
    <w:qFormat/>
    <w:uiPriority w:val="1"/>
    <w:pPr>
      <w:spacing w:after="120"/>
    </w:pPr>
  </w:style>
  <w:style w:type="paragraph" w:styleId="7">
    <w:name w:val="Body Text First Indent"/>
    <w:basedOn w:val="6"/>
    <w:next w:val="1"/>
    <w:qFormat/>
    <w:uiPriority w:val="99"/>
    <w:pPr>
      <w:widowControl/>
      <w:ind w:firstLine="420" w:firstLineChars="100"/>
      <w:jc w:val="left"/>
    </w:pPr>
    <w:rPr>
      <w:kern w:val="0"/>
    </w:rPr>
  </w:style>
  <w:style w:type="paragraph" w:styleId="8">
    <w:name w:val="Body Text Indent"/>
    <w:basedOn w:val="1"/>
    <w:qFormat/>
    <w:uiPriority w:val="0"/>
    <w:pPr>
      <w:spacing w:line="480" w:lineRule="auto"/>
      <w:ind w:firstLine="600"/>
    </w:pPr>
    <w:rPr>
      <w:sz w:val="28"/>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11"/>
    <w:qFormat/>
    <w:uiPriority w:val="0"/>
    <w:rPr>
      <w:kern w:val="2"/>
      <w:sz w:val="18"/>
      <w:szCs w:val="18"/>
    </w:rPr>
  </w:style>
  <w:style w:type="character" w:customStyle="1" w:styleId="25">
    <w:name w:val="批注框文本 Char"/>
    <w:basedOn w:val="16"/>
    <w:link w:val="9"/>
    <w:qFormat/>
    <w:uiPriority w:val="0"/>
    <w:rPr>
      <w:kern w:val="2"/>
      <w:sz w:val="18"/>
      <w:szCs w:val="18"/>
    </w:rPr>
  </w:style>
  <w:style w:type="character" w:customStyle="1" w:styleId="26">
    <w:name w:val="font31"/>
    <w:basedOn w:val="16"/>
    <w:qFormat/>
    <w:uiPriority w:val="0"/>
    <w:rPr>
      <w:rFonts w:hint="eastAsia" w:ascii="宋体" w:hAnsi="宋体" w:eastAsia="宋体" w:cs="宋体"/>
      <w:color w:val="000000"/>
      <w:sz w:val="22"/>
      <w:szCs w:val="22"/>
      <w:u w:val="none"/>
    </w:rPr>
  </w:style>
  <w:style w:type="character" w:customStyle="1" w:styleId="27">
    <w:name w:val="font51"/>
    <w:basedOn w:val="16"/>
    <w:qFormat/>
    <w:uiPriority w:val="0"/>
    <w:rPr>
      <w:rFonts w:hint="default" w:ascii="Times New Roman" w:hAnsi="Times New Roman" w:cs="Times New Roman"/>
      <w:color w:val="000000"/>
      <w:sz w:val="22"/>
      <w:szCs w:val="22"/>
      <w:u w:val="none"/>
    </w:rPr>
  </w:style>
  <w:style w:type="character" w:customStyle="1" w:styleId="28">
    <w:name w:val="font41"/>
    <w:basedOn w:val="16"/>
    <w:qFormat/>
    <w:uiPriority w:val="0"/>
    <w:rPr>
      <w:rFonts w:ascii="仿宋_GB2312" w:eastAsia="仿宋_GB2312" w:cs="仿宋_GB2312"/>
      <w:color w:val="000000"/>
      <w:sz w:val="22"/>
      <w:szCs w:val="22"/>
      <w:u w:val="none"/>
    </w:rPr>
  </w:style>
  <w:style w:type="character" w:customStyle="1" w:styleId="29">
    <w:name w:val="font21"/>
    <w:basedOn w:val="16"/>
    <w:qFormat/>
    <w:uiPriority w:val="0"/>
    <w:rPr>
      <w:rFonts w:hint="eastAsia" w:ascii="宋体" w:hAnsi="宋体" w:eastAsia="宋体" w:cs="宋体"/>
      <w:color w:val="000000"/>
      <w:sz w:val="22"/>
      <w:szCs w:val="22"/>
      <w:u w:val="none"/>
      <w:vertAlign w:val="superscript"/>
    </w:rPr>
  </w:style>
  <w:style w:type="character" w:customStyle="1" w:styleId="30">
    <w:name w:val="font0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6"/>
    <w:qFormat/>
    <w:uiPriority w:val="0"/>
    <w:rPr>
      <w:rFonts w:ascii="宋体" w:hAnsi="宋体" w:eastAsia="宋体" w:cs="宋体"/>
      <w:color w:val="000000"/>
      <w:sz w:val="20"/>
      <w:szCs w:val="20"/>
      <w:u w:val="none"/>
    </w:rPr>
  </w:style>
  <w:style w:type="character" w:customStyle="1" w:styleId="34">
    <w:name w:val="font71"/>
    <w:basedOn w:val="16"/>
    <w:qFormat/>
    <w:uiPriority w:val="0"/>
    <w:rPr>
      <w:rFonts w:hint="eastAsia" w:ascii="仿宋" w:hAnsi="仿宋" w:eastAsia="仿宋" w:cs="仿宋"/>
      <w:color w:val="000000"/>
      <w:sz w:val="22"/>
      <w:szCs w:val="22"/>
      <w:u w:val="none"/>
    </w:rPr>
  </w:style>
  <w:style w:type="paragraph" w:customStyle="1" w:styleId="35">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7956</Words>
  <Characters>8260</Characters>
  <Lines>57</Lines>
  <Paragraphs>16</Paragraphs>
  <TotalTime>36</TotalTime>
  <ScaleCrop>false</ScaleCrop>
  <LinksUpToDate>false</LinksUpToDate>
  <CharactersWithSpaces>8729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2023-07-14T03:29:00Z</dcterms:created>
  <dc:creator>Echo</dc:creator>
  <cp:lastModifiedBy>加菲51</cp:lastModifiedBy>
  <cp:lastPrinted>2021-06-17T01:09:00Z</cp:lastPrinted>
  <dcterms:modified xsi:type="dcterms:W3CDTF">2023-08-01T03:03:56Z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FF44C5ED416A4BD1B805A42634A911FF_13</vt:lpwstr>
  </property>
</Properties>
</file>