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302</w:t>
      </w:r>
      <w:r>
        <w:rPr>
          <w:rFonts w:hint="eastAsia" w:ascii="仿宋_GB2312" w:hAnsi="宋体" w:eastAsia="仿宋_GB2312"/>
          <w:sz w:val="32"/>
          <w:szCs w:val="32"/>
          <w:highlight w:val="none"/>
          <w:u w:val="single"/>
          <w:lang w:eastAsia="zh-CN"/>
        </w:rPr>
        <w:t>00</w:t>
      </w:r>
      <w:r>
        <w:rPr>
          <w:rFonts w:hint="eastAsia" w:ascii="仿宋_GB2312" w:hAnsi="宋体" w:eastAsia="仿宋_GB2312"/>
          <w:sz w:val="32"/>
          <w:szCs w:val="32"/>
          <w:highlight w:val="none"/>
          <w:u w:val="single"/>
          <w:lang w:val="en-US" w:eastAsia="zh-CN"/>
        </w:rPr>
        <w:t>4</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2023年临江公司三固事业部铁桶委外处置服务项目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9"/>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7"/>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9"/>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7"/>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9"/>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7"/>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9"/>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7"/>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9"/>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7"/>
          <w:rFonts w:hint="eastAsia" w:ascii="仿宋_GB2312" w:eastAsia="仿宋_GB2312"/>
          <w:b w:val="0"/>
          <w:snapToGrid w:val="0"/>
          <w:color w:val="auto"/>
          <w:sz w:val="32"/>
          <w:szCs w:val="32"/>
          <w:u w:val="none"/>
        </w:rPr>
        <w:t>第</w:t>
      </w:r>
      <w:r>
        <w:rPr>
          <w:rStyle w:val="17"/>
          <w:rFonts w:hint="eastAsia" w:ascii="仿宋_GB2312" w:eastAsia="仿宋_GB2312"/>
          <w:b w:val="0"/>
          <w:snapToGrid w:val="0"/>
          <w:color w:val="auto"/>
          <w:sz w:val="32"/>
          <w:szCs w:val="32"/>
          <w:u w:val="none"/>
          <w:lang w:eastAsia="zh-CN"/>
        </w:rPr>
        <w:t>五</w:t>
      </w:r>
      <w:r>
        <w:rPr>
          <w:rStyle w:val="17"/>
          <w:rFonts w:hint="eastAsia" w:ascii="仿宋_GB2312" w:eastAsia="仿宋_GB2312"/>
          <w:b w:val="0"/>
          <w:snapToGrid w:val="0"/>
          <w:color w:val="auto"/>
          <w:sz w:val="32"/>
          <w:szCs w:val="32"/>
          <w:u w:val="none"/>
        </w:rPr>
        <w:t xml:space="preserve">部分   </w:t>
      </w:r>
      <w:r>
        <w:rPr>
          <w:rStyle w:val="17"/>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杭州临江环境能源有限公司因</w:t>
      </w:r>
      <w:r>
        <w:rPr>
          <w:rFonts w:hint="eastAsia" w:ascii="仿宋_GB2312" w:eastAsia="仿宋_GB2312" w:cs="Times New Roman"/>
          <w:sz w:val="30"/>
          <w:szCs w:val="30"/>
          <w:lang w:val="en-US" w:eastAsia="zh-CN"/>
        </w:rPr>
        <w:t>项目运营需要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w:t>
      </w:r>
      <w:r>
        <w:rPr>
          <w:rFonts w:hint="eastAsia" w:ascii="仿宋_GB2312" w:hAnsi="Times New Roman" w:eastAsia="仿宋_GB2312" w:cs="Times New Roman"/>
          <w:sz w:val="30"/>
          <w:szCs w:val="30"/>
          <w:lang w:val="en-US" w:eastAsia="zh-CN"/>
        </w:rPr>
        <w:t>提供相关的专业服务</w:t>
      </w:r>
      <w:r>
        <w:rPr>
          <w:rFonts w:hint="eastAsia" w:ascii="仿宋_GB2312" w:eastAsia="仿宋_GB2312" w:cs="Times New Roman"/>
          <w:sz w:val="30"/>
          <w:szCs w:val="30"/>
          <w:lang w:val="en-US" w:eastAsia="zh-CN"/>
        </w:rPr>
        <w:t>，</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9"/>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202302004</w:t>
      </w:r>
    </w:p>
    <w:p>
      <w:pPr>
        <w:pStyle w:val="9"/>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9"/>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6.36</w:t>
      </w:r>
      <w:r>
        <w:rPr>
          <w:rFonts w:hint="eastAsia" w:ascii="仿宋_GB2312" w:hAnsi="Times New Roman" w:eastAsia="仿宋_GB2312" w:cs="Times New Roman"/>
          <w:b w:val="0"/>
          <w:caps w:val="0"/>
          <w:kern w:val="2"/>
          <w:sz w:val="30"/>
          <w:szCs w:val="30"/>
          <w:highlight w:val="none"/>
          <w:lang w:val="en-US" w:eastAsia="zh-CN" w:bidi="ar-SA"/>
        </w:rPr>
        <w:t>万元</w:t>
      </w:r>
      <w:r>
        <w:rPr>
          <w:rFonts w:hint="eastAsia" w:ascii="仿宋_GB2312" w:eastAsia="仿宋_GB2312" w:cs="Times New Roman"/>
          <w:b w:val="0"/>
          <w:caps w:val="0"/>
          <w:kern w:val="2"/>
          <w:sz w:val="30"/>
          <w:szCs w:val="30"/>
          <w:highlight w:val="none"/>
          <w:lang w:val="en-US" w:eastAsia="zh-CN" w:bidi="ar-SA"/>
        </w:rPr>
        <w:t>，处置单价限价1200元/吨</w:t>
      </w:r>
      <w:r>
        <w:rPr>
          <w:rFonts w:hint="eastAsia" w:ascii="仿宋_GB2312" w:hAnsi="Times New Roman" w:eastAsia="仿宋_GB2312" w:cs="Times New Roman"/>
          <w:b w:val="0"/>
          <w:caps w:val="0"/>
          <w:kern w:val="2"/>
          <w:sz w:val="30"/>
          <w:szCs w:val="30"/>
          <w:highlight w:val="none"/>
          <w:lang w:val="en-US" w:eastAsia="zh-CN" w:bidi="ar-SA"/>
        </w:rPr>
        <w:t>。</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2.投标人应持有生态环境部门颁发的《危险废物经营许可证》，核准经营范围HW49其他废物废包装（铁桶），废物代码900-041-49，处置方式含收集、贮存、利用;</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lang w:val="en-US" w:eastAsia="zh-CN"/>
        </w:rPr>
        <w:t>2023</w:t>
      </w:r>
      <w:r>
        <w:rPr>
          <w:rFonts w:hint="eastAsia" w:ascii="仿宋_GB2312" w:eastAsia="仿宋_GB2312"/>
          <w:sz w:val="30"/>
          <w:szCs w:val="30"/>
        </w:rPr>
        <w:t>年</w:t>
      </w:r>
      <w:r>
        <w:rPr>
          <w:rFonts w:hint="eastAsia" w:ascii="仿宋_GB2312" w:eastAsia="仿宋_GB2312"/>
          <w:sz w:val="30"/>
          <w:szCs w:val="30"/>
          <w:lang w:val="en-US" w:eastAsia="zh-CN"/>
        </w:rPr>
        <w:t>2月24</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9:30之前在杭州临江环境能源有限公司网站公示，请各报价人及时关注进入会场。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w:t>
      </w:r>
      <w:r>
        <w:rPr>
          <w:rFonts w:hint="eastAsia" w:ascii="仿宋_GB2312" w:eastAsia="仿宋_GB2312"/>
          <w:sz w:val="30"/>
          <w:szCs w:val="30"/>
          <w:lang w:val="en-US" w:eastAsia="zh-CN"/>
        </w:rPr>
        <w:t>23</w:t>
      </w:r>
      <w:r>
        <w:rPr>
          <w:rFonts w:hint="default" w:ascii="仿宋_GB2312" w:eastAsia="仿宋_GB2312"/>
          <w:sz w:val="30"/>
          <w:szCs w:val="30"/>
          <w:lang w:val="en-US"/>
        </w:rPr>
        <w:t>年</w:t>
      </w:r>
      <w:r>
        <w:rPr>
          <w:rFonts w:hint="eastAsia" w:ascii="仿宋_GB2312" w:eastAsia="仿宋_GB2312"/>
          <w:sz w:val="30"/>
          <w:szCs w:val="30"/>
          <w:lang w:val="en-US" w:eastAsia="zh-CN"/>
        </w:rPr>
        <w:t>2月14</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投标人基本情况表</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eastAsia="仿宋_GB2312"/>
          <w:sz w:val="30"/>
          <w:szCs w:val="30"/>
          <w:lang w:val="en-US" w:eastAsia="zh-CN"/>
        </w:rPr>
        <w:t>危险废物经营许可证</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adjustRightInd w:val="0"/>
        <w:snapToGrid w:val="0"/>
        <w:spacing w:line="360" w:lineRule="auto"/>
        <w:ind w:firstLine="357" w:firstLineChars="170"/>
        <w:rPr>
          <w:rFonts w:ascii="Arial" w:hAnsi="Arial" w:cs="Arial"/>
          <w:szCs w:val="21"/>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一、询价内容及范围</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项目：2023年临江公司三固事业部铁桶委外处置服务项目</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服务范围：核准经营范围HW49其他废物废包装（铁桶），废物代码900-041-49，进行处置方式含收集、贮存、利用; </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数量：年产生废油桶（ 900-041-49）约53吨。</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二、处置要求：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1.投标人在本合同生效后，须根据采购人通知要求，在三天内及时收运铁桶，并保质保量地完成处置任务；</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2.铁桶内残留废物的含量由采购人与投标人共同确定；</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3.投标人应自行委托危废运输车辆对其进行装运；</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4.在装运时，投标人委托的车辆应根据《中华人民共和国道路运输条例》、《危险化学品安全管理条例》、《道路危险货物运输管理条例》等相关法律法规的要求确保车辆的合规性；车辆必须悬挂危险车辆标识标牌，必须扎盖雨布防止废物抛洒淋湿，车辆不得渗漏、危废标签是否张贴、标签所填内容是否与实际危险废物一致；</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5.投标人应及时、如实填写固废监管系统中的转移信息（联单）；</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6.投标人委托的危险废物运输车辆进入产废单位和处置单位厂区后，应服从管理。</w:t>
      </w:r>
    </w:p>
    <w:p>
      <w:pPr>
        <w:pStyle w:val="10"/>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0"/>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0"/>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0"/>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8"/>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19"/>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hAnsi="宋体" w:eastAsia="仿宋_GB2312"/>
          <w:sz w:val="36"/>
          <w:highlight w:val="yellow"/>
        </w:rPr>
      </w:pPr>
      <w:r>
        <w:rPr>
          <w:rFonts w:hint="eastAsia" w:ascii="仿宋_GB2312" w:eastAsia="仿宋_GB2312"/>
          <w:sz w:val="52"/>
          <w:highlight w:val="none"/>
          <w:lang w:val="en-US" w:eastAsia="zh-CN"/>
        </w:rPr>
        <w:t>2023年临江公司三固事业部铁桶委外处置服务项目</w:t>
      </w: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202302004</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19"/>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19"/>
          <w:rFonts w:ascii="仿宋_GB2312" w:eastAsia="仿宋_GB2312"/>
          <w:sz w:val="30"/>
        </w:rPr>
        <w:br w:type="page"/>
      </w:r>
      <w:r>
        <w:rPr>
          <w:rStyle w:val="19"/>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2023年临江公司三固事业部铁桶委外</w:t>
      </w:r>
      <w:r>
        <w:rPr>
          <w:rFonts w:hint="eastAsia" w:ascii="仿宋_GB2312" w:hAnsi="宋体" w:eastAsia="仿宋_GB2312"/>
          <w:sz w:val="32"/>
          <w:szCs w:val="32"/>
          <w:u w:val="single"/>
        </w:rPr>
        <w:t>服务项目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202302004</w:t>
      </w:r>
      <w:bookmarkStart w:id="14" w:name="_GoBack"/>
      <w:bookmarkEnd w:id="14"/>
      <w:r>
        <w:rPr>
          <w:rFonts w:hint="eastAsia" w:ascii="仿宋_GB2312" w:eastAsia="仿宋_GB2312"/>
          <w:sz w:val="30"/>
          <w:highlight w:val="none"/>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9"/>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19"/>
          <w:rFonts w:hint="eastAsia" w:ascii="仿宋_GB2312" w:eastAsia="仿宋_GB2312"/>
          <w:sz w:val="30"/>
        </w:rPr>
      </w:pPr>
      <w:r>
        <w:rPr>
          <w:rStyle w:val="19"/>
          <w:rFonts w:hint="eastAsia" w:ascii="仿宋_GB2312" w:eastAsia="仿宋_GB2312"/>
          <w:sz w:val="30"/>
        </w:rPr>
        <w:t xml:space="preserve">附件三  </w:t>
      </w:r>
    </w:p>
    <w:p>
      <w:pPr>
        <w:pStyle w:val="6"/>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一、按询价文件及合同、询价文件要求、技术规范承接本项目的处置服务工作。我方报价为：处置单价   元/吨，人民币（大写）    元（RMB：¥      元），税率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二、一旦本投标人中标，我方保证在合同签订后根据采购人要求及时完成铁桶收运处置工作。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三、我方同意所递交的报价文件在询价文件规定的有效期内有效，我方将受此约束。除非另外达成协议并生效，采购人的询价文件和我方的报价文件、承诺书将构成约束我们双方的合同。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jc w:val="center"/>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投标人（公章）：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法定代表人或授权代表（签字或盖章）：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日期：    年   月   日</w:t>
      </w:r>
    </w:p>
    <w:p>
      <w:pPr>
        <w:pStyle w:val="20"/>
        <w:rPr>
          <w:rFonts w:hint="default" w:ascii="仿宋" w:hAnsi="仿宋" w:eastAsia="仿宋" w:cs="仿宋"/>
          <w:b/>
          <w:caps/>
          <w:color w:val="auto"/>
          <w:kern w:val="2"/>
          <w:sz w:val="30"/>
          <w:szCs w:val="30"/>
          <w:lang w:val="en-US" w:eastAsia="zh-CN" w:bidi="ar-SA"/>
        </w:rPr>
      </w:pPr>
    </w:p>
    <w:p>
      <w:pPr>
        <w:pStyle w:val="20"/>
        <w:rPr>
          <w:rFonts w:hint="default" w:ascii="仿宋" w:hAnsi="仿宋" w:eastAsia="仿宋" w:cs="仿宋"/>
          <w:b/>
          <w:caps/>
          <w:color w:val="auto"/>
          <w:kern w:val="2"/>
          <w:sz w:val="30"/>
          <w:szCs w:val="30"/>
          <w:lang w:val="en-US" w:eastAsia="zh-CN" w:bidi="ar-SA"/>
        </w:rPr>
      </w:pPr>
    </w:p>
    <w:p>
      <w:pPr>
        <w:pStyle w:val="6"/>
        <w:spacing w:line="360" w:lineRule="auto"/>
        <w:jc w:val="center"/>
        <w:rPr>
          <w:rFonts w:hint="eastAsia" w:ascii="Times New Roman" w:hAnsi="Times New Roman"/>
          <w:b/>
          <w:sz w:val="44"/>
          <w:lang w:val="en-US" w:eastAsia="zh-CN"/>
        </w:rPr>
      </w:pPr>
    </w:p>
    <w:p>
      <w:pPr>
        <w:pStyle w:val="20"/>
        <w:rPr>
          <w:rFonts w:hint="default" w:ascii="仿宋" w:hAnsi="仿宋" w:eastAsia="仿宋" w:cs="仿宋"/>
          <w:b/>
          <w:caps/>
          <w:color w:val="auto"/>
          <w:kern w:val="2"/>
          <w:sz w:val="30"/>
          <w:szCs w:val="30"/>
          <w:lang w:val="en-US" w:eastAsia="zh-CN" w:bidi="ar-SA"/>
        </w:rPr>
      </w:pPr>
    </w:p>
    <w:p>
      <w:pPr>
        <w:pStyle w:val="20"/>
        <w:rPr>
          <w:rFonts w:hint="default" w:ascii="仿宋" w:hAnsi="仿宋" w:eastAsia="仿宋" w:cs="仿宋"/>
          <w:b/>
          <w:caps/>
          <w:color w:val="auto"/>
          <w:kern w:val="2"/>
          <w:sz w:val="30"/>
          <w:szCs w:val="30"/>
          <w:lang w:val="en-US" w:eastAsia="zh-CN" w:bidi="ar-SA"/>
        </w:rPr>
      </w:pPr>
    </w:p>
    <w:p>
      <w:pPr>
        <w:pStyle w:val="20"/>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8" w:name="_Toc413938876"/>
      <w:bookmarkStart w:id="9" w:name="_Toc413966573"/>
      <w:bookmarkStart w:id="10" w:name="_Toc413943311"/>
      <w:bookmarkStart w:id="11" w:name="_Toc355877114"/>
      <w:bookmarkStart w:id="12" w:name="_Toc414541440"/>
      <w:bookmarkStart w:id="13" w:name="_Toc413939394"/>
      <w:r>
        <w:rPr>
          <w:sz w:val="30"/>
          <w:szCs w:val="30"/>
        </w:rPr>
        <w:t>投标人基本情况表</w:t>
      </w:r>
      <w:bookmarkEnd w:id="8"/>
      <w:bookmarkEnd w:id="9"/>
      <w:bookmarkEnd w:id="10"/>
      <w:bookmarkEnd w:id="11"/>
      <w:bookmarkEnd w:id="12"/>
      <w:bookmarkEnd w:id="13"/>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759"/>
        <w:gridCol w:w="1082"/>
        <w:gridCol w:w="152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5"/>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5"/>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5"/>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noWrap w:val="0"/>
            <w:vAlign w:val="center"/>
          </w:tcPr>
          <w:p>
            <w:pPr>
              <w:jc w:val="center"/>
              <w:rPr>
                <w:szCs w:val="21"/>
              </w:rPr>
            </w:pPr>
            <w:r>
              <w:rPr>
                <w:szCs w:val="21"/>
              </w:rPr>
              <w:t>电话</w:t>
            </w:r>
          </w:p>
        </w:tc>
        <w:tc>
          <w:tcPr>
            <w:tcW w:w="3922" w:type="dxa"/>
            <w:gridSpan w:val="3"/>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noWrap w:val="0"/>
            <w:vAlign w:val="center"/>
          </w:tcPr>
          <w:p>
            <w:pPr>
              <w:jc w:val="center"/>
              <w:rPr>
                <w:szCs w:val="21"/>
              </w:rPr>
            </w:pPr>
            <w:r>
              <w:rPr>
                <w:szCs w:val="21"/>
              </w:rPr>
              <w:t>传真</w:t>
            </w:r>
          </w:p>
        </w:tc>
        <w:tc>
          <w:tcPr>
            <w:tcW w:w="3922" w:type="dxa"/>
            <w:gridSpan w:val="3"/>
            <w:noWrap w:val="0"/>
            <w:vAlign w:val="center"/>
          </w:tcPr>
          <w:p>
            <w:pPr>
              <w:jc w:val="center"/>
              <w:rPr>
                <w:szCs w:val="21"/>
              </w:rPr>
            </w:pPr>
          </w:p>
        </w:tc>
      </w:tr>
    </w:tbl>
    <w:p>
      <w:pPr>
        <w:spacing w:line="360" w:lineRule="exact"/>
        <w:rPr>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522" w:type="dxa"/>
            <w:gridSpan w:val="5"/>
            <w:noWrap w:val="0"/>
            <w:vAlign w:val="top"/>
          </w:tcPr>
          <w:p>
            <w:pPr>
              <w:pStyle w:val="11"/>
              <w:ind w:firstLine="0"/>
              <w:rPr>
                <w:rFonts w:ascii="Times New Roman" w:hAnsi="Times New Roman"/>
                <w:sz w:val="21"/>
                <w:szCs w:val="21"/>
              </w:rPr>
            </w:pPr>
            <w:r>
              <w:rPr>
                <w:rFonts w:ascii="Times New Roman" w:hAnsi="Times New Roman"/>
                <w:sz w:val="21"/>
                <w:szCs w:val="21"/>
              </w:rPr>
              <w:t>投标单位简介：（可另附页说明）</w:t>
            </w:r>
          </w:p>
          <w:p>
            <w:pPr>
              <w:pStyle w:val="11"/>
              <w:ind w:firstLine="0"/>
              <w:rPr>
                <w:rFonts w:ascii="Times New Roman" w:hAnsi="Times New Roman"/>
                <w:sz w:val="21"/>
                <w:szCs w:val="21"/>
              </w:rPr>
            </w:pPr>
          </w:p>
          <w:p>
            <w:pPr>
              <w:pStyle w:val="11"/>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1"/>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1"/>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1"/>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1"/>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1"/>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1"/>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1"/>
              <w:rPr>
                <w:rFonts w:ascii="Times New Roman" w:hAnsi="Times New Roman"/>
                <w:sz w:val="21"/>
                <w:szCs w:val="21"/>
              </w:rPr>
            </w:pPr>
          </w:p>
        </w:tc>
        <w:tc>
          <w:tcPr>
            <w:tcW w:w="3433" w:type="dxa"/>
            <w:noWrap w:val="0"/>
            <w:vAlign w:val="top"/>
          </w:tcPr>
          <w:p>
            <w:pPr>
              <w:pStyle w:val="11"/>
              <w:rPr>
                <w:rFonts w:ascii="Times New Roman" w:hAnsi="Times New Roman"/>
                <w:sz w:val="21"/>
                <w:szCs w:val="21"/>
              </w:rPr>
            </w:pPr>
          </w:p>
        </w:tc>
        <w:tc>
          <w:tcPr>
            <w:tcW w:w="1559" w:type="dxa"/>
            <w:noWrap w:val="0"/>
            <w:vAlign w:val="top"/>
          </w:tcPr>
          <w:p>
            <w:pPr>
              <w:pStyle w:val="11"/>
              <w:rPr>
                <w:rFonts w:ascii="Times New Roman" w:hAnsi="Times New Roman"/>
                <w:sz w:val="21"/>
                <w:szCs w:val="21"/>
              </w:rPr>
            </w:pPr>
          </w:p>
        </w:tc>
        <w:tc>
          <w:tcPr>
            <w:tcW w:w="1392" w:type="dxa"/>
            <w:noWrap w:val="0"/>
            <w:vAlign w:val="top"/>
          </w:tcPr>
          <w:p>
            <w:pPr>
              <w:pStyle w:val="11"/>
              <w:rPr>
                <w:rFonts w:ascii="Times New Roman" w:hAnsi="Times New Roman"/>
                <w:sz w:val="21"/>
                <w:szCs w:val="21"/>
              </w:rPr>
            </w:pPr>
          </w:p>
        </w:tc>
        <w:tc>
          <w:tcPr>
            <w:tcW w:w="1210" w:type="dxa"/>
            <w:noWrap w:val="0"/>
            <w:vAlign w:val="top"/>
          </w:tcPr>
          <w:p>
            <w:pPr>
              <w:pStyle w:val="11"/>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1"/>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rPr>
                <w:rFonts w:ascii="Times New Roman" w:hAnsi="Times New Roman"/>
                <w:szCs w:val="24"/>
              </w:rPr>
            </w:pPr>
          </w:p>
        </w:tc>
        <w:tc>
          <w:tcPr>
            <w:tcW w:w="1210" w:type="dxa"/>
            <w:noWrap w:val="0"/>
            <w:vAlign w:val="top"/>
          </w:tcPr>
          <w:p>
            <w:pPr>
              <w:pStyle w:val="11"/>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rPr>
                <w:rFonts w:ascii="Times New Roman" w:hAnsi="Times New Roman"/>
                <w:szCs w:val="24"/>
              </w:rPr>
            </w:pPr>
          </w:p>
        </w:tc>
        <w:tc>
          <w:tcPr>
            <w:tcW w:w="1210" w:type="dxa"/>
            <w:noWrap w:val="0"/>
            <w:vAlign w:val="top"/>
          </w:tcPr>
          <w:p>
            <w:pPr>
              <w:pStyle w:val="11"/>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rPr>
                <w:rFonts w:ascii="Times New Roman" w:hAnsi="Times New Roman"/>
                <w:szCs w:val="24"/>
              </w:rPr>
            </w:pPr>
          </w:p>
        </w:tc>
        <w:tc>
          <w:tcPr>
            <w:tcW w:w="1210" w:type="dxa"/>
            <w:noWrap w:val="0"/>
            <w:vAlign w:val="top"/>
          </w:tcPr>
          <w:p>
            <w:pPr>
              <w:pStyle w:val="11"/>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1"/>
              <w:rPr>
                <w:rFonts w:ascii="Times New Roman" w:hAnsi="Times New Roman"/>
                <w:szCs w:val="24"/>
              </w:rPr>
            </w:pPr>
          </w:p>
        </w:tc>
        <w:tc>
          <w:tcPr>
            <w:tcW w:w="3433" w:type="dxa"/>
            <w:noWrap w:val="0"/>
            <w:vAlign w:val="top"/>
          </w:tcPr>
          <w:p>
            <w:pPr>
              <w:pStyle w:val="11"/>
              <w:rPr>
                <w:rFonts w:ascii="Times New Roman" w:hAnsi="Times New Roman"/>
                <w:szCs w:val="24"/>
              </w:rPr>
            </w:pPr>
          </w:p>
        </w:tc>
        <w:tc>
          <w:tcPr>
            <w:tcW w:w="1559" w:type="dxa"/>
            <w:noWrap w:val="0"/>
            <w:vAlign w:val="top"/>
          </w:tcPr>
          <w:p>
            <w:pPr>
              <w:pStyle w:val="11"/>
              <w:rPr>
                <w:rFonts w:ascii="Times New Roman" w:hAnsi="Times New Roman"/>
                <w:szCs w:val="24"/>
              </w:rPr>
            </w:pPr>
          </w:p>
        </w:tc>
        <w:tc>
          <w:tcPr>
            <w:tcW w:w="1392" w:type="dxa"/>
            <w:noWrap w:val="0"/>
            <w:vAlign w:val="top"/>
          </w:tcPr>
          <w:p>
            <w:pPr>
              <w:pStyle w:val="11"/>
              <w:rPr>
                <w:rFonts w:ascii="Times New Roman" w:hAnsi="Times New Roman"/>
                <w:szCs w:val="24"/>
              </w:rPr>
            </w:pPr>
          </w:p>
        </w:tc>
        <w:tc>
          <w:tcPr>
            <w:tcW w:w="1210" w:type="dxa"/>
            <w:noWrap w:val="0"/>
            <w:vAlign w:val="top"/>
          </w:tcPr>
          <w:p>
            <w:pPr>
              <w:pStyle w:val="11"/>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1"/>
        <w:ind w:firstLine="0" w:firstLineChars="0"/>
        <w:rPr>
          <w:rFonts w:ascii="Times New Roman"/>
        </w:rPr>
      </w:pPr>
      <w:r>
        <w:rPr>
          <w:rFonts w:ascii="Times New Roman"/>
        </w:rPr>
        <w:t>投标人（盖公章）：</w:t>
      </w:r>
    </w:p>
    <w:p>
      <w:pPr>
        <w:pStyle w:val="21"/>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pStyle w:val="9"/>
        <w:rPr>
          <w:sz w:val="24"/>
        </w:rPr>
      </w:pPr>
    </w:p>
    <w:p>
      <w:pPr>
        <w:rPr>
          <w:sz w:val="24"/>
        </w:rPr>
      </w:pPr>
    </w:p>
    <w:p>
      <w:pPr>
        <w:snapToGrid w:val="0"/>
        <w:jc w:val="both"/>
        <w:rPr>
          <w:rFonts w:ascii="仿宋_GB2312" w:eastAsia="仿宋_GB2312"/>
          <w:sz w:val="24"/>
          <w:szCs w:val="24"/>
        </w:rPr>
        <w:sectPr>
          <w:footerReference r:id="rId4" w:type="default"/>
          <w:pgSz w:w="11906" w:h="16838"/>
          <w:pgMar w:top="1701" w:right="1417" w:bottom="1134" w:left="1417" w:header="851" w:footer="992" w:gutter="0"/>
          <w:cols w:space="0" w:num="1"/>
          <w:titlePg/>
          <w:rtlGutter w:val="0"/>
          <w:docGrid w:linePitch="312" w:charSpace="0"/>
        </w:sectPr>
      </w:pPr>
    </w:p>
    <w:p>
      <w:pPr>
        <w:pStyle w:val="20"/>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20"/>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9"/>
        <w:rPr>
          <w:rFonts w:hint="eastAsia" w:ascii="仿宋_GB2312" w:hAnsi="宋体" w:eastAsia="仿宋_GB2312"/>
          <w:b/>
          <w:kern w:val="0"/>
          <w:sz w:val="24"/>
        </w:rPr>
      </w:pPr>
    </w:p>
    <w:p>
      <w:pPr>
        <w:rPr>
          <w:rFonts w:hint="eastAsia"/>
        </w:rPr>
      </w:pPr>
    </w:p>
    <w:p>
      <w:pPr>
        <w:pStyle w:val="20"/>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rPr>
          <w:rFonts w:hint="eastAsia"/>
        </w:rPr>
      </w:pPr>
    </w:p>
    <w:p>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2023年临江公司三固事业部铁桶委外处置</w:t>
      </w:r>
      <w:r>
        <w:rPr>
          <w:rFonts w:hint="eastAsia" w:ascii="黑体" w:hAnsi="黑体" w:eastAsia="黑体" w:cs="宋体"/>
          <w:color w:val="000000"/>
          <w:kern w:val="0"/>
          <w:sz w:val="32"/>
          <w:szCs w:val="32"/>
        </w:rPr>
        <w:t>合同</w:t>
      </w:r>
    </w:p>
    <w:p>
      <w:pPr>
        <w:spacing w:line="400" w:lineRule="exact"/>
        <w:ind w:firstLine="480"/>
        <w:rPr>
          <w:rFonts w:hint="eastAsia" w:ascii="宋体" w:hAnsi="宋体" w:cs="宋体"/>
          <w:bCs/>
          <w:kern w:val="0"/>
          <w:szCs w:val="21"/>
        </w:rPr>
      </w:pPr>
    </w:p>
    <w:p>
      <w:pPr>
        <w:spacing w:line="400" w:lineRule="exact"/>
        <w:ind w:firstLine="480"/>
        <w:rPr>
          <w:rFonts w:ascii="宋体" w:hAnsi="宋体" w:cs="宋体"/>
          <w:kern w:val="0"/>
          <w:szCs w:val="21"/>
        </w:rPr>
      </w:pPr>
      <w:r>
        <w:rPr>
          <w:rFonts w:hint="eastAsia" w:ascii="宋体" w:hAnsi="宋体" w:cs="宋体"/>
          <w:bCs/>
          <w:kern w:val="0"/>
          <w:szCs w:val="21"/>
        </w:rPr>
        <w:t>委托方：</w:t>
      </w:r>
      <w:r>
        <w:rPr>
          <w:rFonts w:hint="eastAsia" w:ascii="宋体" w:hAnsi="宋体" w:cs="宋体"/>
          <w:szCs w:val="21"/>
        </w:rPr>
        <w:t>杭州临江环境能源有限公司(</w:t>
      </w:r>
      <w:r>
        <w:rPr>
          <w:rFonts w:hint="eastAsia" w:ascii="宋体" w:hAnsi="宋体" w:cs="宋体"/>
          <w:bCs/>
          <w:kern w:val="0"/>
          <w:szCs w:val="21"/>
        </w:rPr>
        <w:t>以下简称“甲方”)</w:t>
      </w:r>
    </w:p>
    <w:p>
      <w:pPr>
        <w:spacing w:line="400" w:lineRule="exact"/>
        <w:ind w:firstLine="480"/>
        <w:rPr>
          <w:rFonts w:ascii="宋体" w:hAnsi="宋体" w:cs="宋体"/>
          <w:szCs w:val="21"/>
        </w:rPr>
      </w:pPr>
      <w:r>
        <w:rPr>
          <w:rFonts w:hint="eastAsia" w:ascii="宋体" w:hAnsi="宋体" w:cs="宋体"/>
          <w:szCs w:val="21"/>
        </w:rPr>
        <w:t>地址：</w:t>
      </w:r>
    </w:p>
    <w:p>
      <w:pPr>
        <w:spacing w:line="400" w:lineRule="exact"/>
        <w:ind w:firstLine="480"/>
        <w:rPr>
          <w:rFonts w:ascii="宋体" w:hAnsi="宋体" w:cs="宋体"/>
          <w:szCs w:val="21"/>
        </w:rPr>
      </w:pPr>
      <w:r>
        <w:rPr>
          <w:rFonts w:hint="eastAsia" w:ascii="宋体" w:hAnsi="宋体" w:cs="宋体"/>
          <w:szCs w:val="21"/>
        </w:rPr>
        <w:t>受托方：                        (</w:t>
      </w:r>
      <w:r>
        <w:rPr>
          <w:rFonts w:hint="eastAsia" w:ascii="宋体" w:hAnsi="宋体" w:cs="宋体"/>
          <w:bCs/>
          <w:kern w:val="0"/>
          <w:szCs w:val="21"/>
        </w:rPr>
        <w:t>以下简称“乙方”)</w:t>
      </w:r>
    </w:p>
    <w:p>
      <w:pPr>
        <w:spacing w:line="400" w:lineRule="exact"/>
        <w:ind w:firstLine="480"/>
        <w:rPr>
          <w:rFonts w:ascii="宋体" w:hAnsi="宋体" w:cs="宋体"/>
          <w:szCs w:val="21"/>
        </w:rPr>
      </w:pPr>
      <w:r>
        <w:rPr>
          <w:rFonts w:hint="eastAsia" w:ascii="宋体" w:hAnsi="宋体" w:cs="宋体"/>
          <w:szCs w:val="21"/>
        </w:rPr>
        <w:t>地址：</w:t>
      </w:r>
    </w:p>
    <w:p>
      <w:pPr>
        <w:tabs>
          <w:tab w:val="left" w:pos="720"/>
        </w:tabs>
        <w:spacing w:line="400" w:lineRule="exact"/>
        <w:ind w:firstLine="480"/>
        <w:rPr>
          <w:rFonts w:ascii="宋体" w:hAnsi="宋体" w:cs="宋体"/>
          <w:szCs w:val="21"/>
        </w:rPr>
      </w:pPr>
      <w:r>
        <w:rPr>
          <w:rFonts w:hint="eastAsia" w:ascii="宋体" w:hAnsi="宋体" w:cs="宋体"/>
          <w:szCs w:val="21"/>
        </w:rPr>
        <w:t>为执行《中华人民共和国环境保护法》、《中华人民共和国固体废物污染环境防治法》以及《杭州市有害固体废物管理暂行办法》有关规定，甲方在生产过程中形成的铁桶类危险废物 ，不得随意排放、弃置或者转移，应当依法集中处理。根据《中华人民共和国合同法》的有关规定，遵循平等、自愿、公平和诚实信用的原则，甲、乙双方经协商一致，就甲方生产过程中产生的铁桶类危险废物委托乙方负责处置事宜达成协议如下，以兹共同遵守：</w:t>
      </w:r>
    </w:p>
    <w:p>
      <w:pPr>
        <w:tabs>
          <w:tab w:val="left" w:pos="720"/>
        </w:tabs>
        <w:spacing w:line="400" w:lineRule="exact"/>
        <w:rPr>
          <w:rFonts w:ascii="宋体" w:hAnsi="宋体" w:cs="宋体"/>
          <w:color w:val="000000"/>
          <w:szCs w:val="21"/>
        </w:rPr>
      </w:pPr>
      <w:r>
        <w:rPr>
          <w:rFonts w:hint="eastAsia" w:ascii="宋体" w:hAnsi="宋体" w:cs="宋体"/>
          <w:b/>
          <w:szCs w:val="21"/>
        </w:rPr>
        <w:t>第一条 服务内容</w:t>
      </w:r>
    </w:p>
    <w:p>
      <w:pPr>
        <w:tabs>
          <w:tab w:val="left" w:pos="720"/>
        </w:tabs>
        <w:spacing w:line="400" w:lineRule="exact"/>
        <w:ind w:firstLine="315" w:firstLineChars="150"/>
        <w:rPr>
          <w:rFonts w:ascii="宋体" w:hAnsi="宋体" w:cs="宋体"/>
          <w:color w:val="000000"/>
          <w:szCs w:val="21"/>
        </w:rPr>
      </w:pPr>
      <w:r>
        <w:rPr>
          <w:rFonts w:hint="eastAsia" w:ascii="宋体" w:hAnsi="宋体" w:cs="宋体"/>
          <w:color w:val="000000"/>
          <w:szCs w:val="21"/>
        </w:rPr>
        <w:t>（一）甲方为合法的危险废物产生单位，委托乙方对危险废物（见合同附件）进行处置。</w:t>
      </w:r>
    </w:p>
    <w:p>
      <w:pPr>
        <w:tabs>
          <w:tab w:val="left" w:pos="720"/>
        </w:tabs>
        <w:spacing w:line="400" w:lineRule="exact"/>
        <w:ind w:firstLine="315" w:firstLineChars="150"/>
        <w:rPr>
          <w:rFonts w:ascii="宋体" w:hAnsi="宋体" w:cs="宋体"/>
          <w:color w:val="000000"/>
          <w:szCs w:val="21"/>
        </w:rPr>
      </w:pPr>
      <w:r>
        <w:rPr>
          <w:rFonts w:hint="eastAsia" w:ascii="宋体" w:hAnsi="宋体" w:cs="宋体"/>
          <w:color w:val="000000"/>
          <w:szCs w:val="21"/>
        </w:rPr>
        <w:t>（二）乙方是合法的危险废物处置公司，具备提供危险废物处置服务的能力。</w:t>
      </w:r>
    </w:p>
    <w:p>
      <w:pPr>
        <w:tabs>
          <w:tab w:val="left" w:pos="720"/>
        </w:tabs>
        <w:spacing w:line="400" w:lineRule="exact"/>
        <w:ind w:firstLine="315" w:firstLineChars="150"/>
        <w:rPr>
          <w:rFonts w:ascii="宋体" w:hAnsi="宋体" w:cs="宋体"/>
          <w:color w:val="000000"/>
          <w:szCs w:val="21"/>
        </w:rPr>
      </w:pPr>
      <w:r>
        <w:rPr>
          <w:rFonts w:hint="eastAsia" w:ascii="宋体" w:hAnsi="宋体" w:cs="宋体"/>
          <w:color w:val="000000"/>
          <w:szCs w:val="21"/>
        </w:rPr>
        <w:t>（三）乙方按国家有关危险废物的运输规定提供运输服务。</w:t>
      </w:r>
    </w:p>
    <w:p>
      <w:pPr>
        <w:spacing w:line="400" w:lineRule="exact"/>
        <w:rPr>
          <w:rFonts w:ascii="宋体" w:hAnsi="宋体" w:cs="宋体"/>
          <w:szCs w:val="21"/>
        </w:rPr>
      </w:pPr>
      <w:r>
        <w:rPr>
          <w:rFonts w:hint="eastAsia" w:ascii="宋体" w:hAnsi="宋体" w:cs="宋体"/>
          <w:b/>
          <w:szCs w:val="21"/>
        </w:rPr>
        <w:t>第二条 甲方合同义务</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（一）甲方应依法向所在地县级以上地方人民政府环境保护行政主管部门进行相关危险废物转移的申请和危险废物的种类、产生量、流向、贮存、处置等有关资料的申报，经批准后始得进行废物转移运输和处置。</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二）甲方有责任对在生产过程中产生的废物进行安全收集并分类暂存于乙方认可的封装容器内，并有责任根据国家有关规定，在废物的包装容器表面明显处张贴符合国家标准GB18597《危险废物贮存污染控制标准》的标签，标签上的废物名称应与本合同（合同附件）所约定的废物名称相一致。甲方的包装物、标签若不符合本合同要求，或废物标签名称与包装内废物不一致时，乙方有权拒绝接收甲方废物；如果废物成分与本合同第六条所约定的废物本质上是一致的，只是废物名称不一致，或者标签填写、张贴不规范，经乙方确认后，乙方可以接受该废物，但甲方有义务整改。</w:t>
      </w:r>
    </w:p>
    <w:p>
      <w:pPr>
        <w:spacing w:line="400" w:lineRule="exact"/>
        <w:ind w:firstLine="315" w:firstLineChars="150"/>
        <w:rPr>
          <w:rFonts w:ascii="宋体" w:hAnsi="宋体" w:cs="宋体"/>
          <w:color w:val="000000"/>
          <w:szCs w:val="21"/>
          <w:highlight w:val="none"/>
        </w:rPr>
      </w:pPr>
      <w:r>
        <w:rPr>
          <w:rFonts w:hint="eastAsia" w:ascii="宋体" w:hAnsi="宋体" w:cs="宋体"/>
          <w:color w:val="000000"/>
          <w:szCs w:val="21"/>
        </w:rPr>
        <w:t>（三）危废运输由乙方负责，甲方须提前【三】个工作日通知乙方具体的收运时间、地点及收运废物的具体数量等，</w:t>
      </w:r>
      <w:r>
        <w:rPr>
          <w:rFonts w:hint="eastAsia" w:ascii="宋体" w:hAnsi="宋体" w:cs="宋体"/>
          <w:color w:val="000000"/>
          <w:szCs w:val="21"/>
          <w:highlight w:val="none"/>
        </w:rPr>
        <w:t>乙方</w:t>
      </w:r>
      <w:r>
        <w:rPr>
          <w:rFonts w:ascii="宋体" w:hAnsi="宋体" w:cs="宋体"/>
          <w:color w:val="000000"/>
          <w:szCs w:val="21"/>
          <w:highlight w:val="none"/>
        </w:rPr>
        <w:t>在收到通知后的</w:t>
      </w:r>
      <w:r>
        <w:rPr>
          <w:rFonts w:hint="eastAsia" w:ascii="宋体" w:hAnsi="宋体" w:cs="宋体"/>
          <w:color w:val="000000"/>
          <w:szCs w:val="21"/>
          <w:highlight w:val="none"/>
          <w:lang w:val="en-US" w:eastAsia="zh-CN"/>
        </w:rPr>
        <w:t>三</w:t>
      </w:r>
      <w:r>
        <w:rPr>
          <w:rFonts w:hint="eastAsia" w:ascii="宋体" w:hAnsi="宋体" w:cs="宋体"/>
          <w:color w:val="000000"/>
          <w:szCs w:val="21"/>
          <w:highlight w:val="none"/>
        </w:rPr>
        <w:t>天</w:t>
      </w:r>
      <w:r>
        <w:rPr>
          <w:rFonts w:ascii="宋体" w:hAnsi="宋体" w:cs="宋体"/>
          <w:color w:val="000000"/>
          <w:szCs w:val="21"/>
          <w:highlight w:val="none"/>
        </w:rPr>
        <w:t>内无条件</w:t>
      </w:r>
      <w:r>
        <w:rPr>
          <w:rFonts w:hint="eastAsia" w:ascii="宋体" w:hAnsi="宋体" w:cs="宋体"/>
          <w:color w:val="000000"/>
          <w:szCs w:val="21"/>
          <w:highlight w:val="none"/>
        </w:rPr>
        <w:t>提供运输服务。</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（四）甲方应将待处理的铁桶类危险废物集中存储于特定安全区域，同时为乙方上门收运提供必要的条件，包括装车所需的提升机械（叉车等）、进场道路和作业场地，并负责将废物按乙方要求进行装车。</w:t>
      </w:r>
      <w:r>
        <w:rPr>
          <w:rFonts w:ascii="宋体" w:hAnsi="宋体" w:cs="宋体"/>
          <w:color w:val="000000"/>
          <w:szCs w:val="21"/>
        </w:rPr>
        <w:t xml:space="preserve"> </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（五）甲方</w:t>
      </w:r>
      <w:r>
        <w:rPr>
          <w:rFonts w:hint="eastAsia" w:ascii="宋体" w:hAnsi="宋体" w:cs="宋体"/>
          <w:b w:val="0"/>
          <w:bCs/>
          <w:color w:val="000000"/>
          <w:szCs w:val="21"/>
        </w:rPr>
        <w:t>应</w:t>
      </w:r>
      <w:r>
        <w:rPr>
          <w:rFonts w:hint="eastAsia" w:ascii="宋体" w:hAnsi="宋体" w:cs="宋体"/>
          <w:color w:val="000000"/>
          <w:szCs w:val="21"/>
        </w:rPr>
        <w:t>指定专人负责废物清运、装卸，核实废物种类、废物包装、废物计量等方面的现场协调及处置服务费用结算等事宜。</w:t>
      </w:r>
    </w:p>
    <w:p>
      <w:pPr>
        <w:spacing w:line="400" w:lineRule="exact"/>
        <w:rPr>
          <w:rFonts w:ascii="宋体" w:hAnsi="宋体" w:cs="宋体"/>
          <w:b/>
          <w:color w:val="000000"/>
          <w:szCs w:val="21"/>
        </w:rPr>
      </w:pPr>
      <w:r>
        <w:rPr>
          <w:rFonts w:hint="eastAsia" w:ascii="宋体" w:hAnsi="宋体" w:cs="宋体"/>
          <w:b/>
          <w:color w:val="000000"/>
          <w:szCs w:val="21"/>
        </w:rPr>
        <w:t>第三条 乙方合同义务：</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一）乙方应严格按照国家环境保护的规定和技术规范在自身经营许可范围内对甲方委托处置的危险废物进行安全处置，在运输和处置过程中，不产生对环境的二次污染，并按照国家有关规定承担处置中产生的相应责任。</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（二）乙方在合同的有效期内，应具备处理相应危险废物所需的资质、条件和设施，并保证所有的相关证件持续合法有效</w:t>
      </w:r>
      <w:r>
        <w:rPr>
          <w:rFonts w:hint="eastAsia" w:ascii="宋体" w:hAnsi="宋体" w:cs="宋体"/>
          <w:b/>
          <w:color w:val="000000"/>
          <w:szCs w:val="21"/>
        </w:rPr>
        <w:t>。</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（三）乙方提供运输服务时，按双方确认的计划定期到甲方收取铁桶类危险废物，不影响甲方正常生产、经营活动</w:t>
      </w:r>
      <w:r>
        <w:rPr>
          <w:rFonts w:hint="eastAsia" w:ascii="宋体" w:hAnsi="宋体" w:cs="宋体"/>
          <w:b/>
          <w:color w:val="000000"/>
          <w:szCs w:val="21"/>
        </w:rPr>
        <w:t>。</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（四）乙方须制定意外事故的防范措施及应急预案，应急预案应当包括紧急污染清除措施</w:t>
      </w:r>
      <w:r>
        <w:rPr>
          <w:rFonts w:hint="eastAsia" w:ascii="宋体" w:hAnsi="宋体" w:cs="宋体"/>
          <w:b/>
          <w:color w:val="000000"/>
          <w:szCs w:val="21"/>
        </w:rPr>
        <w:t>；</w:t>
      </w:r>
      <w:r>
        <w:rPr>
          <w:rFonts w:hint="eastAsia" w:ascii="宋体" w:hAnsi="宋体" w:cs="宋体"/>
          <w:color w:val="000000"/>
          <w:szCs w:val="21"/>
        </w:rPr>
        <w:t>在运输过程中发生突发事故时，应第一时间通知甲方，立即向事故发生地县级以上地方保护环境行政主管部门及危险废物批准转移机关报告，并按照应急预案实施采取应急处置措施</w:t>
      </w:r>
      <w:r>
        <w:rPr>
          <w:rFonts w:hint="eastAsia" w:ascii="宋体" w:hAnsi="宋体" w:cs="宋体"/>
          <w:b/>
          <w:color w:val="000000"/>
          <w:szCs w:val="21"/>
        </w:rPr>
        <w:t>。</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（五）乙方对其从业人员应做到严格要求，规范管理，并制定切实有效的工作制度，加强法律法规</w:t>
      </w:r>
      <w:r>
        <w:rPr>
          <w:rFonts w:hint="eastAsia" w:ascii="宋体" w:hAnsi="宋体" w:cs="宋体"/>
          <w:b/>
          <w:color w:val="000000"/>
          <w:szCs w:val="21"/>
        </w:rPr>
        <w:t>、</w:t>
      </w:r>
      <w:r>
        <w:rPr>
          <w:rFonts w:hint="eastAsia" w:ascii="宋体" w:hAnsi="宋体" w:cs="宋体"/>
          <w:color w:val="000000"/>
          <w:szCs w:val="21"/>
        </w:rPr>
        <w:t>专业技术</w:t>
      </w:r>
      <w:r>
        <w:rPr>
          <w:rFonts w:hint="eastAsia" w:ascii="宋体" w:hAnsi="宋体" w:cs="宋体"/>
          <w:b/>
          <w:color w:val="000000"/>
          <w:szCs w:val="21"/>
        </w:rPr>
        <w:t>、</w:t>
      </w:r>
      <w:r>
        <w:rPr>
          <w:rFonts w:hint="eastAsia" w:ascii="宋体" w:hAnsi="宋体" w:cs="宋体"/>
          <w:color w:val="000000"/>
          <w:szCs w:val="21"/>
        </w:rPr>
        <w:t>安全防护以及应急处理等知识培训，熟悉本岗位工作流程，做到规范收集危险废物，安全处置；乙方从业人员应在甲方厂区内文明作业，并遵守甲方的相关环境以及安全管理规定。</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（六）乙方</w:t>
      </w:r>
      <w:r>
        <w:rPr>
          <w:rFonts w:hint="eastAsia" w:ascii="宋体" w:hAnsi="宋体" w:cs="宋体"/>
          <w:b w:val="0"/>
          <w:bCs/>
          <w:color w:val="000000"/>
          <w:szCs w:val="21"/>
        </w:rPr>
        <w:t>应</w:t>
      </w:r>
      <w:r>
        <w:rPr>
          <w:rFonts w:hint="eastAsia" w:ascii="宋体" w:hAnsi="宋体" w:cs="宋体"/>
          <w:color w:val="000000"/>
          <w:szCs w:val="21"/>
        </w:rPr>
        <w:t>指定专人负责该废物转移、处置、结算、报送资料、协助甲方的处置核查等事宜。</w:t>
      </w:r>
    </w:p>
    <w:p>
      <w:pPr>
        <w:spacing w:line="400" w:lineRule="exact"/>
        <w:rPr>
          <w:rFonts w:ascii="宋体" w:hAnsi="宋体" w:cs="宋体"/>
          <w:b/>
          <w:color w:val="000000"/>
          <w:szCs w:val="21"/>
        </w:rPr>
      </w:pPr>
      <w:r>
        <w:rPr>
          <w:rFonts w:hint="eastAsia" w:ascii="宋体" w:hAnsi="宋体" w:cs="宋体"/>
          <w:b/>
          <w:color w:val="000000"/>
          <w:szCs w:val="21"/>
        </w:rPr>
        <w:t>第四条  铁桶类危险废物的计量及联单管理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（一）铁桶类危险废物的计重：在</w:t>
      </w:r>
      <w:r>
        <w:rPr>
          <w:rFonts w:hint="eastAsia" w:ascii="宋体" w:hAnsi="宋体" w:cs="宋体"/>
          <w:color w:val="000000"/>
          <w:szCs w:val="21"/>
          <w:u w:val="single"/>
        </w:rPr>
        <w:t xml:space="preserve">     </w:t>
      </w:r>
      <w:r>
        <w:rPr>
          <w:rFonts w:hint="eastAsia" w:ascii="宋体" w:hAnsi="宋体" w:cs="宋体"/>
          <w:color w:val="000000"/>
          <w:szCs w:val="21"/>
        </w:rPr>
        <w:t>现场过磅（秤），由双方签字确认</w:t>
      </w:r>
      <w:r>
        <w:rPr>
          <w:rFonts w:hint="eastAsia" w:ascii="宋体" w:hAnsi="宋体" w:cs="宋体"/>
          <w:bCs/>
          <w:color w:val="000000"/>
          <w:szCs w:val="21"/>
        </w:rPr>
        <w:t>。若发生争议，双方协商解决。</w:t>
      </w:r>
    </w:p>
    <w:p>
      <w:pPr>
        <w:spacing w:line="400" w:lineRule="exact"/>
        <w:ind w:firstLine="315" w:firstLineChars="150"/>
        <w:rPr>
          <w:rFonts w:ascii="宋体" w:hAnsi="宋体" w:cs="宋体"/>
          <w:b/>
          <w:color w:val="000000"/>
          <w:szCs w:val="21"/>
        </w:rPr>
      </w:pPr>
      <w:r>
        <w:rPr>
          <w:rFonts w:hint="eastAsia" w:ascii="宋体" w:hAnsi="宋体" w:cs="宋体"/>
          <w:color w:val="000000"/>
          <w:szCs w:val="21"/>
        </w:rPr>
        <w:t>（二）铁桶类危险废物的联单管理</w:t>
      </w:r>
      <w:r>
        <w:rPr>
          <w:rFonts w:hint="eastAsia" w:ascii="宋体" w:hAnsi="宋体" w:cs="宋体"/>
          <w:b/>
          <w:color w:val="000000"/>
          <w:szCs w:val="21"/>
        </w:rPr>
        <w:t>：</w:t>
      </w:r>
      <w:r>
        <w:rPr>
          <w:rFonts w:hint="eastAsia" w:ascii="宋体" w:hAnsi="宋体" w:cs="宋体"/>
          <w:color w:val="000000"/>
          <w:szCs w:val="21"/>
        </w:rPr>
        <w:t>甲、乙双方交接铁桶类危险废物时，必须按当地环保部门相关要求认真填写《危险废物转移联单》内的各项内容。《危险废物转移联单》是作为合同双方核对铁桶类危险废物种类、数量以及收费的凭证。</w:t>
      </w:r>
    </w:p>
    <w:p>
      <w:pPr>
        <w:spacing w:line="400" w:lineRule="exact"/>
        <w:rPr>
          <w:rFonts w:ascii="宋体" w:hAnsi="宋体" w:cs="宋体"/>
          <w:b/>
          <w:color w:val="000000"/>
          <w:szCs w:val="21"/>
        </w:rPr>
      </w:pPr>
      <w:r>
        <w:rPr>
          <w:rFonts w:hint="eastAsia" w:ascii="宋体" w:hAnsi="宋体" w:cs="宋体"/>
          <w:b/>
          <w:color w:val="000000"/>
          <w:szCs w:val="21"/>
        </w:rPr>
        <w:t>第五条  危险废物的运输和责任承担</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（一）本合同项下危险废物的转移必须严格按照《危险废物转移联单》的相关要求进行，须委托有资质的运输单位承运。</w:t>
      </w:r>
    </w:p>
    <w:p>
      <w:pPr>
        <w:spacing w:line="400" w:lineRule="exact"/>
        <w:ind w:firstLine="315" w:firstLineChars="150"/>
        <w:rPr>
          <w:rFonts w:ascii="宋体" w:hAnsi="宋体" w:cs="宋体"/>
          <w:b/>
          <w:color w:val="000000"/>
          <w:szCs w:val="21"/>
        </w:rPr>
      </w:pPr>
      <w:r>
        <w:rPr>
          <w:rFonts w:hint="eastAsia" w:ascii="宋体" w:hAnsi="宋体" w:cs="宋体"/>
          <w:color w:val="000000"/>
          <w:szCs w:val="21"/>
        </w:rPr>
        <w:t>（二）乙方负责提供有资质的危险废物运输车辆到甲方收运危险废物，运输费由乙方承担，且须制定意外事故的防范措施及和应急预案，应急预案应当包括紧急污染清除措施</w:t>
      </w:r>
      <w:r>
        <w:rPr>
          <w:rFonts w:hint="eastAsia" w:ascii="宋体" w:hAnsi="宋体" w:cs="宋体"/>
          <w:b/>
          <w:color w:val="000000"/>
          <w:szCs w:val="21"/>
        </w:rPr>
        <w:t>；</w:t>
      </w:r>
      <w:r>
        <w:rPr>
          <w:rFonts w:hint="eastAsia" w:ascii="宋体" w:hAnsi="宋体" w:cs="宋体"/>
          <w:color w:val="000000"/>
          <w:szCs w:val="21"/>
        </w:rPr>
        <w:t>在运输过程中发生突发事故时，应第一时间通知甲方，并立即向事故发生地县级以上地方保护环境行政主管部门及危险废物批准转移机关报告，按照应急预案实施采取应急处置措施。</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（三）危险废物甲方交由乙方签收之后，责任由乙方自行承担；当乙方派遣的运输车辆到甲方装运完危险废物驶离甲方公司大门后，视为乙方签收。</w:t>
      </w:r>
    </w:p>
    <w:p>
      <w:pPr>
        <w:spacing w:line="400" w:lineRule="exact"/>
        <w:rPr>
          <w:rFonts w:ascii="宋体" w:hAnsi="宋体" w:cs="宋体"/>
          <w:b/>
          <w:color w:val="000000"/>
          <w:szCs w:val="21"/>
        </w:rPr>
      </w:pPr>
      <w:r>
        <w:rPr>
          <w:rFonts w:hint="eastAsia" w:ascii="宋体" w:hAnsi="宋体" w:cs="宋体"/>
          <w:b/>
          <w:color w:val="000000"/>
          <w:szCs w:val="21"/>
        </w:rPr>
        <w:t>第六条  合同费用的结算</w:t>
      </w:r>
    </w:p>
    <w:p>
      <w:pPr>
        <w:pStyle w:val="6"/>
        <w:adjustRightInd w:val="0"/>
        <w:snapToGrid w:val="0"/>
        <w:spacing w:line="360" w:lineRule="auto"/>
        <w:ind w:firstLine="420" w:firstLineChars="200"/>
        <w:rPr>
          <w:rFonts w:hint="eastAsia" w:ascii="Arial" w:hAnsi="Arial" w:cs="Arial"/>
        </w:rPr>
      </w:pPr>
      <w:r>
        <w:rPr>
          <w:rFonts w:hint="eastAsia" w:ascii="Arial" w:hAnsi="Arial" w:cs="Arial"/>
        </w:rPr>
        <w:t>（一）履约保证</w:t>
      </w:r>
      <w:r>
        <w:rPr>
          <w:rFonts w:ascii="Arial" w:hAnsi="Arial" w:cs="Arial"/>
        </w:rPr>
        <w:t>金</w:t>
      </w:r>
    </w:p>
    <w:p>
      <w:pPr>
        <w:pStyle w:val="6"/>
        <w:adjustRightInd w:val="0"/>
        <w:snapToGrid w:val="0"/>
        <w:spacing w:line="360" w:lineRule="auto"/>
        <w:ind w:firstLine="420" w:firstLineChars="200"/>
        <w:rPr>
          <w:rFonts w:hint="default" w:ascii="Arial" w:hAnsi="Arial" w:eastAsia="宋体" w:cs="Arial"/>
          <w:b/>
          <w:u w:val="single"/>
          <w:lang w:val="en-US" w:eastAsia="zh-CN"/>
        </w:rPr>
      </w:pPr>
      <w:r>
        <w:rPr>
          <w:rFonts w:ascii="Arial" w:hAnsi="Arial" w:cs="Arial"/>
        </w:rPr>
        <w:t>履约保证金金额：</w:t>
      </w:r>
      <w:r>
        <w:rPr>
          <w:rFonts w:hint="eastAsia" w:ascii="Arial" w:hAnsi="Arial" w:cs="Arial"/>
          <w:u w:val="single"/>
          <w:lang w:val="en-US" w:eastAsia="zh-CN"/>
        </w:rPr>
        <w:t>中标价的5%</w:t>
      </w:r>
    </w:p>
    <w:p>
      <w:pPr>
        <w:pStyle w:val="6"/>
        <w:adjustRightInd w:val="0"/>
        <w:snapToGrid w:val="0"/>
        <w:spacing w:line="360" w:lineRule="auto"/>
        <w:ind w:firstLine="420" w:firstLineChars="200"/>
        <w:rPr>
          <w:rFonts w:ascii="Arial" w:hAnsi="Arial" w:cs="Arial"/>
        </w:rPr>
      </w:pPr>
      <w:r>
        <w:rPr>
          <w:rFonts w:ascii="Arial" w:hAnsi="Arial" w:cs="Arial"/>
        </w:rPr>
        <w:t>履约保证金提交时间：在</w:t>
      </w:r>
      <w:r>
        <w:rPr>
          <w:rFonts w:hint="eastAsia" w:ascii="Arial" w:hAnsi="Arial" w:cs="Arial"/>
          <w:szCs w:val="22"/>
        </w:rPr>
        <w:t>签订合同的同时</w:t>
      </w:r>
      <w:r>
        <w:rPr>
          <w:rFonts w:ascii="Arial" w:hAnsi="Arial" w:cs="Arial"/>
        </w:rPr>
        <w:t>提交。</w:t>
      </w:r>
    </w:p>
    <w:p>
      <w:pPr>
        <w:pStyle w:val="6"/>
        <w:adjustRightInd w:val="0"/>
        <w:snapToGrid w:val="0"/>
        <w:spacing w:line="360" w:lineRule="auto"/>
        <w:ind w:firstLine="420" w:firstLineChars="200"/>
        <w:rPr>
          <w:rFonts w:ascii="Arial" w:hAnsi="Arial" w:cs="Arial"/>
        </w:rPr>
      </w:pPr>
      <w:r>
        <w:rPr>
          <w:rFonts w:ascii="Arial" w:hAnsi="Arial" w:cs="Arial"/>
        </w:rPr>
        <w:t>履约保证金的形式为：电汇。</w:t>
      </w:r>
    </w:p>
    <w:p>
      <w:pPr>
        <w:pStyle w:val="6"/>
        <w:adjustRightInd w:val="0"/>
        <w:snapToGrid w:val="0"/>
        <w:spacing w:line="360" w:lineRule="auto"/>
        <w:ind w:firstLine="420" w:firstLineChars="200"/>
        <w:rPr>
          <w:rFonts w:ascii="Arial" w:hAnsi="Arial" w:cs="Arial"/>
        </w:rPr>
      </w:pPr>
      <w:r>
        <w:rPr>
          <w:rFonts w:ascii="Arial" w:hAnsi="Arial" w:cs="Arial"/>
        </w:rPr>
        <w:t>有效期：至合同终止。</w:t>
      </w:r>
    </w:p>
    <w:p>
      <w:pPr>
        <w:pStyle w:val="5"/>
        <w:ind w:firstLine="420" w:firstLineChars="200"/>
        <w:rPr>
          <w:rFonts w:hint="eastAsia"/>
        </w:rPr>
      </w:pPr>
      <w:r>
        <w:rPr>
          <w:rFonts w:ascii="Arial" w:hAnsi="Arial" w:cs="Arial"/>
        </w:rPr>
        <w:t>履约保证金的的退还：在合同终止</w:t>
      </w:r>
      <w:r>
        <w:rPr>
          <w:rFonts w:ascii="Arial" w:hAnsi="Arial" w:cs="Arial"/>
          <w:szCs w:val="24"/>
        </w:rPr>
        <w:t>后30天内，双方不存在争议，扣除需支付的违约金后，余额退还（无息）。</w:t>
      </w:r>
    </w:p>
    <w:p>
      <w:pPr>
        <w:spacing w:line="400" w:lineRule="exact"/>
        <w:ind w:firstLine="316" w:firstLineChars="150"/>
        <w:rPr>
          <w:rFonts w:ascii="宋体" w:hAnsi="宋体" w:cs="宋体"/>
          <w:bCs/>
          <w:color w:val="000000"/>
          <w:szCs w:val="21"/>
        </w:rPr>
      </w:pPr>
      <w:r>
        <w:rPr>
          <w:rFonts w:hint="eastAsia" w:ascii="宋体" w:hAnsi="宋体" w:cs="宋体"/>
          <w:b/>
          <w:bCs/>
          <w:color w:val="000000"/>
          <w:szCs w:val="21"/>
        </w:rPr>
        <w:t>（二）</w:t>
      </w:r>
      <w:r>
        <w:rPr>
          <w:rFonts w:hint="eastAsia" w:ascii="宋体" w:hAnsi="宋体" w:cs="宋体"/>
          <w:bCs/>
          <w:color w:val="000000"/>
          <w:szCs w:val="21"/>
        </w:rPr>
        <w:t>处置费及结算方式</w:t>
      </w:r>
    </w:p>
    <w:p>
      <w:pPr>
        <w:spacing w:line="400" w:lineRule="exact"/>
        <w:ind w:firstLine="525" w:firstLineChars="250"/>
        <w:rPr>
          <w:rFonts w:ascii="宋体" w:hAnsi="宋体" w:cs="宋体"/>
          <w:bCs/>
          <w:color w:val="000000"/>
          <w:szCs w:val="21"/>
        </w:rPr>
      </w:pPr>
      <w:r>
        <w:rPr>
          <w:rFonts w:hint="eastAsia" w:ascii="宋体" w:hAnsi="宋体" w:cs="宋体"/>
          <w:bCs/>
          <w:color w:val="000000"/>
          <w:szCs w:val="21"/>
        </w:rPr>
        <w:t>1、废物种类、数量、处置费：见合同附件。</w:t>
      </w:r>
    </w:p>
    <w:p>
      <w:pPr>
        <w:spacing w:line="400" w:lineRule="exact"/>
        <w:ind w:firstLine="525" w:firstLineChars="250"/>
        <w:rPr>
          <w:rFonts w:ascii="宋体" w:hAnsi="宋体" w:cs="宋体"/>
          <w:bCs/>
          <w:color w:val="000000"/>
          <w:szCs w:val="21"/>
        </w:rPr>
      </w:pPr>
      <w:r>
        <w:rPr>
          <w:rFonts w:hint="eastAsia" w:ascii="宋体" w:hAnsi="宋体" w:cs="宋体"/>
          <w:bCs/>
          <w:color w:val="000000"/>
          <w:szCs w:val="21"/>
        </w:rPr>
        <w:t>2、废物处置费支付方式：</w:t>
      </w:r>
    </w:p>
    <w:p>
      <w:pPr>
        <w:spacing w:line="400" w:lineRule="exact"/>
        <w:ind w:firstLine="525" w:firstLineChars="250"/>
        <w:rPr>
          <w:rFonts w:ascii="宋体" w:hAnsi="宋体" w:cs="宋体"/>
          <w:bCs/>
          <w:color w:val="000000"/>
          <w:szCs w:val="21"/>
        </w:rPr>
      </w:pPr>
      <w:r>
        <w:rPr>
          <w:rFonts w:hint="eastAsia" w:ascii="宋体" w:hAnsi="宋体" w:cs="宋体"/>
          <w:bCs/>
          <w:color w:val="000000"/>
          <w:szCs w:val="21"/>
        </w:rPr>
        <w:t>A、甲方应在乙方提走废物后，收到乙方开具的增值税专用发票，在10个工作日内将处置费汇入乙方指定银行账号内。</w:t>
      </w:r>
    </w:p>
    <w:p>
      <w:pPr>
        <w:spacing w:line="400" w:lineRule="exact"/>
        <w:rPr>
          <w:rFonts w:ascii="宋体" w:hAnsi="宋体" w:cs="宋体"/>
          <w:b/>
          <w:color w:val="000000"/>
          <w:szCs w:val="21"/>
        </w:rPr>
      </w:pPr>
      <w:r>
        <w:rPr>
          <w:rFonts w:hint="eastAsia" w:ascii="宋体" w:hAnsi="宋体" w:cs="宋体"/>
          <w:b/>
          <w:color w:val="000000"/>
          <w:szCs w:val="21"/>
        </w:rPr>
        <w:t>第七条  违约责任</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一）合同双方中一方违反本合同的规定，守约方有权要求违约方停止并纠正违约行为，违约方应当承担违约责任；违约方应当在7个工作日内改正完毕，如违约方未改正或未在规定的时间内完成改正，造成守约方经济以及其他方面损失的，违约方应予以赔偿，且守约方有权单方解除本合同。</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（二）合同双方中一方无正当理由撤销或解除合同，造成合同另一方损失的，应赔偿由此造成的实际损失。</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（三）甲方所交付的铁桶类危险废物不符合本合同规定的，由乙方就不符合本合同规定的铁桶类危险废物重新提出报价单交于甲方，经双方商议确认后，由乙方负责处理。</w:t>
      </w:r>
      <w:r>
        <w:rPr>
          <w:rFonts w:ascii="宋体" w:hAnsi="宋体" w:cs="宋体"/>
          <w:color w:val="000000"/>
          <w:szCs w:val="21"/>
        </w:rPr>
        <w:t xml:space="preserve"> </w:t>
      </w:r>
    </w:p>
    <w:p>
      <w:pPr>
        <w:pStyle w:val="5"/>
        <w:ind w:firstLine="315" w:firstLineChars="150"/>
        <w:rPr>
          <w:rFonts w:hint="eastAsia"/>
          <w:highlight w:val="none"/>
        </w:rPr>
      </w:pPr>
      <w:r>
        <w:rPr>
          <w:rFonts w:hint="eastAsia"/>
          <w:highlight w:val="none"/>
        </w:rPr>
        <w:t>（四）</w:t>
      </w:r>
      <w:r>
        <w:rPr>
          <w:rFonts w:hint="eastAsia" w:ascii="宋体" w:hAnsi="宋体" w:cs="宋体"/>
          <w:szCs w:val="21"/>
          <w:highlight w:val="none"/>
        </w:rPr>
        <w:t>乙方应按约定时间进行铁桶类危险废物运输、</w:t>
      </w:r>
      <w:r>
        <w:rPr>
          <w:rFonts w:ascii="宋体" w:hAnsi="宋体" w:cs="宋体"/>
          <w:szCs w:val="21"/>
          <w:highlight w:val="none"/>
        </w:rPr>
        <w:t>处置，</w:t>
      </w:r>
      <w:r>
        <w:rPr>
          <w:rFonts w:hint="eastAsia" w:ascii="宋体" w:hAnsi="宋体" w:cs="宋体"/>
          <w:szCs w:val="21"/>
          <w:highlight w:val="none"/>
        </w:rPr>
        <w:t>如乙方未按双方合同约定如期运输、</w:t>
      </w:r>
      <w:r>
        <w:rPr>
          <w:rFonts w:ascii="宋体" w:hAnsi="宋体" w:cs="宋体"/>
          <w:szCs w:val="21"/>
          <w:highlight w:val="none"/>
        </w:rPr>
        <w:t>处置</w:t>
      </w:r>
      <w:r>
        <w:rPr>
          <w:rFonts w:hint="eastAsia" w:ascii="宋体" w:hAnsi="宋体" w:cs="宋体"/>
          <w:szCs w:val="21"/>
          <w:highlight w:val="none"/>
        </w:rPr>
        <w:t xml:space="preserve">的，每逾期一日按应付总额 </w:t>
      </w:r>
      <w:r>
        <w:rPr>
          <w:rFonts w:ascii="宋体" w:hAnsi="宋体" w:cs="宋体"/>
          <w:szCs w:val="21"/>
          <w:highlight w:val="none"/>
        </w:rPr>
        <w:t>5</w:t>
      </w:r>
      <w:r>
        <w:rPr>
          <w:rFonts w:hint="eastAsia" w:ascii="宋体" w:hAnsi="宋体" w:cs="宋体"/>
          <w:szCs w:val="21"/>
          <w:highlight w:val="none"/>
        </w:rPr>
        <w:t>%向甲方支付滞纳金，如逾期</w:t>
      </w:r>
      <w:r>
        <w:rPr>
          <w:rFonts w:ascii="宋体" w:hAnsi="宋体" w:cs="宋体"/>
          <w:szCs w:val="21"/>
          <w:highlight w:val="none"/>
        </w:rPr>
        <w:t>超过三次</w:t>
      </w:r>
      <w:r>
        <w:rPr>
          <w:rFonts w:hint="eastAsia" w:ascii="宋体" w:hAnsi="宋体" w:cs="宋体"/>
          <w:szCs w:val="21"/>
          <w:highlight w:val="none"/>
        </w:rPr>
        <w:t>，甲方有权解除合同</w:t>
      </w:r>
      <w:r>
        <w:rPr>
          <w:rFonts w:hint="eastAsia" w:ascii="宋体" w:hAnsi="宋体" w:cs="宋体"/>
          <w:szCs w:val="21"/>
          <w:highlight w:val="none"/>
          <w:lang w:eastAsia="zh-CN"/>
        </w:rPr>
        <w:t>，</w:t>
      </w:r>
      <w:r>
        <w:rPr>
          <w:rFonts w:hint="eastAsia" w:ascii="宋体" w:hAnsi="宋体" w:cs="宋体"/>
          <w:szCs w:val="21"/>
          <w:highlight w:val="none"/>
          <w:lang w:val="en-US" w:eastAsia="zh-CN"/>
        </w:rPr>
        <w:t>并罚没履约保证金</w:t>
      </w:r>
      <w:r>
        <w:rPr>
          <w:rFonts w:hint="eastAsia" w:ascii="宋体" w:hAnsi="宋体" w:cs="宋体"/>
          <w:szCs w:val="21"/>
          <w:highlight w:val="none"/>
        </w:rPr>
        <w:t>。</w:t>
      </w:r>
    </w:p>
    <w:p>
      <w:pPr>
        <w:spacing w:line="400" w:lineRule="exact"/>
        <w:rPr>
          <w:rFonts w:ascii="宋体" w:hAnsi="宋体" w:cs="宋体"/>
          <w:b/>
          <w:color w:val="000000"/>
          <w:szCs w:val="21"/>
        </w:rPr>
      </w:pPr>
      <w:r>
        <w:rPr>
          <w:rFonts w:hint="eastAsia" w:ascii="宋体" w:hAnsi="宋体" w:cs="宋体"/>
          <w:b/>
          <w:color w:val="000000"/>
          <w:szCs w:val="21"/>
        </w:rPr>
        <w:t>第</w:t>
      </w:r>
      <w:r>
        <w:rPr>
          <w:rFonts w:hint="eastAsia" w:ascii="宋体" w:hAnsi="宋体" w:cs="宋体"/>
          <w:b/>
          <w:color w:val="000000"/>
          <w:szCs w:val="21"/>
          <w:lang w:val="en-US" w:eastAsia="zh-CN"/>
        </w:rPr>
        <w:t>八</w:t>
      </w:r>
      <w:r>
        <w:rPr>
          <w:rFonts w:hint="eastAsia" w:ascii="宋体" w:hAnsi="宋体" w:cs="宋体"/>
          <w:b/>
          <w:color w:val="000000"/>
          <w:szCs w:val="21"/>
        </w:rPr>
        <w:t>条  特别约定</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（一）乙方应对甲方铁桶类危险废物所拥有的技术秘密以及商业秘密进行保密。</w:t>
      </w:r>
    </w:p>
    <w:p>
      <w:pPr>
        <w:pStyle w:val="23"/>
        <w:spacing w:line="400" w:lineRule="exact"/>
        <w:ind w:firstLine="315" w:firstLineChars="150"/>
        <w:rPr>
          <w:rFonts w:ascii="宋体" w:hAnsi="宋体" w:cs="宋体"/>
          <w:bCs/>
          <w:color w:val="000000"/>
          <w:kern w:val="0"/>
          <w:szCs w:val="21"/>
        </w:rPr>
      </w:pPr>
      <w:r>
        <w:rPr>
          <w:rFonts w:hint="eastAsia" w:ascii="宋体" w:hAnsi="宋体" w:cs="宋体"/>
          <w:color w:val="000000"/>
          <w:szCs w:val="21"/>
        </w:rPr>
        <w:t>（二）合同双方须按照相关环境法律法规和当地环保部门相关要求对危废进行转移、处置；如果废物转移审批未获得主管环保部门的批准，本合同自动终止。</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（三）甲乙双方均应遵守反商业贿赂条例，不得向对方或对方经办人或其他相关人员索要、收受、提供、给予合同约定外的任何利益。</w:t>
      </w:r>
    </w:p>
    <w:p>
      <w:pPr>
        <w:spacing w:line="400" w:lineRule="exact"/>
        <w:rPr>
          <w:rFonts w:ascii="宋体" w:hAnsi="宋体" w:cs="宋体"/>
          <w:b/>
          <w:color w:val="000000"/>
          <w:szCs w:val="21"/>
        </w:rPr>
      </w:pPr>
      <w:r>
        <w:rPr>
          <w:rFonts w:hint="eastAsia" w:ascii="宋体" w:hAnsi="宋体" w:cs="宋体"/>
          <w:b/>
          <w:color w:val="000000"/>
          <w:szCs w:val="21"/>
        </w:rPr>
        <w:t>第</w:t>
      </w:r>
      <w:r>
        <w:rPr>
          <w:rFonts w:hint="eastAsia" w:ascii="宋体" w:hAnsi="宋体" w:cs="宋体"/>
          <w:b/>
          <w:color w:val="000000"/>
          <w:szCs w:val="21"/>
          <w:lang w:val="en-US" w:eastAsia="zh-CN"/>
        </w:rPr>
        <w:t>九</w:t>
      </w:r>
      <w:r>
        <w:rPr>
          <w:rFonts w:hint="eastAsia" w:ascii="宋体" w:hAnsi="宋体" w:cs="宋体"/>
          <w:b/>
          <w:color w:val="000000"/>
          <w:szCs w:val="21"/>
        </w:rPr>
        <w:t>条  合同争议的解决及其他事宜</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（一）本合同有效期为_</w:t>
      </w:r>
      <w:r>
        <w:rPr>
          <w:rFonts w:ascii="宋体" w:hAnsi="宋体" w:cs="宋体"/>
          <w:color w:val="000000"/>
          <w:szCs w:val="21"/>
        </w:rPr>
        <w:t>1</w:t>
      </w:r>
      <w:r>
        <w:rPr>
          <w:rFonts w:hint="eastAsia" w:ascii="宋体" w:hAnsi="宋体" w:cs="宋体"/>
          <w:color w:val="000000"/>
          <w:szCs w:val="21"/>
        </w:rPr>
        <w:t>_年，自_____年___月___日起至_____年___月___日止，</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（二）本合同未尽事宜，由双方协商解决或另行签订书面补充协议，补充协议与本合同具有同等法律效力，补充协议与本合同约定不一致的，以补充协议的约定为准。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（三）因本合同履行发生的任何争议，由甲、乙双方先应友好协商解决；协商不成时，双方一致同意提交甲方住所地人民法院诉讼解决。</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（四）本合同议一式肆份，甲方持贰份，乙方持壹份，另一份交环境保护有关部门备案。</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（五）本合同经甲方和乙方法定代表人或授权代表签名，并加盖双方公章或业务（合同）专用章方之日起正式生效。</w:t>
      </w:r>
    </w:p>
    <w:p>
      <w:pPr>
        <w:spacing w:line="400" w:lineRule="exact"/>
        <w:ind w:firstLine="315" w:firstLineChars="150"/>
        <w:rPr>
          <w:rFonts w:ascii="宋体" w:hAnsi="宋体" w:cs="宋体"/>
          <w:color w:val="000000"/>
          <w:szCs w:val="21"/>
        </w:rPr>
      </w:pPr>
      <w:r>
        <w:rPr>
          <w:rFonts w:hint="eastAsia" w:ascii="宋体" w:hAnsi="宋体" w:cs="宋体"/>
          <w:bCs/>
          <w:color w:val="000000"/>
          <w:szCs w:val="21"/>
        </w:rPr>
        <w:t>（</w:t>
      </w:r>
      <w:r>
        <w:rPr>
          <w:rFonts w:hint="eastAsia" w:ascii="宋体" w:hAnsi="宋体" w:cs="宋体"/>
          <w:color w:val="000000"/>
          <w:szCs w:val="21"/>
        </w:rPr>
        <w:t>六）本合同的附件如下，与本合同具有同等法律效力：</w:t>
      </w:r>
    </w:p>
    <w:p>
      <w:pPr>
        <w:spacing w:line="400" w:lineRule="exact"/>
        <w:ind w:firstLine="630" w:firstLineChars="300"/>
        <w:rPr>
          <w:rFonts w:ascii="宋体" w:hAnsi="宋体" w:cs="宋体"/>
          <w:color w:val="000000"/>
          <w:szCs w:val="21"/>
        </w:rPr>
      </w:pPr>
      <w:r>
        <w:rPr>
          <w:rFonts w:hint="eastAsia" w:ascii="宋体" w:hAnsi="宋体" w:cs="宋体"/>
          <w:color w:val="000000"/>
          <w:szCs w:val="21"/>
        </w:rPr>
        <w:t>1、危废处理处置品种及收费标准（附件一）；</w:t>
      </w:r>
    </w:p>
    <w:p>
      <w:pPr>
        <w:spacing w:line="360" w:lineRule="auto"/>
        <w:ind w:firstLine="630" w:firstLineChars="300"/>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w:t>
      </w:r>
      <w:r>
        <w:rPr>
          <w:rFonts w:ascii="宋体" w:hAnsi="宋体" w:cs="宋体"/>
          <w:color w:val="000000"/>
          <w:szCs w:val="21"/>
        </w:rPr>
        <w:t>廉政及保密协议书</w:t>
      </w:r>
      <w:r>
        <w:rPr>
          <w:rFonts w:hint="eastAsia" w:ascii="宋体" w:hAnsi="宋体" w:cs="宋体"/>
          <w:color w:val="000000"/>
          <w:szCs w:val="21"/>
        </w:rPr>
        <w:t>（附件</w:t>
      </w:r>
      <w:r>
        <w:rPr>
          <w:rFonts w:hint="eastAsia" w:ascii="宋体" w:hAnsi="宋体" w:cs="宋体"/>
          <w:color w:val="000000"/>
          <w:szCs w:val="21"/>
          <w:lang w:val="en-US" w:eastAsia="zh-CN"/>
        </w:rPr>
        <w:t>二</w:t>
      </w:r>
      <w:r>
        <w:rPr>
          <w:rFonts w:hint="eastAsia" w:ascii="宋体" w:hAnsi="宋体" w:cs="宋体"/>
          <w:color w:val="000000"/>
          <w:szCs w:val="21"/>
        </w:rPr>
        <w:t>）。</w:t>
      </w:r>
    </w:p>
    <w:p>
      <w:pPr>
        <w:pStyle w:val="2"/>
        <w:rPr>
          <w:rFonts w:hint="eastAsia"/>
        </w:rPr>
      </w:pPr>
    </w:p>
    <w:p>
      <w:pPr>
        <w:pStyle w:val="2"/>
        <w:ind w:firstLine="630" w:firstLineChars="300"/>
        <w:rPr>
          <w:rFonts w:hint="eastAsia"/>
        </w:rPr>
      </w:pPr>
    </w:p>
    <w:p>
      <w:pPr>
        <w:pStyle w:val="24"/>
        <w:spacing w:line="400" w:lineRule="exact"/>
        <w:jc w:val="left"/>
        <w:rPr>
          <w:rFonts w:ascii="宋体" w:hAnsi="宋体" w:cs="宋体"/>
          <w:b/>
          <w:color w:val="000000"/>
          <w:szCs w:val="21"/>
        </w:rPr>
      </w:pPr>
    </w:p>
    <w:p>
      <w:pPr>
        <w:pStyle w:val="24"/>
        <w:spacing w:line="400" w:lineRule="exact"/>
        <w:jc w:val="left"/>
        <w:rPr>
          <w:rFonts w:ascii="宋体" w:hAnsi="宋体" w:cs="宋体"/>
          <w:color w:val="000000"/>
          <w:szCs w:val="21"/>
        </w:rPr>
      </w:pPr>
      <w:r>
        <w:rPr>
          <w:rFonts w:hint="eastAsia" w:ascii="宋体" w:hAnsi="宋体" w:cs="宋体"/>
          <w:color w:val="000000"/>
          <w:szCs w:val="21"/>
        </w:rPr>
        <w:t>甲方盖章：                                     乙方盖章：</w:t>
      </w:r>
    </w:p>
    <w:p>
      <w:pPr>
        <w:pStyle w:val="24"/>
        <w:spacing w:line="400" w:lineRule="exact"/>
        <w:jc w:val="left"/>
        <w:rPr>
          <w:rFonts w:ascii="宋体" w:hAnsi="宋体" w:cs="宋体"/>
          <w:color w:val="000000"/>
          <w:szCs w:val="21"/>
        </w:rPr>
      </w:pPr>
      <w:r>
        <w:rPr>
          <w:rFonts w:hint="eastAsia" w:ascii="宋体" w:hAnsi="宋体" w:cs="宋体"/>
          <w:color w:val="000000"/>
          <w:szCs w:val="21"/>
        </w:rPr>
        <w:t>法定代表人/授权代表（签字或盖章）：            法定代表人/授权代表（签字或盖章）</w:t>
      </w:r>
    </w:p>
    <w:p>
      <w:pPr>
        <w:pStyle w:val="24"/>
        <w:spacing w:line="400" w:lineRule="exact"/>
        <w:jc w:val="left"/>
        <w:rPr>
          <w:rFonts w:ascii="宋体" w:hAnsi="宋体" w:cs="宋体"/>
          <w:color w:val="000000"/>
          <w:szCs w:val="21"/>
        </w:rPr>
      </w:pPr>
      <w:r>
        <w:rPr>
          <w:rFonts w:hint="eastAsia" w:ascii="宋体" w:hAnsi="宋体" w:cs="宋体"/>
          <w:color w:val="000000"/>
          <w:szCs w:val="21"/>
        </w:rPr>
        <w:t>付款银行：                                     收款银行：</w:t>
      </w:r>
    </w:p>
    <w:p>
      <w:pPr>
        <w:pStyle w:val="24"/>
        <w:spacing w:line="400" w:lineRule="exact"/>
        <w:jc w:val="left"/>
        <w:rPr>
          <w:rFonts w:ascii="宋体" w:hAnsi="宋体" w:cs="宋体"/>
          <w:color w:val="000000"/>
          <w:szCs w:val="21"/>
        </w:rPr>
      </w:pPr>
      <w:r>
        <w:rPr>
          <w:rFonts w:hint="eastAsia" w:ascii="宋体" w:hAnsi="宋体" w:cs="宋体"/>
          <w:color w:val="000000"/>
          <w:szCs w:val="21"/>
        </w:rPr>
        <w:t>银行账号：                                     银行账号：</w:t>
      </w:r>
    </w:p>
    <w:p>
      <w:pPr>
        <w:spacing w:line="400" w:lineRule="exact"/>
        <w:rPr>
          <w:rFonts w:hint="eastAsia" w:ascii="宋体" w:hAnsi="宋体" w:cs="宋体"/>
          <w:color w:val="000000"/>
          <w:szCs w:val="21"/>
        </w:rPr>
      </w:pPr>
      <w:r>
        <w:rPr>
          <w:rFonts w:hint="eastAsia" w:ascii="宋体" w:hAnsi="宋体" w:cs="宋体"/>
          <w:color w:val="000000"/>
          <w:szCs w:val="21"/>
        </w:rPr>
        <w:t xml:space="preserve">                                               </w:t>
      </w:r>
    </w:p>
    <w:p>
      <w:pPr>
        <w:spacing w:line="400" w:lineRule="exact"/>
        <w:rPr>
          <w:rFonts w:ascii="宋体" w:hAnsi="宋体" w:cs="宋体"/>
          <w:b/>
          <w:color w:val="FF0000"/>
          <w:szCs w:val="21"/>
        </w:rPr>
      </w:pPr>
      <w:r>
        <w:rPr>
          <w:rFonts w:hint="eastAsia" w:ascii="宋体" w:hAnsi="宋体" w:cs="宋体"/>
          <w:color w:val="000000"/>
          <w:szCs w:val="21"/>
        </w:rPr>
        <w:t>签订日期</w:t>
      </w:r>
      <w:r>
        <w:rPr>
          <w:rFonts w:hint="eastAsia" w:ascii="宋体" w:hAnsi="宋体" w:cs="宋体"/>
          <w:b/>
          <w:color w:val="000000"/>
          <w:szCs w:val="21"/>
        </w:rPr>
        <w:t>：</w:t>
      </w:r>
    </w:p>
    <w:p>
      <w:pPr>
        <w:rPr>
          <w:rFonts w:eastAsia="黑体"/>
          <w:b/>
          <w:bCs/>
          <w:sz w:val="44"/>
        </w:rPr>
      </w:pPr>
    </w:p>
    <w:p>
      <w:pPr>
        <w:rPr>
          <w:rFonts w:eastAsia="黑体"/>
          <w:b/>
          <w:bCs/>
          <w:sz w:val="44"/>
        </w:rPr>
      </w:pPr>
    </w:p>
    <w:p>
      <w:pPr>
        <w:widowControl/>
        <w:jc w:val="center"/>
        <w:rPr>
          <w:rFonts w:ascii="Arial" w:hAnsi="Arial" w:cs="Arial"/>
          <w:b/>
          <w:color w:val="000000"/>
          <w:sz w:val="24"/>
          <w:szCs w:val="24"/>
        </w:rPr>
      </w:pPr>
      <w:r>
        <w:rPr>
          <w:rFonts w:ascii="Arial" w:hAnsi="Arial" w:cs="Arial"/>
          <w:b/>
          <w:color w:val="000000"/>
          <w:sz w:val="24"/>
          <w:szCs w:val="24"/>
        </w:rPr>
        <w:br w:type="page"/>
      </w:r>
    </w:p>
    <w:p>
      <w:pPr>
        <w:adjustRightInd w:val="0"/>
        <w:snapToGrid w:val="0"/>
        <w:spacing w:line="360" w:lineRule="auto"/>
        <w:ind w:firstLine="410" w:firstLineChars="170"/>
        <w:rPr>
          <w:rFonts w:ascii="Arial" w:hAnsi="Arial" w:cs="Arial"/>
          <w:b/>
          <w:color w:val="000000"/>
          <w:sz w:val="24"/>
          <w:szCs w:val="24"/>
        </w:rPr>
      </w:pPr>
      <w:r>
        <w:rPr>
          <w:rFonts w:hint="eastAsia" w:ascii="Arial" w:hAnsi="Arial" w:cs="Arial"/>
          <w:b/>
          <w:color w:val="000000"/>
          <w:sz w:val="24"/>
          <w:szCs w:val="24"/>
        </w:rPr>
        <w:t>附件1：</w:t>
      </w:r>
    </w:p>
    <w:p>
      <w:pPr>
        <w:widowControl/>
        <w:jc w:val="center"/>
        <w:rPr>
          <w:rFonts w:ascii="长城小标宋体" w:eastAsia="长城小标宋体" w:cs="宋体"/>
          <w:sz w:val="32"/>
          <w:szCs w:val="32"/>
        </w:rPr>
      </w:pPr>
      <w:r>
        <w:rPr>
          <w:rFonts w:hint="eastAsia" w:ascii="长城小标宋体" w:eastAsia="长城小标宋体" w:cs="宋体"/>
          <w:sz w:val="32"/>
          <w:szCs w:val="32"/>
        </w:rPr>
        <w:t>危废处理处置品种及收费标准</w:t>
      </w:r>
    </w:p>
    <w:p>
      <w:pPr>
        <w:ind w:firstLine="6606" w:firstLineChars="3146"/>
        <w:rPr>
          <w:rFonts w:ascii="宋体" w:hAnsi="宋体" w:cs="宋体"/>
          <w:szCs w:val="21"/>
        </w:rPr>
      </w:pPr>
      <w:r>
        <w:rPr>
          <w:rFonts w:hint="eastAsia" w:ascii="宋体" w:hAnsi="宋体" w:cs="宋体"/>
          <w:bCs/>
          <w:szCs w:val="21"/>
        </w:rPr>
        <w:t>合同编制号：</w:t>
      </w:r>
    </w:p>
    <w:tbl>
      <w:tblPr>
        <w:tblStyle w:val="13"/>
        <w:tblW w:w="48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629"/>
        <w:gridCol w:w="1362"/>
        <w:gridCol w:w="1122"/>
        <w:gridCol w:w="1035"/>
        <w:gridCol w:w="1531"/>
        <w:gridCol w:w="9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43" w:type="pct"/>
            <w:noWrap w:val="0"/>
            <w:vAlign w:val="center"/>
          </w:tcPr>
          <w:p>
            <w:pPr>
              <w:pStyle w:val="24"/>
              <w:rPr>
                <w:rFonts w:ascii="宋体" w:hAnsi="宋体" w:cs="宋体"/>
                <w:szCs w:val="21"/>
              </w:rPr>
            </w:pPr>
            <w:r>
              <w:rPr>
                <w:rFonts w:hint="eastAsia" w:ascii="宋体" w:hAnsi="宋体" w:cs="宋体"/>
                <w:szCs w:val="21"/>
              </w:rPr>
              <w:t>序号</w:t>
            </w:r>
          </w:p>
        </w:tc>
        <w:tc>
          <w:tcPr>
            <w:tcW w:w="993" w:type="pct"/>
            <w:noWrap w:val="0"/>
            <w:vAlign w:val="center"/>
          </w:tcPr>
          <w:p>
            <w:pPr>
              <w:pStyle w:val="24"/>
              <w:rPr>
                <w:rFonts w:ascii="宋体" w:hAnsi="宋体" w:cs="宋体"/>
                <w:szCs w:val="21"/>
              </w:rPr>
            </w:pPr>
            <w:r>
              <w:rPr>
                <w:rFonts w:hint="eastAsia" w:ascii="宋体" w:hAnsi="宋体" w:cs="宋体"/>
                <w:szCs w:val="21"/>
              </w:rPr>
              <w:t>名称</w:t>
            </w:r>
          </w:p>
        </w:tc>
        <w:tc>
          <w:tcPr>
            <w:tcW w:w="830" w:type="pct"/>
            <w:noWrap w:val="0"/>
            <w:vAlign w:val="center"/>
          </w:tcPr>
          <w:p>
            <w:pPr>
              <w:pStyle w:val="24"/>
              <w:rPr>
                <w:rFonts w:ascii="宋体" w:hAnsi="宋体" w:cs="宋体"/>
                <w:szCs w:val="21"/>
              </w:rPr>
            </w:pPr>
            <w:r>
              <w:rPr>
                <w:rFonts w:hint="eastAsia" w:ascii="宋体" w:hAnsi="宋体" w:cs="宋体"/>
                <w:szCs w:val="21"/>
              </w:rPr>
              <w:t>危废类别</w:t>
            </w:r>
          </w:p>
        </w:tc>
        <w:tc>
          <w:tcPr>
            <w:tcW w:w="684" w:type="pct"/>
            <w:noWrap w:val="0"/>
            <w:vAlign w:val="center"/>
          </w:tcPr>
          <w:p>
            <w:pPr>
              <w:pStyle w:val="24"/>
              <w:rPr>
                <w:rFonts w:ascii="宋体" w:hAnsi="宋体" w:cs="宋体"/>
                <w:szCs w:val="21"/>
              </w:rPr>
            </w:pPr>
            <w:r>
              <w:rPr>
                <w:rFonts w:hint="eastAsia" w:ascii="宋体" w:hAnsi="宋体" w:cs="宋体"/>
                <w:szCs w:val="21"/>
              </w:rPr>
              <w:t>预计</w:t>
            </w:r>
          </w:p>
          <w:p>
            <w:pPr>
              <w:pStyle w:val="24"/>
              <w:rPr>
                <w:rFonts w:ascii="宋体" w:hAnsi="宋体" w:cs="宋体"/>
                <w:szCs w:val="21"/>
              </w:rPr>
            </w:pPr>
            <w:r>
              <w:rPr>
                <w:rFonts w:hint="eastAsia" w:ascii="宋体" w:hAnsi="宋体" w:cs="宋体"/>
                <w:szCs w:val="21"/>
              </w:rPr>
              <w:t>产生量</w:t>
            </w:r>
          </w:p>
        </w:tc>
        <w:tc>
          <w:tcPr>
            <w:tcW w:w="631" w:type="pct"/>
            <w:noWrap w:val="0"/>
            <w:vAlign w:val="center"/>
          </w:tcPr>
          <w:p>
            <w:pPr>
              <w:pStyle w:val="24"/>
              <w:rPr>
                <w:rFonts w:ascii="宋体" w:hAnsi="宋体" w:cs="宋体"/>
                <w:szCs w:val="21"/>
              </w:rPr>
            </w:pPr>
            <w:r>
              <w:rPr>
                <w:rFonts w:hint="eastAsia" w:ascii="宋体" w:hAnsi="宋体" w:cs="宋体"/>
                <w:szCs w:val="21"/>
              </w:rPr>
              <w:t>包装</w:t>
            </w:r>
          </w:p>
          <w:p>
            <w:pPr>
              <w:pStyle w:val="24"/>
              <w:rPr>
                <w:rFonts w:ascii="宋体" w:hAnsi="宋体" w:cs="宋体"/>
                <w:szCs w:val="21"/>
              </w:rPr>
            </w:pPr>
            <w:r>
              <w:rPr>
                <w:rFonts w:hint="eastAsia" w:ascii="宋体" w:hAnsi="宋体" w:cs="宋体"/>
                <w:szCs w:val="21"/>
              </w:rPr>
              <w:t>方式</w:t>
            </w:r>
          </w:p>
        </w:tc>
        <w:tc>
          <w:tcPr>
            <w:tcW w:w="933" w:type="pct"/>
            <w:noWrap w:val="0"/>
            <w:vAlign w:val="center"/>
          </w:tcPr>
          <w:p>
            <w:pPr>
              <w:pStyle w:val="24"/>
              <w:rPr>
                <w:rFonts w:ascii="宋体" w:hAnsi="宋体" w:cs="宋体"/>
                <w:szCs w:val="21"/>
              </w:rPr>
            </w:pPr>
            <w:r>
              <w:rPr>
                <w:rFonts w:hint="eastAsia" w:ascii="宋体" w:hAnsi="宋体" w:cs="宋体"/>
                <w:szCs w:val="21"/>
              </w:rPr>
              <w:t>单价（含税）</w:t>
            </w:r>
          </w:p>
        </w:tc>
        <w:tc>
          <w:tcPr>
            <w:tcW w:w="586" w:type="pct"/>
            <w:noWrap w:val="0"/>
            <w:vAlign w:val="center"/>
          </w:tcPr>
          <w:p>
            <w:pPr>
              <w:pStyle w:val="24"/>
              <w:rPr>
                <w:rFonts w:ascii="宋体" w:hAnsi="宋体" w:cs="宋体"/>
                <w:szCs w:val="21"/>
              </w:rPr>
            </w:pPr>
            <w:r>
              <w:rPr>
                <w:rFonts w:hint="eastAsia" w:ascii="宋体" w:hAnsi="宋体" w:cs="宋体"/>
                <w:szCs w:val="21"/>
              </w:rPr>
              <w:t>付款方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6" w:hRule="exact"/>
          <w:jc w:val="center"/>
        </w:trPr>
        <w:tc>
          <w:tcPr>
            <w:tcW w:w="343" w:type="pct"/>
            <w:noWrap w:val="0"/>
            <w:vAlign w:val="center"/>
          </w:tcPr>
          <w:p>
            <w:pPr>
              <w:pStyle w:val="24"/>
              <w:rPr>
                <w:rFonts w:ascii="宋体" w:hAnsi="宋体" w:cs="宋体"/>
                <w:szCs w:val="21"/>
              </w:rPr>
            </w:pPr>
            <w:r>
              <w:rPr>
                <w:rFonts w:hint="eastAsia" w:ascii="宋体" w:hAnsi="宋体" w:cs="宋体"/>
                <w:szCs w:val="21"/>
              </w:rPr>
              <w:t>1</w:t>
            </w:r>
          </w:p>
        </w:tc>
        <w:tc>
          <w:tcPr>
            <w:tcW w:w="993" w:type="pct"/>
            <w:noWrap w:val="0"/>
            <w:vAlign w:val="center"/>
          </w:tcPr>
          <w:p>
            <w:pPr>
              <w:pStyle w:val="24"/>
              <w:rPr>
                <w:rFonts w:ascii="宋体" w:hAnsi="宋体" w:cs="宋体"/>
                <w:szCs w:val="21"/>
              </w:rPr>
            </w:pPr>
          </w:p>
        </w:tc>
        <w:tc>
          <w:tcPr>
            <w:tcW w:w="830" w:type="pct"/>
            <w:noWrap w:val="0"/>
            <w:vAlign w:val="center"/>
          </w:tcPr>
          <w:p>
            <w:pPr>
              <w:pStyle w:val="24"/>
              <w:rPr>
                <w:rFonts w:ascii="宋体" w:hAnsi="宋体" w:cs="宋体"/>
                <w:szCs w:val="21"/>
              </w:rPr>
            </w:pPr>
          </w:p>
        </w:tc>
        <w:tc>
          <w:tcPr>
            <w:tcW w:w="684" w:type="pct"/>
            <w:noWrap w:val="0"/>
            <w:vAlign w:val="center"/>
          </w:tcPr>
          <w:p>
            <w:pPr>
              <w:pStyle w:val="24"/>
              <w:ind w:firstLine="210" w:firstLineChars="100"/>
              <w:jc w:val="both"/>
              <w:rPr>
                <w:rFonts w:ascii="宋体" w:hAnsi="宋体" w:cs="宋体"/>
                <w:szCs w:val="21"/>
              </w:rPr>
            </w:pPr>
          </w:p>
        </w:tc>
        <w:tc>
          <w:tcPr>
            <w:tcW w:w="631" w:type="pct"/>
            <w:noWrap w:val="0"/>
            <w:vAlign w:val="center"/>
          </w:tcPr>
          <w:p>
            <w:pPr>
              <w:pStyle w:val="24"/>
              <w:rPr>
                <w:rFonts w:ascii="宋体" w:hAnsi="宋体" w:cs="宋体"/>
                <w:szCs w:val="21"/>
              </w:rPr>
            </w:pPr>
          </w:p>
        </w:tc>
        <w:tc>
          <w:tcPr>
            <w:tcW w:w="933" w:type="pct"/>
            <w:noWrap w:val="0"/>
            <w:vAlign w:val="center"/>
          </w:tcPr>
          <w:p>
            <w:pPr>
              <w:pStyle w:val="24"/>
              <w:rPr>
                <w:rFonts w:ascii="宋体" w:hAnsi="宋体" w:cs="宋体"/>
                <w:szCs w:val="21"/>
              </w:rPr>
            </w:pPr>
          </w:p>
        </w:tc>
        <w:tc>
          <w:tcPr>
            <w:tcW w:w="586" w:type="pct"/>
            <w:vMerge w:val="restart"/>
            <w:noWrap w:val="0"/>
            <w:vAlign w:val="center"/>
          </w:tcPr>
          <w:p>
            <w:pPr>
              <w:pStyle w:val="24"/>
              <w:ind w:firstLine="210" w:firstLineChars="100"/>
              <w:jc w:val="both"/>
              <w:rPr>
                <w:rFonts w:ascii="宋体" w:hAnsi="宋体" w:cs="宋体"/>
                <w:szCs w:val="21"/>
                <w:u w:val="single"/>
              </w:rPr>
            </w:pPr>
            <w:r>
              <w:rPr>
                <w:rFonts w:hint="eastAsia" w:ascii="宋体" w:hAnsi="宋体" w:cs="宋体"/>
                <w:szCs w:val="21"/>
              </w:rPr>
              <w:t>甲方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hint="eastAsia" w:ascii="宋体" w:hAnsi="宋体" w:cs="宋体"/>
                <w:szCs w:val="21"/>
              </w:rPr>
              <w:t>2</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hint="eastAsia" w:ascii="宋体" w:hAnsi="宋体" w:cs="宋体"/>
                <w:szCs w:val="21"/>
              </w:rPr>
              <w:t>3</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hint="eastAsia" w:ascii="宋体" w:hAnsi="宋体" w:cs="宋体"/>
                <w:szCs w:val="21"/>
              </w:rPr>
              <w:t>4</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hint="eastAsia" w:ascii="宋体" w:hAnsi="宋体" w:cs="宋体"/>
                <w:szCs w:val="21"/>
              </w:rPr>
              <w:t>5</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hint="eastAsia" w:ascii="宋体" w:hAnsi="宋体" w:cs="宋体"/>
                <w:szCs w:val="21"/>
              </w:rPr>
              <w:t>6</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hint="eastAsia" w:ascii="宋体" w:hAnsi="宋体" w:cs="宋体"/>
                <w:szCs w:val="21"/>
              </w:rPr>
              <w:t>7</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ascii="宋体" w:hAnsi="宋体" w:cs="宋体"/>
                <w:szCs w:val="21"/>
              </w:rPr>
              <w:t>8</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ascii="宋体" w:hAnsi="宋体" w:cs="宋体"/>
                <w:szCs w:val="21"/>
              </w:rPr>
              <w:t>9</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ascii="宋体" w:hAnsi="宋体" w:cs="宋体"/>
                <w:szCs w:val="21"/>
              </w:rPr>
              <w:t>10</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ascii="宋体" w:hAnsi="宋体" w:cs="宋体"/>
                <w:szCs w:val="21"/>
              </w:rPr>
              <w:t>11</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43" w:type="pct"/>
            <w:noWrap w:val="0"/>
            <w:vAlign w:val="center"/>
          </w:tcPr>
          <w:p>
            <w:pPr>
              <w:pStyle w:val="24"/>
              <w:rPr>
                <w:rFonts w:ascii="宋体" w:hAnsi="宋体" w:cs="宋体"/>
                <w:szCs w:val="21"/>
              </w:rPr>
            </w:pPr>
            <w:r>
              <w:rPr>
                <w:rFonts w:ascii="宋体" w:hAnsi="宋体" w:cs="宋体"/>
                <w:szCs w:val="21"/>
              </w:rPr>
              <w:t>12</w:t>
            </w:r>
          </w:p>
        </w:tc>
        <w:tc>
          <w:tcPr>
            <w:tcW w:w="993" w:type="pct"/>
            <w:noWrap w:val="0"/>
            <w:vAlign w:val="center"/>
          </w:tcPr>
          <w:p>
            <w:pPr>
              <w:pStyle w:val="24"/>
              <w:jc w:val="both"/>
              <w:rPr>
                <w:rFonts w:ascii="宋体" w:hAnsi="宋体" w:cs="宋体"/>
                <w:szCs w:val="21"/>
              </w:rPr>
            </w:pPr>
          </w:p>
        </w:tc>
        <w:tc>
          <w:tcPr>
            <w:tcW w:w="830" w:type="pct"/>
            <w:noWrap w:val="0"/>
            <w:vAlign w:val="center"/>
          </w:tcPr>
          <w:p>
            <w:pPr>
              <w:pStyle w:val="24"/>
              <w:jc w:val="both"/>
              <w:rPr>
                <w:rFonts w:ascii="宋体" w:hAnsi="宋体" w:cs="宋体"/>
                <w:szCs w:val="21"/>
              </w:rPr>
            </w:pPr>
          </w:p>
        </w:tc>
        <w:tc>
          <w:tcPr>
            <w:tcW w:w="684" w:type="pct"/>
            <w:noWrap w:val="0"/>
            <w:vAlign w:val="center"/>
          </w:tcPr>
          <w:p>
            <w:pPr>
              <w:pStyle w:val="24"/>
              <w:jc w:val="both"/>
              <w:rPr>
                <w:rFonts w:ascii="宋体" w:hAnsi="宋体" w:cs="宋体"/>
                <w:szCs w:val="21"/>
              </w:rPr>
            </w:pPr>
          </w:p>
        </w:tc>
        <w:tc>
          <w:tcPr>
            <w:tcW w:w="631" w:type="pct"/>
            <w:noWrap w:val="0"/>
            <w:vAlign w:val="center"/>
          </w:tcPr>
          <w:p>
            <w:pPr>
              <w:pStyle w:val="24"/>
              <w:jc w:val="both"/>
              <w:rPr>
                <w:rFonts w:ascii="宋体" w:hAnsi="宋体" w:cs="宋体"/>
                <w:szCs w:val="21"/>
              </w:rPr>
            </w:pPr>
          </w:p>
        </w:tc>
        <w:tc>
          <w:tcPr>
            <w:tcW w:w="933" w:type="pct"/>
            <w:noWrap w:val="0"/>
            <w:vAlign w:val="center"/>
          </w:tcPr>
          <w:p>
            <w:pPr>
              <w:pStyle w:val="24"/>
              <w:jc w:val="both"/>
              <w:rPr>
                <w:rFonts w:ascii="宋体" w:hAnsi="宋体" w:cs="宋体"/>
                <w:szCs w:val="21"/>
              </w:rPr>
            </w:pPr>
          </w:p>
        </w:tc>
        <w:tc>
          <w:tcPr>
            <w:tcW w:w="586" w:type="pct"/>
            <w:vMerge w:val="continue"/>
            <w:noWrap w:val="0"/>
            <w:vAlign w:val="center"/>
          </w:tcPr>
          <w:p>
            <w:pPr>
              <w:pStyle w:val="24"/>
              <w:jc w:val="both"/>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17" w:hRule="exact"/>
          <w:jc w:val="center"/>
        </w:trPr>
        <w:tc>
          <w:tcPr>
            <w:tcW w:w="343" w:type="pct"/>
            <w:noWrap w:val="0"/>
            <w:vAlign w:val="center"/>
          </w:tcPr>
          <w:p>
            <w:pPr>
              <w:pStyle w:val="24"/>
              <w:jc w:val="both"/>
              <w:rPr>
                <w:rFonts w:ascii="宋体" w:hAnsi="宋体" w:cs="宋体"/>
                <w:szCs w:val="21"/>
                <w:u w:val="single"/>
              </w:rPr>
            </w:pPr>
            <w:r>
              <w:rPr>
                <w:rFonts w:hint="eastAsia" w:ascii="宋体" w:hAnsi="宋体" w:cs="宋体"/>
                <w:szCs w:val="21"/>
                <w:u w:val="single"/>
              </w:rPr>
              <w:t>备注</w:t>
            </w:r>
          </w:p>
        </w:tc>
        <w:tc>
          <w:tcPr>
            <w:tcW w:w="4657" w:type="pct"/>
            <w:gridSpan w:val="6"/>
            <w:noWrap w:val="0"/>
            <w:vAlign w:val="top"/>
          </w:tcPr>
          <w:p>
            <w:pPr>
              <w:pStyle w:val="24"/>
              <w:jc w:val="both"/>
              <w:rPr>
                <w:rFonts w:ascii="宋体" w:hAnsi="宋体" w:cs="宋体"/>
                <w:szCs w:val="21"/>
              </w:rPr>
            </w:pPr>
            <w:r>
              <w:rPr>
                <w:rFonts w:hint="eastAsia" w:ascii="宋体" w:hAnsi="宋体" w:cs="宋体"/>
                <w:szCs w:val="21"/>
              </w:rPr>
              <w:t>1、</w:t>
            </w:r>
            <w:r>
              <w:rPr>
                <w:rFonts w:hint="eastAsia" w:ascii="宋体" w:hAnsi="宋体" w:cs="宋体"/>
                <w:bCs/>
                <w:szCs w:val="21"/>
              </w:rPr>
              <w:t>以实际接收数量结算为据</w:t>
            </w:r>
            <w:r>
              <w:rPr>
                <w:rFonts w:hint="eastAsia" w:ascii="宋体" w:hAnsi="宋体" w:cs="宋体"/>
                <w:szCs w:val="21"/>
              </w:rPr>
              <w:t>；</w:t>
            </w:r>
          </w:p>
          <w:p>
            <w:pPr>
              <w:pStyle w:val="24"/>
              <w:jc w:val="both"/>
              <w:rPr>
                <w:rFonts w:ascii="宋体" w:hAnsi="宋体" w:cs="宋体"/>
                <w:szCs w:val="21"/>
              </w:rPr>
            </w:pPr>
            <w:r>
              <w:rPr>
                <w:rFonts w:hint="eastAsia" w:ascii="宋体" w:hAnsi="宋体" w:cs="宋体"/>
                <w:szCs w:val="21"/>
              </w:rPr>
              <w:t>2、以上价格含清运服务费，由</w:t>
            </w:r>
            <w:r>
              <w:rPr>
                <w:rFonts w:hint="eastAsia" w:ascii="宋体" w:hAnsi="宋体" w:cs="宋体"/>
                <w:szCs w:val="21"/>
                <w:lang w:eastAsia="zh-CN"/>
              </w:rPr>
              <w:t>乙</w:t>
            </w:r>
            <w:r>
              <w:rPr>
                <w:rFonts w:hint="eastAsia" w:ascii="宋体" w:hAnsi="宋体" w:cs="宋体"/>
                <w:szCs w:val="21"/>
              </w:rPr>
              <w:t>方自行联系有资质的清运公司清运该危废并</w:t>
            </w:r>
            <w:r>
              <w:rPr>
                <w:rFonts w:ascii="宋体" w:hAnsi="宋体" w:cs="宋体"/>
                <w:szCs w:val="21"/>
              </w:rPr>
              <w:t>承担清运费，甲方</w:t>
            </w:r>
            <w:r>
              <w:rPr>
                <w:rFonts w:hint="eastAsia" w:ascii="宋体" w:hAnsi="宋体" w:cs="宋体"/>
                <w:szCs w:val="21"/>
              </w:rPr>
              <w:t>则应提前</w:t>
            </w:r>
            <w:r>
              <w:rPr>
                <w:rFonts w:hint="eastAsia" w:ascii="宋体" w:hAnsi="宋体" w:cs="宋体"/>
                <w:szCs w:val="21"/>
                <w:lang w:val="en-US" w:eastAsia="zh-CN"/>
              </w:rPr>
              <w:t>三</w:t>
            </w:r>
            <w:r>
              <w:rPr>
                <w:rFonts w:hint="eastAsia" w:ascii="宋体" w:hAnsi="宋体" w:cs="宋体"/>
                <w:szCs w:val="21"/>
              </w:rPr>
              <w:t>个工作日通知乙方，以便乙方做好入库准备；</w:t>
            </w:r>
          </w:p>
          <w:p>
            <w:pPr>
              <w:pStyle w:val="24"/>
              <w:jc w:val="both"/>
              <w:rPr>
                <w:rFonts w:ascii="宋体" w:hAnsi="宋体" w:cs="宋体"/>
                <w:szCs w:val="21"/>
              </w:rPr>
            </w:pPr>
            <w:r>
              <w:rPr>
                <w:rFonts w:hint="eastAsia" w:ascii="宋体" w:hAnsi="宋体" w:cs="宋体"/>
                <w:szCs w:val="21"/>
              </w:rPr>
              <w:t>3、请甲方将各类废物分开包装、存放，做好标签标识；</w:t>
            </w:r>
          </w:p>
          <w:p>
            <w:pPr>
              <w:pStyle w:val="24"/>
              <w:jc w:val="both"/>
              <w:rPr>
                <w:rFonts w:ascii="宋体" w:hAnsi="宋体" w:cs="宋体"/>
                <w:szCs w:val="21"/>
              </w:rPr>
            </w:pPr>
            <w:r>
              <w:rPr>
                <w:rFonts w:hint="eastAsia" w:ascii="宋体" w:hAnsi="宋体" w:cs="宋体"/>
                <w:szCs w:val="21"/>
              </w:rPr>
              <w:t>4、此报价单包含供需双方商业机密，仅限于内部存档，不得向外提供！</w:t>
            </w:r>
          </w:p>
          <w:p>
            <w:pPr>
              <w:pStyle w:val="24"/>
              <w:jc w:val="both"/>
              <w:rPr>
                <w:rFonts w:ascii="宋体" w:hAnsi="宋体" w:cs="宋体"/>
                <w:szCs w:val="21"/>
              </w:rPr>
            </w:pPr>
            <w:r>
              <w:rPr>
                <w:rFonts w:hint="eastAsia" w:ascii="宋体" w:hAnsi="宋体" w:cs="宋体"/>
                <w:szCs w:val="21"/>
              </w:rPr>
              <w:t>5、此报价单为甲乙双方于    年    月    日签署的《危险废物委托处置合同》的结算依据。</w:t>
            </w:r>
          </w:p>
        </w:tc>
      </w:tr>
    </w:tbl>
    <w:p>
      <w:pPr>
        <w:ind w:firstLine="482"/>
        <w:rPr>
          <w:rFonts w:ascii="宋体" w:hAnsi="宋体" w:cs="宋体"/>
          <w:b/>
          <w:szCs w:val="21"/>
        </w:rPr>
      </w:pPr>
    </w:p>
    <w:p>
      <w:pPr>
        <w:ind w:firstLine="480"/>
        <w:rPr>
          <w:rFonts w:ascii="宋体" w:hAnsi="宋体" w:cs="宋体"/>
          <w:szCs w:val="21"/>
        </w:rPr>
      </w:pPr>
      <w:r>
        <w:rPr>
          <w:rFonts w:hint="eastAsia" w:ascii="宋体" w:hAnsi="宋体" w:cs="宋体"/>
          <w:szCs w:val="21"/>
        </w:rPr>
        <w:t>甲方盖章:                                          乙方盖章：</w:t>
      </w:r>
    </w:p>
    <w:p>
      <w:pPr>
        <w:adjustRightInd w:val="0"/>
        <w:snapToGrid w:val="0"/>
        <w:spacing w:line="360" w:lineRule="auto"/>
        <w:ind w:firstLine="410" w:firstLineChars="170"/>
        <w:rPr>
          <w:rFonts w:ascii="Arial" w:hAnsi="Arial" w:cs="Arial"/>
          <w:b/>
          <w:color w:val="000000"/>
          <w:sz w:val="24"/>
          <w:szCs w:val="24"/>
        </w:rPr>
      </w:pPr>
    </w:p>
    <w:p>
      <w:pPr>
        <w:adjustRightInd w:val="0"/>
        <w:snapToGrid w:val="0"/>
        <w:spacing w:line="360" w:lineRule="auto"/>
        <w:ind w:firstLine="410" w:firstLineChars="170"/>
        <w:rPr>
          <w:rFonts w:ascii="Arial" w:hAnsi="Arial" w:cs="Arial"/>
          <w:b/>
          <w:color w:val="000000"/>
          <w:sz w:val="24"/>
          <w:szCs w:val="24"/>
        </w:rPr>
      </w:pPr>
    </w:p>
    <w:p>
      <w:pPr>
        <w:adjustRightInd w:val="0"/>
        <w:snapToGrid w:val="0"/>
        <w:spacing w:line="360" w:lineRule="auto"/>
        <w:rPr>
          <w:rFonts w:ascii="Arial" w:hAnsi="Arial" w:cs="Arial"/>
          <w:b/>
          <w:color w:val="000000"/>
          <w:sz w:val="24"/>
          <w:szCs w:val="24"/>
        </w:rPr>
      </w:pPr>
    </w:p>
    <w:p>
      <w:pPr>
        <w:adjustRightInd w:val="0"/>
        <w:snapToGrid w:val="0"/>
        <w:spacing w:line="360" w:lineRule="auto"/>
        <w:ind w:firstLine="410" w:firstLineChars="170"/>
        <w:rPr>
          <w:rFonts w:ascii="Arial" w:hAnsi="Arial" w:cs="Arial"/>
          <w:b/>
          <w:color w:val="000000"/>
          <w:sz w:val="24"/>
          <w:szCs w:val="24"/>
        </w:rPr>
      </w:pPr>
    </w:p>
    <w:p>
      <w:pPr>
        <w:adjustRightInd w:val="0"/>
        <w:snapToGrid w:val="0"/>
        <w:spacing w:line="360" w:lineRule="auto"/>
        <w:ind w:firstLine="410" w:firstLineChars="170"/>
        <w:rPr>
          <w:rFonts w:ascii="Arial" w:hAnsi="Arial" w:cs="Arial"/>
          <w:b/>
          <w:color w:val="000000"/>
          <w:sz w:val="24"/>
          <w:szCs w:val="24"/>
        </w:rPr>
      </w:pPr>
      <w:r>
        <w:rPr>
          <w:rFonts w:ascii="Arial" w:hAnsi="Arial" w:cs="Arial"/>
          <w:b/>
          <w:color w:val="000000"/>
          <w:sz w:val="24"/>
          <w:szCs w:val="24"/>
        </w:rPr>
        <w:t>附件</w:t>
      </w:r>
      <w:r>
        <w:rPr>
          <w:rFonts w:hint="eastAsia" w:ascii="Arial" w:hAnsi="Arial" w:cs="Arial"/>
          <w:b/>
          <w:color w:val="000000"/>
          <w:sz w:val="24"/>
          <w:szCs w:val="24"/>
          <w:lang w:val="en-US" w:eastAsia="zh-CN"/>
        </w:rPr>
        <w:t>2</w:t>
      </w:r>
      <w:r>
        <w:rPr>
          <w:rFonts w:ascii="Arial" w:hAnsi="Arial" w:cs="Arial"/>
          <w:b/>
          <w:color w:val="000000"/>
          <w:sz w:val="24"/>
          <w:szCs w:val="24"/>
        </w:rPr>
        <w:t>：</w:t>
      </w:r>
    </w:p>
    <w:p>
      <w:pPr>
        <w:spacing w:line="360" w:lineRule="auto"/>
        <w:ind w:firstLine="422" w:firstLineChars="150"/>
        <w:jc w:val="center"/>
        <w:rPr>
          <w:rFonts w:ascii="Arial" w:hAnsi="Arial" w:cs="Arial"/>
          <w:b/>
          <w:color w:val="000000"/>
          <w:sz w:val="28"/>
          <w:szCs w:val="28"/>
          <w:shd w:val="pct10" w:color="auto" w:fill="FFFFFF"/>
        </w:rPr>
      </w:pPr>
      <w:r>
        <w:rPr>
          <w:rFonts w:ascii="Arial" w:hAnsi="Arial" w:cs="Arial"/>
          <w:b/>
          <w:color w:val="000000"/>
          <w:sz w:val="28"/>
          <w:szCs w:val="28"/>
        </w:rPr>
        <w:t>廉政及保密协议书</w:t>
      </w:r>
    </w:p>
    <w:p>
      <w:pPr>
        <w:tabs>
          <w:tab w:val="left" w:pos="0"/>
        </w:tabs>
        <w:adjustRightInd w:val="0"/>
        <w:snapToGrid w:val="0"/>
        <w:spacing w:line="440" w:lineRule="exact"/>
        <w:jc w:val="left"/>
        <w:rPr>
          <w:rFonts w:ascii="Arial" w:hAnsi="Arial" w:cs="Arial"/>
          <w:b/>
          <w:szCs w:val="21"/>
        </w:rPr>
      </w:pPr>
      <w:r>
        <w:rPr>
          <w:rFonts w:ascii="Arial" w:hAnsi="Arial" w:cs="Arial"/>
          <w:b/>
          <w:szCs w:val="21"/>
        </w:rPr>
        <w:t xml:space="preserve">委托人（以下简称甲方）： </w:t>
      </w:r>
    </w:p>
    <w:p>
      <w:pPr>
        <w:tabs>
          <w:tab w:val="left" w:pos="0"/>
        </w:tabs>
        <w:spacing w:line="360" w:lineRule="auto"/>
        <w:jc w:val="left"/>
        <w:rPr>
          <w:rFonts w:ascii="Arial" w:hAnsi="Arial" w:cs="Arial"/>
          <w:b/>
          <w:szCs w:val="21"/>
        </w:rPr>
      </w:pPr>
      <w:r>
        <w:rPr>
          <w:rFonts w:ascii="Arial" w:hAnsi="Arial" w:cs="Arial"/>
          <w:b/>
          <w:szCs w:val="21"/>
        </w:rPr>
        <w:t xml:space="preserve">受托人（以下简称乙方）： </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为加强项目委托服务过程中的廉政建设，规范工作委托服务的各项活动，防止发生各种谋取不正当利益的违法违纪行为，保护国家、集体和当事人的合法权益，根据国家有关法律法规，甲乙双方经协商就廉政建设特签</w:t>
      </w:r>
      <w:r>
        <w:rPr>
          <w:rFonts w:hint="eastAsia" w:ascii="Arial" w:hAnsi="Arial" w:cs="Arial"/>
          <w:color w:val="000000"/>
          <w:szCs w:val="21"/>
        </w:rPr>
        <w:t>订</w:t>
      </w:r>
      <w:r>
        <w:rPr>
          <w:rFonts w:ascii="Arial" w:hAnsi="Arial" w:cs="Arial"/>
          <w:szCs w:val="21"/>
        </w:rPr>
        <w:t>如下条款。</w:t>
      </w:r>
    </w:p>
    <w:p>
      <w:pPr>
        <w:tabs>
          <w:tab w:val="left" w:pos="0"/>
        </w:tabs>
        <w:adjustRightInd w:val="0"/>
        <w:snapToGrid w:val="0"/>
        <w:spacing w:line="440" w:lineRule="exact"/>
        <w:ind w:firstLine="422" w:firstLineChars="200"/>
        <w:rPr>
          <w:rFonts w:ascii="Arial" w:hAnsi="Arial" w:cs="Arial"/>
          <w:b/>
          <w:szCs w:val="21"/>
        </w:rPr>
      </w:pPr>
      <w:r>
        <w:rPr>
          <w:rFonts w:ascii="Arial" w:hAnsi="Arial" w:cs="Arial"/>
          <w:b/>
          <w:szCs w:val="21"/>
        </w:rPr>
        <w:t>一、甲乙双方的</w:t>
      </w:r>
      <w:r>
        <w:rPr>
          <w:rFonts w:ascii="Arial" w:hAnsi="Arial" w:cs="Arial"/>
          <w:b/>
          <w:bCs/>
          <w:szCs w:val="21"/>
        </w:rPr>
        <w:t>权</w:t>
      </w:r>
      <w:r>
        <w:rPr>
          <w:rFonts w:hint="eastAsia" w:ascii="Arial" w:hAnsi="Arial" w:cs="Arial"/>
          <w:b/>
          <w:bCs/>
          <w:szCs w:val="21"/>
        </w:rPr>
        <w:t>利</w:t>
      </w:r>
      <w:r>
        <w:rPr>
          <w:rFonts w:ascii="Arial" w:hAnsi="Arial" w:cs="Arial"/>
          <w:b/>
          <w:szCs w:val="21"/>
        </w:rPr>
        <w:t>和义务</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1、严格遵守党和国家有关法律法规有关规定；</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2、严格执行本项目委托合同，自觉按协议书办事；</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3、双方的业务活动坚持公开、公正、诚信、透明的原则（除法律认定的商业秘密和合同文件另有规定之外），不得损害国家和集体利益，违反</w:t>
      </w:r>
      <w:r>
        <w:rPr>
          <w:rFonts w:hint="eastAsia" w:ascii="Arial" w:hAnsi="Arial" w:cs="Arial"/>
          <w:szCs w:val="21"/>
        </w:rPr>
        <w:t>廉政</w:t>
      </w:r>
      <w:r>
        <w:rPr>
          <w:rFonts w:ascii="Arial" w:hAnsi="Arial" w:cs="Arial"/>
          <w:szCs w:val="21"/>
        </w:rPr>
        <w:t>管理规章制度；</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4、建立健全廉政制度，开展廉政教育，监督并认真查处违法违纪行为；</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5、发现对方在业务活动过程中有违法廉政规定的行为，有及时提醒对方纠正的权利和义务；</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6、发现对方严重违反本合同义务条款的行为，有向其上级有关部门举报、建议给与处理并要求告知处理结果的权利。</w:t>
      </w:r>
    </w:p>
    <w:p>
      <w:pPr>
        <w:tabs>
          <w:tab w:val="left" w:pos="0"/>
        </w:tabs>
        <w:adjustRightInd w:val="0"/>
        <w:snapToGrid w:val="0"/>
        <w:spacing w:line="440" w:lineRule="exact"/>
        <w:ind w:firstLine="422" w:firstLineChars="200"/>
        <w:rPr>
          <w:rFonts w:ascii="Arial" w:hAnsi="Arial" w:cs="Arial"/>
          <w:b/>
          <w:szCs w:val="21"/>
        </w:rPr>
      </w:pPr>
      <w:r>
        <w:rPr>
          <w:rFonts w:ascii="Arial" w:hAnsi="Arial" w:cs="Arial"/>
          <w:b/>
          <w:szCs w:val="21"/>
        </w:rPr>
        <w:t>二、甲方的权</w:t>
      </w:r>
      <w:r>
        <w:rPr>
          <w:rFonts w:hint="eastAsia" w:ascii="Arial" w:hAnsi="Arial" w:cs="Arial"/>
          <w:b/>
          <w:bCs/>
          <w:szCs w:val="21"/>
        </w:rPr>
        <w:t>利</w:t>
      </w:r>
      <w:r>
        <w:rPr>
          <w:rFonts w:ascii="Arial" w:hAnsi="Arial" w:cs="Arial"/>
          <w:b/>
          <w:szCs w:val="21"/>
        </w:rPr>
        <w:t>和义务</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1、甲方及其工作人员不得索要或接受乙方的礼金、有价证券和贵重物品，不得在乙方报销任何应由甲方或个人支付的费用等；</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2、甲方及其工作人员不得参加乙方安排的超标准宴请和娱乐活动，不得接受乙方提供的通讯工具、交通工具和高档办公用品等；</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3、甲方及其工作人员不得要求或者接受乙方为其住房装修、婚丧嫁娶活动、配偶子女的工作安排以及出国出境、旅游等提供方便等；</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4、甲方及其工作人员的配偶、子女不得从事与委托合同范围内的业务。</w:t>
      </w:r>
    </w:p>
    <w:p>
      <w:pPr>
        <w:tabs>
          <w:tab w:val="left" w:pos="0"/>
        </w:tabs>
        <w:adjustRightInd w:val="0"/>
        <w:snapToGrid w:val="0"/>
        <w:spacing w:line="440" w:lineRule="exact"/>
        <w:ind w:firstLine="422" w:firstLineChars="200"/>
        <w:rPr>
          <w:rFonts w:ascii="Arial" w:hAnsi="Arial" w:cs="Arial"/>
          <w:b/>
          <w:szCs w:val="21"/>
        </w:rPr>
      </w:pPr>
      <w:r>
        <w:rPr>
          <w:rFonts w:ascii="Arial" w:hAnsi="Arial" w:cs="Arial"/>
          <w:b/>
          <w:szCs w:val="21"/>
        </w:rPr>
        <w:t>三、乙方的</w:t>
      </w:r>
      <w:r>
        <w:rPr>
          <w:rFonts w:ascii="Arial" w:hAnsi="Arial" w:cs="Arial"/>
          <w:b/>
          <w:bCs/>
          <w:szCs w:val="21"/>
        </w:rPr>
        <w:t>权</w:t>
      </w:r>
      <w:r>
        <w:rPr>
          <w:rFonts w:hint="eastAsia" w:ascii="Arial" w:hAnsi="Arial" w:cs="Arial"/>
          <w:b/>
          <w:bCs/>
          <w:szCs w:val="21"/>
        </w:rPr>
        <w:t>利</w:t>
      </w:r>
      <w:r>
        <w:rPr>
          <w:rFonts w:ascii="Arial" w:hAnsi="Arial" w:cs="Arial"/>
          <w:b/>
          <w:szCs w:val="21"/>
        </w:rPr>
        <w:t>和义务</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1、乙方不得以任何理由向甲方工作人员行贿或馈赠礼金、有价证券、贵重礼品；</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2、乙方不得以任何名义为甲方工作人员报销应由甲方或个人支付的任何费用；</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3、乙方不得以任何理由安排甲方工作人员参加超标准宴请和娱乐活动；</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4、乙方不得为甲方工作人员购置通讯工具、交通工具和高档办公用品等；</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5、乙方及其工作人员不得索要或接受</w:t>
      </w:r>
      <w:r>
        <w:rPr>
          <w:rFonts w:hint="eastAsia" w:ascii="Arial" w:hAnsi="Arial" w:cs="Arial"/>
          <w:szCs w:val="21"/>
        </w:rPr>
        <w:t>处置单位</w:t>
      </w:r>
      <w:r>
        <w:rPr>
          <w:rFonts w:ascii="Arial" w:hAnsi="Arial" w:cs="Arial"/>
          <w:szCs w:val="21"/>
        </w:rPr>
        <w:t>与本项目相关单位的礼金、有价证券和贵重物品，不得在上述本项目相关单位报销任何应由乙方或个人支付的费用等；</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6、乙方及其工作人员必须严格按照国家</w:t>
      </w:r>
      <w:r>
        <w:rPr>
          <w:rFonts w:hint="eastAsia" w:ascii="Arial" w:hAnsi="Arial" w:cs="Arial"/>
          <w:szCs w:val="21"/>
        </w:rPr>
        <w:t>廉政</w:t>
      </w:r>
      <w:r>
        <w:rPr>
          <w:rFonts w:ascii="Arial" w:hAnsi="Arial" w:cs="Arial"/>
          <w:szCs w:val="21"/>
        </w:rPr>
        <w:t>管理相关规定办事，不得与</w:t>
      </w:r>
      <w:r>
        <w:rPr>
          <w:rFonts w:hint="eastAsia" w:ascii="Arial" w:hAnsi="Arial" w:cs="Arial"/>
          <w:szCs w:val="21"/>
        </w:rPr>
        <w:t>处置</w:t>
      </w:r>
      <w:r>
        <w:rPr>
          <w:rFonts w:ascii="Arial" w:hAnsi="Arial" w:cs="Arial"/>
          <w:szCs w:val="21"/>
        </w:rPr>
        <w:t>单位串通，损害甲方利益。</w:t>
      </w:r>
    </w:p>
    <w:p>
      <w:pPr>
        <w:tabs>
          <w:tab w:val="left" w:pos="0"/>
        </w:tabs>
        <w:adjustRightInd w:val="0"/>
        <w:snapToGrid w:val="0"/>
        <w:spacing w:line="440" w:lineRule="exact"/>
        <w:ind w:firstLine="422" w:firstLineChars="200"/>
        <w:rPr>
          <w:rFonts w:ascii="Arial" w:hAnsi="Arial" w:cs="Arial"/>
          <w:b/>
          <w:szCs w:val="21"/>
        </w:rPr>
      </w:pPr>
      <w:r>
        <w:rPr>
          <w:rFonts w:ascii="Arial" w:hAnsi="Arial" w:cs="Arial"/>
          <w:b/>
          <w:szCs w:val="21"/>
        </w:rPr>
        <w:t>四、违约责任</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1、甲方及其工作人员违反本</w:t>
      </w:r>
      <w:r>
        <w:rPr>
          <w:rFonts w:hint="eastAsia" w:ascii="Arial" w:hAnsi="Arial" w:cs="Arial"/>
          <w:szCs w:val="21"/>
        </w:rPr>
        <w:t>协议</w:t>
      </w:r>
      <w:r>
        <w:rPr>
          <w:rFonts w:ascii="Arial" w:hAnsi="Arial" w:cs="Arial"/>
          <w:szCs w:val="21"/>
        </w:rPr>
        <w:t>条款，按管理权限</w:t>
      </w:r>
      <w:r>
        <w:rPr>
          <w:rFonts w:hint="eastAsia" w:ascii="Arial" w:hAnsi="Arial" w:cs="Arial"/>
          <w:szCs w:val="21"/>
        </w:rPr>
        <w:t>，</w:t>
      </w:r>
      <w:r>
        <w:rPr>
          <w:rFonts w:ascii="Arial" w:hAnsi="Arial" w:cs="Arial"/>
          <w:szCs w:val="21"/>
        </w:rPr>
        <w:t>依据有关规定给与处理；涉嫌犯罪的，移交司法机关追究刑事责任；给乙方单位造成经济损失的，应予以赔偿；</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2、乙方及其工作人员违</w:t>
      </w:r>
      <w:r>
        <w:rPr>
          <w:rFonts w:hint="eastAsia" w:ascii="Arial" w:hAnsi="Arial" w:cs="Arial"/>
          <w:szCs w:val="21"/>
        </w:rPr>
        <w:t>反本协议条</w:t>
      </w:r>
      <w:r>
        <w:rPr>
          <w:rFonts w:ascii="Arial" w:hAnsi="Arial" w:cs="Arial"/>
          <w:szCs w:val="21"/>
        </w:rPr>
        <w:t>款，按管理权限</w:t>
      </w:r>
      <w:r>
        <w:rPr>
          <w:rFonts w:hint="eastAsia" w:ascii="Arial" w:hAnsi="Arial" w:cs="Arial"/>
          <w:szCs w:val="21"/>
        </w:rPr>
        <w:t>，</w:t>
      </w:r>
      <w:r>
        <w:rPr>
          <w:rFonts w:ascii="Arial" w:hAnsi="Arial" w:cs="Arial"/>
          <w:szCs w:val="21"/>
        </w:rPr>
        <w:t>依据有关规定给与处理；涉嫌犯罪的，移交司法机关追究刑事责任；给甲方单位造成经济损失的，应予以赔偿。情节严重的，甲方建议</w:t>
      </w:r>
      <w:r>
        <w:rPr>
          <w:rFonts w:hint="eastAsia" w:ascii="Arial" w:hAnsi="Arial" w:cs="Arial"/>
          <w:szCs w:val="21"/>
        </w:rPr>
        <w:t>环保</w:t>
      </w:r>
      <w:r>
        <w:rPr>
          <w:rFonts w:ascii="Arial" w:hAnsi="Arial" w:cs="Arial"/>
          <w:szCs w:val="21"/>
        </w:rPr>
        <w:t>主管部门给与乙方一至三年内不得进入其主管的</w:t>
      </w:r>
      <w:r>
        <w:rPr>
          <w:rFonts w:hint="eastAsia" w:ascii="Arial" w:hAnsi="Arial" w:cs="Arial"/>
          <w:szCs w:val="21"/>
        </w:rPr>
        <w:t>环保</w:t>
      </w:r>
      <w:r>
        <w:rPr>
          <w:rFonts w:ascii="Arial" w:hAnsi="Arial" w:cs="Arial"/>
          <w:szCs w:val="21"/>
        </w:rPr>
        <w:t>市场的处罚。</w:t>
      </w:r>
    </w:p>
    <w:p>
      <w:pPr>
        <w:tabs>
          <w:tab w:val="left" w:pos="0"/>
        </w:tabs>
        <w:adjustRightInd w:val="0"/>
        <w:snapToGrid w:val="0"/>
        <w:spacing w:line="440" w:lineRule="exact"/>
        <w:ind w:firstLine="420" w:firstLineChars="200"/>
        <w:rPr>
          <w:rFonts w:ascii="Arial" w:hAnsi="Arial" w:cs="Arial"/>
          <w:color w:val="000000"/>
          <w:szCs w:val="21"/>
        </w:rPr>
      </w:pPr>
      <w:r>
        <w:rPr>
          <w:rFonts w:ascii="Arial" w:hAnsi="Arial" w:cs="Arial"/>
          <w:color w:val="000000"/>
          <w:szCs w:val="21"/>
        </w:rPr>
        <w:t>五、 本</w:t>
      </w:r>
      <w:r>
        <w:rPr>
          <w:rFonts w:hint="eastAsia" w:ascii="Arial" w:hAnsi="Arial" w:cs="Arial"/>
          <w:color w:val="000000"/>
          <w:szCs w:val="21"/>
        </w:rPr>
        <w:t>协议</w:t>
      </w:r>
      <w:r>
        <w:rPr>
          <w:rFonts w:ascii="Arial" w:hAnsi="Arial" w:cs="Arial"/>
          <w:color w:val="000000"/>
          <w:szCs w:val="21"/>
        </w:rPr>
        <w:t>有效期为甲乙双方签署之日起至该</w:t>
      </w:r>
      <w:r>
        <w:rPr>
          <w:rFonts w:hint="eastAsia" w:ascii="Arial" w:hAnsi="Arial" w:cs="Arial"/>
          <w:color w:val="000000"/>
          <w:szCs w:val="21"/>
        </w:rPr>
        <w:t>项目完成为止</w:t>
      </w:r>
      <w:r>
        <w:rPr>
          <w:rFonts w:ascii="Arial" w:hAnsi="Arial" w:cs="Arial"/>
          <w:color w:val="000000"/>
          <w:szCs w:val="21"/>
        </w:rPr>
        <w:t>。</w:t>
      </w:r>
    </w:p>
    <w:p>
      <w:pPr>
        <w:adjustRightInd w:val="0"/>
        <w:snapToGrid w:val="0"/>
        <w:spacing w:line="440" w:lineRule="exact"/>
        <w:ind w:firstLine="420" w:firstLineChars="200"/>
        <w:rPr>
          <w:rFonts w:ascii="Arial" w:hAnsi="Arial" w:cs="Arial"/>
          <w:szCs w:val="21"/>
        </w:rPr>
      </w:pPr>
      <w:r>
        <w:rPr>
          <w:rFonts w:ascii="Arial" w:hAnsi="Arial" w:cs="Arial"/>
          <w:color w:val="000000"/>
          <w:szCs w:val="21"/>
        </w:rPr>
        <w:t>六、本</w:t>
      </w:r>
      <w:r>
        <w:rPr>
          <w:rFonts w:hint="eastAsia" w:ascii="Arial" w:hAnsi="Arial" w:cs="Arial"/>
          <w:color w:val="000000"/>
          <w:szCs w:val="21"/>
        </w:rPr>
        <w:t>协议</w:t>
      </w:r>
      <w:r>
        <w:rPr>
          <w:rFonts w:ascii="Arial" w:hAnsi="Arial" w:cs="Arial"/>
          <w:color w:val="000000"/>
          <w:szCs w:val="21"/>
        </w:rPr>
        <w:t>作</w:t>
      </w:r>
      <w:r>
        <w:rPr>
          <w:rFonts w:ascii="Arial" w:hAnsi="Arial" w:cs="Arial"/>
          <w:szCs w:val="21"/>
        </w:rPr>
        <w:t>为</w:t>
      </w:r>
      <w:r>
        <w:rPr>
          <w:rFonts w:ascii="Arial" w:hAnsi="Arial" w:cs="Arial"/>
          <w:bCs/>
          <w:szCs w:val="21"/>
          <w:u w:val="single"/>
        </w:rPr>
        <w:t>（项目名称）委托合同</w:t>
      </w:r>
      <w:r>
        <w:rPr>
          <w:rFonts w:ascii="Arial" w:hAnsi="Arial" w:cs="Arial"/>
          <w:szCs w:val="21"/>
        </w:rPr>
        <w:t>的附件，与合同书具有同等的法律效力，经</w:t>
      </w:r>
      <w:r>
        <w:rPr>
          <w:rFonts w:hint="eastAsia" w:ascii="Arial" w:hAnsi="Arial" w:cs="Arial"/>
          <w:color w:val="000000"/>
          <w:szCs w:val="21"/>
        </w:rPr>
        <w:t>协议</w:t>
      </w:r>
      <w:r>
        <w:rPr>
          <w:rFonts w:ascii="Arial" w:hAnsi="Arial" w:cs="Arial"/>
          <w:color w:val="000000"/>
          <w:szCs w:val="21"/>
        </w:rPr>
        <w:t>双</w:t>
      </w:r>
      <w:r>
        <w:rPr>
          <w:rFonts w:ascii="Arial" w:hAnsi="Arial" w:cs="Arial"/>
          <w:szCs w:val="21"/>
        </w:rPr>
        <w:t>方签署立即生效。</w:t>
      </w:r>
    </w:p>
    <w:p>
      <w:pPr>
        <w:tabs>
          <w:tab w:val="left" w:pos="0"/>
        </w:tabs>
        <w:adjustRightInd w:val="0"/>
        <w:snapToGrid w:val="0"/>
        <w:spacing w:line="440" w:lineRule="exact"/>
        <w:ind w:firstLine="420" w:firstLineChars="200"/>
        <w:rPr>
          <w:rFonts w:ascii="Arial" w:hAnsi="Arial" w:cs="Arial"/>
          <w:szCs w:val="21"/>
        </w:rPr>
      </w:pPr>
      <w:r>
        <w:rPr>
          <w:rFonts w:ascii="Arial" w:hAnsi="Arial" w:cs="Arial"/>
          <w:szCs w:val="21"/>
        </w:rPr>
        <w:t>七、本</w:t>
      </w:r>
      <w:r>
        <w:rPr>
          <w:rFonts w:hint="eastAsia" w:ascii="Arial" w:hAnsi="Arial" w:cs="Arial"/>
          <w:bCs/>
          <w:szCs w:val="21"/>
        </w:rPr>
        <w:t>协议</w:t>
      </w:r>
      <w:r>
        <w:rPr>
          <w:rFonts w:ascii="Arial" w:hAnsi="Arial" w:cs="Arial"/>
          <w:szCs w:val="21"/>
        </w:rPr>
        <w:t>甲方和乙方各持两份。</w:t>
      </w:r>
    </w:p>
    <w:p>
      <w:pPr>
        <w:tabs>
          <w:tab w:val="left" w:pos="0"/>
        </w:tabs>
        <w:adjustRightInd w:val="0"/>
        <w:snapToGrid w:val="0"/>
        <w:spacing w:line="440" w:lineRule="exact"/>
        <w:ind w:firstLine="420" w:firstLineChars="200"/>
        <w:rPr>
          <w:rFonts w:ascii="Arial" w:hAnsi="Arial" w:cs="Arial"/>
          <w:szCs w:val="21"/>
        </w:rPr>
      </w:pPr>
    </w:p>
    <w:p>
      <w:pPr>
        <w:tabs>
          <w:tab w:val="left" w:pos="0"/>
        </w:tabs>
        <w:adjustRightInd w:val="0"/>
        <w:snapToGrid w:val="0"/>
        <w:spacing w:line="440" w:lineRule="exact"/>
        <w:ind w:firstLine="420" w:firstLineChars="200"/>
        <w:rPr>
          <w:rFonts w:ascii="Arial" w:hAnsi="Arial" w:cs="Arial"/>
          <w:szCs w:val="21"/>
        </w:rPr>
      </w:pPr>
    </w:p>
    <w:p>
      <w:pPr>
        <w:adjustRightInd w:val="0"/>
        <w:snapToGrid w:val="0"/>
        <w:spacing w:line="440" w:lineRule="exact"/>
        <w:ind w:firstLine="420" w:firstLineChars="200"/>
        <w:jc w:val="left"/>
        <w:rPr>
          <w:rFonts w:ascii="Arial" w:hAnsi="Arial" w:cs="Arial"/>
          <w:bCs/>
          <w:szCs w:val="21"/>
        </w:rPr>
      </w:pPr>
      <w:r>
        <w:rPr>
          <w:rFonts w:ascii="Arial" w:hAnsi="Arial" w:cs="Arial"/>
          <w:bCs/>
          <w:szCs w:val="21"/>
        </w:rPr>
        <w:t>甲方（盖章）：                              乙方（盖章）：</w:t>
      </w:r>
    </w:p>
    <w:p>
      <w:pPr>
        <w:tabs>
          <w:tab w:val="right" w:pos="8352"/>
        </w:tabs>
        <w:adjustRightInd w:val="0"/>
        <w:snapToGrid w:val="0"/>
        <w:spacing w:line="440" w:lineRule="exact"/>
        <w:ind w:firstLine="420" w:firstLineChars="200"/>
        <w:jc w:val="left"/>
        <w:rPr>
          <w:rFonts w:hint="eastAsia" w:ascii="Arial" w:hAnsi="Arial" w:cs="Arial"/>
          <w:bCs/>
          <w:szCs w:val="21"/>
        </w:rPr>
      </w:pPr>
      <w:r>
        <w:rPr>
          <w:rFonts w:hint="eastAsia" w:ascii="宋体" w:hAnsi="宋体" w:cs="宋体"/>
          <w:color w:val="000000"/>
          <w:szCs w:val="21"/>
        </w:rPr>
        <w:t>法定代表人/授权代表（签字或盖章）</w:t>
      </w:r>
      <w:r>
        <w:rPr>
          <w:rFonts w:ascii="Arial" w:hAnsi="Arial" w:cs="Arial"/>
          <w:bCs/>
          <w:szCs w:val="21"/>
        </w:rPr>
        <w:t xml:space="preserve">：          </w:t>
      </w:r>
      <w:r>
        <w:rPr>
          <w:rFonts w:hint="eastAsia" w:ascii="宋体" w:hAnsi="宋体" w:cs="宋体"/>
          <w:color w:val="000000"/>
          <w:szCs w:val="21"/>
        </w:rPr>
        <w:t>法定代表人/授权代表（签字或盖章）</w:t>
      </w:r>
      <w:r>
        <w:rPr>
          <w:rFonts w:ascii="Arial" w:hAnsi="Arial" w:cs="Arial"/>
          <w:bCs/>
          <w:szCs w:val="21"/>
        </w:rPr>
        <w:t xml:space="preserve">           </w:t>
      </w:r>
    </w:p>
    <w:p>
      <w:pPr>
        <w:adjustRightInd w:val="0"/>
        <w:snapToGrid w:val="0"/>
        <w:spacing w:line="440" w:lineRule="exact"/>
        <w:ind w:firstLine="420" w:firstLineChars="200"/>
        <w:jc w:val="left"/>
        <w:rPr>
          <w:rFonts w:ascii="Arial" w:hAnsi="Arial" w:cs="Arial"/>
          <w:bCs/>
          <w:szCs w:val="21"/>
        </w:rPr>
      </w:pPr>
      <w:r>
        <w:rPr>
          <w:rFonts w:ascii="Arial" w:hAnsi="Arial" w:cs="Arial"/>
          <w:bCs/>
          <w:szCs w:val="21"/>
        </w:rPr>
        <w:t xml:space="preserve">联系人：                                    联系人： </w:t>
      </w:r>
    </w:p>
    <w:p>
      <w:pPr>
        <w:adjustRightInd w:val="0"/>
        <w:snapToGrid w:val="0"/>
        <w:spacing w:line="440" w:lineRule="exact"/>
        <w:ind w:firstLine="420" w:firstLineChars="200"/>
        <w:jc w:val="left"/>
        <w:rPr>
          <w:rFonts w:ascii="Arial" w:hAnsi="Arial" w:cs="Arial"/>
          <w:bCs/>
          <w:szCs w:val="21"/>
        </w:rPr>
      </w:pPr>
      <w:r>
        <w:rPr>
          <w:rFonts w:ascii="Arial" w:hAnsi="Arial" w:cs="Arial"/>
          <w:bCs/>
          <w:szCs w:val="21"/>
        </w:rPr>
        <w:t xml:space="preserve">地址：                                      地址： </w:t>
      </w:r>
    </w:p>
    <w:p>
      <w:pPr>
        <w:adjustRightInd w:val="0"/>
        <w:snapToGrid w:val="0"/>
        <w:spacing w:line="440" w:lineRule="exact"/>
        <w:ind w:firstLine="420" w:firstLineChars="200"/>
        <w:jc w:val="left"/>
        <w:rPr>
          <w:rFonts w:ascii="Arial" w:hAnsi="Arial" w:cs="Arial"/>
          <w:bCs/>
          <w:szCs w:val="21"/>
        </w:rPr>
      </w:pPr>
      <w:r>
        <w:rPr>
          <w:rFonts w:ascii="Arial" w:hAnsi="Arial" w:cs="Arial"/>
          <w:bCs/>
          <w:szCs w:val="21"/>
        </w:rPr>
        <w:t xml:space="preserve">电话：                                      电话： </w:t>
      </w:r>
    </w:p>
    <w:p>
      <w:pPr>
        <w:adjustRightInd w:val="0"/>
        <w:snapToGrid w:val="0"/>
        <w:spacing w:line="440" w:lineRule="exact"/>
        <w:ind w:firstLine="420" w:firstLineChars="200"/>
        <w:rPr>
          <w:rFonts w:ascii="Arial" w:hAnsi="Arial" w:cs="Arial"/>
          <w:bCs/>
          <w:szCs w:val="21"/>
        </w:rPr>
      </w:pPr>
      <w:r>
        <w:rPr>
          <w:rFonts w:ascii="Arial" w:hAnsi="Arial" w:cs="Arial"/>
          <w:bCs/>
          <w:szCs w:val="21"/>
        </w:rPr>
        <w:t>日期：    年   月   日                      日期：     年    月   日</w:t>
      </w:r>
    </w:p>
    <w:p>
      <w:pPr>
        <w:spacing w:line="800" w:lineRule="exact"/>
        <w:jc w:val="center"/>
        <w:rPr>
          <w:rFonts w:ascii="Arial" w:hAnsi="Arial" w:cs="Arial"/>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23E277E"/>
    <w:rsid w:val="14E8520C"/>
    <w:rsid w:val="1E5549F9"/>
    <w:rsid w:val="213202AB"/>
    <w:rsid w:val="251130F1"/>
    <w:rsid w:val="28DC3125"/>
    <w:rsid w:val="312133AA"/>
    <w:rsid w:val="3AD80873"/>
    <w:rsid w:val="3D9C4C66"/>
    <w:rsid w:val="3EAA4565"/>
    <w:rsid w:val="3F9E0CFA"/>
    <w:rsid w:val="63EE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Body Text"/>
    <w:basedOn w:val="1"/>
    <w:uiPriority w:val="0"/>
    <w:pPr>
      <w:spacing w:after="120" w:afterLines="0" w:afterAutospacing="0"/>
    </w:pPr>
  </w:style>
  <w:style w:type="paragraph" w:styleId="6">
    <w:name w:val="Plain Text"/>
    <w:basedOn w:val="1"/>
    <w:qFormat/>
    <w:uiPriority w:val="0"/>
    <w:rPr>
      <w:rFonts w:ascii="宋体" w:hAnsi="Courier New"/>
    </w:rPr>
  </w:style>
  <w:style w:type="paragraph" w:styleId="7">
    <w:name w:val="Body Text Indent 2"/>
    <w:basedOn w:val="1"/>
    <w:qFormat/>
    <w:uiPriority w:val="0"/>
    <w:pPr>
      <w:snapToGrid w:val="0"/>
      <w:spacing w:after="120" w:line="480" w:lineRule="auto"/>
      <w:ind w:left="420" w:leftChars="200"/>
    </w:pPr>
    <w:rPr>
      <w:spacing w:val="16"/>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jc w:val="left"/>
    </w:pPr>
    <w:rPr>
      <w:b/>
      <w:caps/>
    </w:rPr>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Body Text Indent 3"/>
    <w:basedOn w:val="1"/>
    <w:qFormat/>
    <w:uiPriority w:val="0"/>
    <w:pPr>
      <w:ind w:firstLine="480"/>
    </w:pPr>
    <w:rPr>
      <w:rFonts w:ascii="宋体" w:hAnsi="宋体"/>
      <w:sz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99"/>
    <w:rPr>
      <w:color w:val="2490F8"/>
      <w:u w:val="single"/>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2">
    <w:name w:val="style9"/>
    <w:basedOn w:val="15"/>
    <w:qFormat/>
    <w:uiPriority w:val="0"/>
  </w:style>
  <w:style w:type="paragraph" w:styleId="23">
    <w:name w:val="List Paragraph"/>
    <w:basedOn w:val="1"/>
    <w:qFormat/>
    <w:uiPriority w:val="34"/>
    <w:pPr>
      <w:ind w:firstLine="420" w:firstLineChars="200"/>
    </w:pPr>
    <w:rPr>
      <w:rFonts w:ascii="Calibri" w:hAnsi="Calibri"/>
    </w:rPr>
  </w:style>
  <w:style w:type="paragraph" w:customStyle="1" w:styleId="24">
    <w:name w:val="表格内容"/>
    <w:basedOn w:val="1"/>
    <w:qFormat/>
    <w:uiPriority w:val="0"/>
    <w:pPr>
      <w:adjustRightInd w:val="0"/>
      <w:jc w:val="center"/>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8987</Words>
  <Characters>9217</Characters>
  <Lines>0</Lines>
  <Paragraphs>0</Paragraphs>
  <TotalTime>5</TotalTime>
  <ScaleCrop>false</ScaleCrop>
  <LinksUpToDate>false</LinksUpToDate>
  <CharactersWithSpaces>10226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2023-02-14T01:46:38Z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408BB837953B4D1C916DC2E308ACBB08</vt:lpwstr>
  </property>
</Properties>
</file>